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5F1FD9" w:rsidRDefault="00783D33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5F1FD9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FD9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5F1FD9" w:rsidRDefault="00783D33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5F1FD9">
        <w:rPr>
          <w:rFonts w:ascii="Tahoma" w:hAnsi="Tahoma"/>
          <w:b/>
          <w:color w:val="FFFFFF"/>
          <w:sz w:val="28"/>
        </w:rPr>
        <w:t>Prosto delovno mesto: Finančni referent</w:t>
      </w:r>
    </w:p>
    <w:p w:rsidR="00FE2E07" w:rsidRPr="005F1FD9" w:rsidRDefault="00783D33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5F1FD9">
        <w:rPr>
          <w:rFonts w:ascii="Tahoma" w:hAnsi="Tahoma"/>
          <w:b/>
          <w:color w:val="FFFFFF"/>
          <w:sz w:val="28"/>
        </w:rPr>
        <w:t>Enota: upravljanje in usklajevanje virov</w:t>
      </w:r>
    </w:p>
    <w:p w:rsidR="00F02854" w:rsidRPr="005F1FD9" w:rsidRDefault="00783D33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Sklic: ECDC/FGIII/2019</w:t>
      </w:r>
      <w:bookmarkStart w:id="0" w:name="_GoBack"/>
      <w:bookmarkEnd w:id="0"/>
      <w:r w:rsidRPr="005F1FD9">
        <w:rPr>
          <w:rFonts w:ascii="Tahoma" w:hAnsi="Tahoma"/>
          <w:b/>
          <w:color w:val="FFFFFF"/>
          <w:sz w:val="28"/>
        </w:rPr>
        <w:t>/RMC-FA</w:t>
      </w:r>
    </w:p>
    <w:p w:rsidR="00276937" w:rsidRPr="005F1FD9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5F1FD9" w:rsidRDefault="00783D33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 xml:space="preserve">Sprejemamo prijave za navedeno prosto delovno mesto pogodbenega uslužbenca v Evropskem centru za preprečevanje in obvladovanje bolezni </w:t>
      </w:r>
      <w:r w:rsidRPr="005F1FD9">
        <w:rPr>
          <w:rFonts w:ascii="Tahoma" w:hAnsi="Tahoma"/>
          <w:sz w:val="22"/>
        </w:rPr>
        <w:t>(ECDC).</w:t>
      </w:r>
    </w:p>
    <w:p w:rsidR="00880A76" w:rsidRPr="005F1FD9" w:rsidRDefault="00783D33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5F1FD9">
        <w:rPr>
          <w:rFonts w:ascii="Tahoma" w:hAnsi="Tahoma"/>
          <w:b/>
          <w:color w:val="69AE23"/>
          <w:sz w:val="28"/>
        </w:rPr>
        <w:t>Opis delovnega mesta</w:t>
      </w:r>
    </w:p>
    <w:p w:rsidR="003C3DD1" w:rsidRPr="005F1FD9" w:rsidRDefault="00783D33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>Zaposlitev bo v oddelku za finance in računovodstvo, zaposleni pa bo odgovoren za spodaj navedene naloge, odvisno od skupine. O tem bo poročal zadevnemu vodji skupine.</w:t>
      </w:r>
    </w:p>
    <w:p w:rsidR="003C3DD1" w:rsidRPr="005F1FD9" w:rsidRDefault="00783D33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>Odgovoren bo predvsem za naslednja področja dela: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 xml:space="preserve">vpeljava </w:t>
      </w:r>
      <w:r w:rsidRPr="005F1FD9">
        <w:rPr>
          <w:rFonts w:ascii="Tahoma" w:hAnsi="Tahoma"/>
          <w:color w:val="000000"/>
          <w:sz w:val="22"/>
        </w:rPr>
        <w:t>finančnih transakcij, povezanih z odobritvami plačil in prevzemom obveznosti;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pomoč operativnim enotam pri pripravi, nadzoru kakovosti in izdelavi finančne dokumentacije;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dosledno izvajanje finančne uredbe in postopkov Evropskega centra za preprečevanje in</w:t>
      </w:r>
      <w:r w:rsidRPr="005F1FD9">
        <w:rPr>
          <w:rFonts w:ascii="Tahoma" w:hAnsi="Tahoma"/>
          <w:color w:val="000000"/>
          <w:sz w:val="22"/>
        </w:rPr>
        <w:t xml:space="preserve"> obvladovanje bolezni;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pomoč pri pripravi proračuna Evropskega centra za preprečevanje in obvladovanje bolezni;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priprava dokumentov za ustvarjanje pravne osebe in bančni račun;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pomoč pri izdaji nalogov za izterjavo in proračunskih prerazporeditvah;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izvajan</w:t>
      </w:r>
      <w:r w:rsidRPr="005F1FD9">
        <w:rPr>
          <w:rFonts w:ascii="Tahoma" w:hAnsi="Tahoma"/>
          <w:color w:val="000000"/>
          <w:sz w:val="22"/>
        </w:rPr>
        <w:t>je nadaljnjih ukrepov v zvezi z izvrševanjem proračuna, pripravo poročil in poravnavo;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zagotavljanje pomoči pri finančnih zadevah po vsem centru;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pomoč pri posodabljanju finančnih postopkov in kontrolnih seznamov v zvezi s finančnimi postopki centra;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zagot</w:t>
      </w:r>
      <w:r w:rsidRPr="005F1FD9">
        <w:rPr>
          <w:rFonts w:ascii="Tahoma" w:hAnsi="Tahoma"/>
          <w:color w:val="000000"/>
          <w:sz w:val="22"/>
        </w:rPr>
        <w:t>avljanje splošne upravne in administrativne podpore, vključno z arhiviranjem dokumentov;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opravljanje nadomestnih in podpornih nalog za pristojne v oddelku;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opravljanje vseh drugih nalog, ki jih dodeli vodja skupine ali vodja oddelka.</w:t>
      </w:r>
    </w:p>
    <w:p w:rsidR="00B57790" w:rsidRPr="005F1FD9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5F1FD9" w:rsidRDefault="00783D33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5F1FD9">
        <w:rPr>
          <w:rFonts w:ascii="Tahoma" w:hAnsi="Tahoma"/>
          <w:b/>
          <w:color w:val="69AE23"/>
          <w:sz w:val="28"/>
        </w:rPr>
        <w:t xml:space="preserve">Zahtevane </w:t>
      </w:r>
      <w:r w:rsidRPr="005F1FD9">
        <w:rPr>
          <w:rFonts w:ascii="Tahoma" w:hAnsi="Tahoma"/>
          <w:b/>
          <w:color w:val="69AE23"/>
          <w:sz w:val="28"/>
        </w:rPr>
        <w:t>kvalifikacije in izkušnje</w:t>
      </w:r>
    </w:p>
    <w:p w:rsidR="005D23DC" w:rsidRPr="005F1FD9" w:rsidRDefault="00783D33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5F1FD9">
        <w:rPr>
          <w:rFonts w:ascii="Tahoma" w:hAnsi="Tahoma"/>
        </w:rPr>
        <w:t>Formalne zahteve</w:t>
      </w:r>
    </w:p>
    <w:p w:rsidR="00A76ADE" w:rsidRPr="005F1FD9" w:rsidRDefault="00783D33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Upravičeni kandidati morajo izpolnjevati vrsto formalnih zahtev. Te zahteve so:</w:t>
      </w:r>
    </w:p>
    <w:p w:rsidR="003C3DD1" w:rsidRPr="005F1FD9" w:rsidRDefault="00783D33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5F1FD9">
        <w:rPr>
          <w:rFonts w:ascii="Tahoma" w:hAnsi="Tahoma"/>
          <w:sz w:val="22"/>
        </w:rPr>
        <w:lastRenderedPageBreak/>
        <w:t>raven izobrazbe, ki ustreza z diplomo potrjeni višješolski izobrazbi, ali raven izobrazbe, ki ustreza zaključeni srednješolski izobra</w:t>
      </w:r>
      <w:r w:rsidRPr="005F1FD9">
        <w:rPr>
          <w:rFonts w:ascii="Tahoma" w:hAnsi="Tahoma"/>
          <w:sz w:val="22"/>
        </w:rPr>
        <w:t>zbi, ki omogoča nadaljevanje izobraževanja na višješolski ravni, in ustrezne vsaj triletne delovne izkušnje</w:t>
      </w:r>
      <w:r>
        <w:rPr>
          <w:rFonts w:ascii="Tahoma" w:hAnsi="Tahoma"/>
          <w:sz w:val="22"/>
          <w:vertAlign w:val="superscript"/>
        </w:rPr>
        <w:footnoteReference w:id="1"/>
      </w:r>
      <w:r w:rsidRPr="005F1FD9">
        <w:rPr>
          <w:rFonts w:ascii="Tahoma" w:hAnsi="Tahoma"/>
          <w:sz w:val="22"/>
        </w:rPr>
        <w:t>;</w:t>
      </w:r>
    </w:p>
    <w:p w:rsidR="0041298D" w:rsidRPr="005F1FD9" w:rsidRDefault="00783D33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zelo dobro znanje enega uradnega jezika Unije in zadovoljivo znanje drugega jezika Unije na stopnji, ki omogoča opravljanje nalog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5F1FD9">
        <w:rPr>
          <w:rFonts w:ascii="Tahoma" w:hAnsi="Tahoma"/>
          <w:color w:val="000000"/>
          <w:sz w:val="22"/>
        </w:rPr>
        <w:t>;</w:t>
      </w:r>
    </w:p>
    <w:p w:rsidR="0041298D" w:rsidRPr="005F1FD9" w:rsidRDefault="00783D33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 xml:space="preserve">državljanstvo </w:t>
      </w:r>
      <w:r w:rsidRPr="005F1FD9">
        <w:rPr>
          <w:rFonts w:ascii="Tahoma" w:hAnsi="Tahoma"/>
          <w:color w:val="000000"/>
          <w:sz w:val="22"/>
        </w:rPr>
        <w:t>ene od držav članic EU, Norveške, Islandije ali Lihtenštajna;</w:t>
      </w:r>
    </w:p>
    <w:p w:rsidR="0041298D" w:rsidRPr="005F1FD9" w:rsidRDefault="00783D33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uživanje vseh državljanskih pravic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5F1FD9">
        <w:rPr>
          <w:rFonts w:ascii="Tahoma" w:hAnsi="Tahoma"/>
          <w:color w:val="000000"/>
          <w:sz w:val="22"/>
        </w:rPr>
        <w:t>;</w:t>
      </w:r>
    </w:p>
    <w:p w:rsidR="0041298D" w:rsidRPr="005F1FD9" w:rsidRDefault="00783D33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izpolnjevanje vseh zakonskih obveznosti glede služenja vojaškega roka;</w:t>
      </w:r>
    </w:p>
    <w:p w:rsidR="0041298D" w:rsidRPr="005F1FD9" w:rsidRDefault="00783D33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osebnostne lastnosti, potrebne za opravljanje zadevnih delovnih nalog, in</w:t>
      </w:r>
    </w:p>
    <w:p w:rsidR="00E6511F" w:rsidRPr="005F1FD9" w:rsidRDefault="00783D33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fizična spos</w:t>
      </w:r>
      <w:r w:rsidRPr="005F1FD9">
        <w:rPr>
          <w:rFonts w:ascii="Tahoma" w:hAnsi="Tahoma"/>
          <w:color w:val="000000"/>
          <w:sz w:val="22"/>
        </w:rPr>
        <w:t>obnost za opravljanje nalog, povezanih z delovnim mestom.</w:t>
      </w:r>
    </w:p>
    <w:p w:rsidR="00224C0A" w:rsidRPr="005F1FD9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5F1FD9" w:rsidRDefault="00783D33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5F1FD9">
        <w:rPr>
          <w:rFonts w:ascii="Tahoma" w:hAnsi="Tahoma"/>
        </w:rPr>
        <w:t>Izbirna merila</w:t>
      </w:r>
    </w:p>
    <w:p w:rsidR="00880A76" w:rsidRPr="005F1FD9" w:rsidRDefault="00783D33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5F1FD9">
        <w:rPr>
          <w:rFonts w:ascii="Tahoma" w:hAnsi="Tahoma"/>
          <w:color w:val="000000"/>
          <w:sz w:val="22"/>
        </w:rPr>
        <w:t xml:space="preserve">Določili smo </w:t>
      </w:r>
      <w:r w:rsidRPr="005F1FD9">
        <w:rPr>
          <w:rFonts w:ascii="Tahoma" w:hAnsi="Tahoma"/>
          <w:b/>
          <w:color w:val="000000"/>
          <w:sz w:val="22"/>
        </w:rPr>
        <w:t xml:space="preserve">osnovna merila </w:t>
      </w:r>
      <w:r w:rsidRPr="005F1FD9">
        <w:rPr>
          <w:rFonts w:ascii="Tahoma" w:hAnsi="Tahoma"/>
          <w:color w:val="000000"/>
          <w:sz w:val="22"/>
        </w:rPr>
        <w:t>v zvezi z delovnimi izkušnjami/znanjem in osebnostnimi lastnostmi/medosebnimi veščinami, ki jih morajo izpolnjevati kandidati.</w:t>
      </w:r>
    </w:p>
    <w:p w:rsidR="00880A76" w:rsidRPr="005F1FD9" w:rsidRDefault="00783D33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5F1FD9">
        <w:rPr>
          <w:rFonts w:ascii="Tahoma" w:hAnsi="Tahoma"/>
          <w:i/>
          <w:color w:val="000000"/>
          <w:sz w:val="22"/>
        </w:rPr>
        <w:t>Delovne izkušnje/znanje:</w:t>
      </w:r>
    </w:p>
    <w:p w:rsidR="00B57790" w:rsidRPr="005F1FD9" w:rsidRDefault="00783D33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vsaj tri leta delovnih izkušenj po opravljeni diplomi, pridobljenih na delovnih mestih, povezanih z nalogami iz opisa delovnega mesta;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izkušnje pri uporabi finančnih postopkov in pravil;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izkušnje pri obdelavi finančnih transakcij;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 xml:space="preserve">usposobljenost za delo s </w:t>
      </w:r>
      <w:r w:rsidRPr="005F1FD9">
        <w:rPr>
          <w:rFonts w:ascii="Tahoma" w:hAnsi="Tahoma"/>
          <w:color w:val="000000"/>
          <w:sz w:val="22"/>
        </w:rPr>
        <w:t>programom Excel ter programskimi paketi za računovodstvo in finance;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odlično pisno in ustno znanje angleškega jezika.</w:t>
      </w:r>
    </w:p>
    <w:p w:rsidR="00880A76" w:rsidRPr="005F1FD9" w:rsidRDefault="00783D33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5F1FD9">
        <w:rPr>
          <w:rFonts w:ascii="Tahoma" w:hAnsi="Tahoma"/>
          <w:i/>
          <w:color w:val="000000"/>
          <w:sz w:val="22"/>
        </w:rPr>
        <w:t>Osebnostne lastnosti/medosebne veščine:</w:t>
      </w:r>
    </w:p>
    <w:p w:rsidR="003C3DD1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zavezanost kakovosti in vestnemu opravljanju dela;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odlične komunikacijske sposobnosti;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 xml:space="preserve">zavezanost </w:t>
      </w:r>
      <w:r w:rsidRPr="005F1FD9">
        <w:rPr>
          <w:rFonts w:ascii="Tahoma" w:hAnsi="Tahoma"/>
          <w:color w:val="000000"/>
          <w:sz w:val="22"/>
        </w:rPr>
        <w:t>kakovosti, sposobnost doseganja visoke ravni točnosti in natančnost;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odlične sposobnosti obravnave številčnih podatkov;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visoka stopnja storitvene usmerjenosti;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dobre medosebne veščine in sposobnost uspešnega dela v skupini;</w:t>
      </w:r>
    </w:p>
    <w:p w:rsidR="00224C0A" w:rsidRPr="005F1FD9" w:rsidRDefault="00783D33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lastRenderedPageBreak/>
        <w:t>sposobnost dela pod pritiskom in</w:t>
      </w:r>
      <w:r w:rsidRPr="005F1FD9">
        <w:rPr>
          <w:rFonts w:ascii="Tahoma" w:hAnsi="Tahoma"/>
          <w:color w:val="000000"/>
          <w:sz w:val="22"/>
        </w:rPr>
        <w:t xml:space="preserve"> ob kratkih rokih.</w:t>
      </w:r>
    </w:p>
    <w:p w:rsidR="00880A76" w:rsidRPr="005F1FD9" w:rsidRDefault="00783D33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5F1FD9">
        <w:rPr>
          <w:rFonts w:ascii="Tahoma" w:hAnsi="Tahoma"/>
          <w:i/>
          <w:color w:val="000000"/>
          <w:sz w:val="22"/>
        </w:rPr>
        <w:t>Določili smo tudi izkušnje, znanje in spretnosti, ki pri tem delovnem mestu pomenijo prednost. To so:</w:t>
      </w:r>
    </w:p>
    <w:p w:rsidR="00224C0A" w:rsidRPr="005F1FD9" w:rsidRDefault="00783D33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>posebno usposabljanje na področju financ in računovodstva.</w:t>
      </w:r>
    </w:p>
    <w:p w:rsidR="001336A2" w:rsidRPr="005F1FD9" w:rsidRDefault="00783D33" w:rsidP="001336A2">
      <w:pPr>
        <w:spacing w:after="12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>Glede na število prejetih prijav lahko izbirna komisija v okviru navedenih i</w:t>
      </w:r>
      <w:r w:rsidRPr="005F1FD9">
        <w:rPr>
          <w:rFonts w:ascii="Tahoma" w:hAnsi="Tahoma"/>
          <w:sz w:val="22"/>
        </w:rPr>
        <w:t>zbirnih meril uporabi strožje zahteve ali pa uporabi navedena prednostna merila.</w:t>
      </w:r>
    </w:p>
    <w:p w:rsidR="005D23DC" w:rsidRPr="005F1FD9" w:rsidRDefault="00783D33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5F1FD9">
        <w:rPr>
          <w:rFonts w:ascii="Tahoma" w:hAnsi="Tahoma"/>
          <w:b/>
          <w:color w:val="69AE23"/>
          <w:sz w:val="28"/>
        </w:rPr>
        <w:t>Zaposlitev in pogoji za zaposlitev</w:t>
      </w:r>
    </w:p>
    <w:p w:rsidR="0041298D" w:rsidRPr="005F1FD9" w:rsidRDefault="00783D33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 xml:space="preserve">Zaposleni bo izbran na podlagi ožjega seznama, ki ga bo direktorju predlagala izbirna komisija. Ta objava prostega delovnega mesta je </w:t>
      </w:r>
      <w:r w:rsidRPr="005F1FD9">
        <w:rPr>
          <w:rFonts w:ascii="Tahoma" w:hAnsi="Tahoma"/>
          <w:sz w:val="22"/>
        </w:rPr>
        <w:t>podlaga za oblikovanje predloga izbirne komisije. Od kandidatov se lahko zahteva, da opravijo pisni preizkus.</w:t>
      </w:r>
      <w:r w:rsidRPr="005F1FD9">
        <w:rPr>
          <w:rFonts w:ascii="Tahoma" w:hAnsi="Tahoma"/>
        </w:rPr>
        <w:t xml:space="preserve"> </w:t>
      </w:r>
      <w:r w:rsidRPr="005F1FD9">
        <w:rPr>
          <w:rFonts w:ascii="Tahoma" w:hAnsi="Tahoma"/>
          <w:sz w:val="22"/>
        </w:rPr>
        <w:t>Kandidate opozarjamo, da je lahko predlog za zaposlitev javno objavljen in da vključitev na ožji seznam ne zagotavlja zaposlitve. Ožji seznam kand</w:t>
      </w:r>
      <w:r w:rsidRPr="005F1FD9">
        <w:rPr>
          <w:rFonts w:ascii="Tahoma" w:hAnsi="Tahoma"/>
          <w:sz w:val="22"/>
        </w:rPr>
        <w:t>idatov bo pripravljen na podlagi odprtega izbirnega postopka.</w:t>
      </w:r>
    </w:p>
    <w:p w:rsidR="0041298D" w:rsidRPr="005F1FD9" w:rsidRDefault="00783D33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>Izbrani kandidat bo zaposlen kot pogodbeni uslužbenec v skladu s členom 3a Pogojev za zaposlitev drugih uslužbencev Evropske unije za obdobje petih let. Pogodbo je mogoče podaljšati. Izbrani kan</w:t>
      </w:r>
      <w:r w:rsidRPr="005F1FD9">
        <w:rPr>
          <w:rFonts w:ascii="Tahoma" w:hAnsi="Tahoma"/>
          <w:sz w:val="22"/>
        </w:rPr>
        <w:t>didat bo imenovan v</w:t>
      </w:r>
      <w:r w:rsidRPr="005F1FD9">
        <w:rPr>
          <w:rFonts w:ascii="Tahoma" w:hAnsi="Tahoma"/>
          <w:b/>
          <w:sz w:val="22"/>
        </w:rPr>
        <w:t xml:space="preserve"> funkcionalno skupino III</w:t>
      </w:r>
      <w:r w:rsidRPr="005F1FD9">
        <w:rPr>
          <w:rFonts w:ascii="Tahoma" w:hAnsi="Tahoma"/>
          <w:sz w:val="22"/>
        </w:rPr>
        <w:t>.</w:t>
      </w:r>
      <w:r w:rsidRPr="005F1FD9">
        <w:rPr>
          <w:rFonts w:ascii="Tahoma" w:hAnsi="Tahoma"/>
          <w:color w:val="FF0000"/>
          <w:sz w:val="22"/>
        </w:rPr>
        <w:t xml:space="preserve"> </w:t>
      </w:r>
      <w:r w:rsidRPr="005F1FD9">
        <w:rPr>
          <w:rFonts w:ascii="Tahoma" w:hAnsi="Tahoma"/>
          <w:sz w:val="22"/>
        </w:rPr>
        <w:t>Kandidate opozarjamo na zahtevo v okviru kadrovskih predpisov EU, da morajo vsi novi zaposleni uspešno opraviti poskusno dobo.</w:t>
      </w:r>
    </w:p>
    <w:p w:rsidR="0041298D" w:rsidRPr="005F1FD9" w:rsidRDefault="00783D33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>Za več informacij o pogodbenih in delovnih razmerah glejte Pogoje za zaposlitev dru</w:t>
      </w:r>
      <w:r w:rsidRPr="005F1FD9">
        <w:rPr>
          <w:rFonts w:ascii="Tahoma" w:hAnsi="Tahoma"/>
          <w:color w:val="000000"/>
          <w:sz w:val="22"/>
        </w:rPr>
        <w:t>gih uslužbencev Evropske unije, ki so na voljo na naslednjem spletnem naslovu:</w:t>
      </w:r>
    </w:p>
    <w:p w:rsidR="00626750" w:rsidRPr="005F1FD9" w:rsidRDefault="00783D33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AE33B2" w:rsidRPr="005F1FD9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5F1FD9" w:rsidRDefault="00783D33" w:rsidP="0041298D">
      <w:pPr>
        <w:rPr>
          <w:rFonts w:ascii="Tahoma" w:hAnsi="Tahoma" w:cs="Tahoma"/>
          <w:sz w:val="22"/>
          <w:szCs w:val="22"/>
        </w:rPr>
      </w:pPr>
      <w:r w:rsidRPr="005F1FD9">
        <w:rPr>
          <w:rFonts w:ascii="Tahoma" w:hAnsi="Tahoma"/>
          <w:sz w:val="22"/>
        </w:rPr>
        <w:t xml:space="preserve">Kraj </w:t>
      </w:r>
      <w:r w:rsidRPr="005F1FD9">
        <w:rPr>
          <w:rFonts w:ascii="Tahoma" w:hAnsi="Tahoma"/>
          <w:sz w:val="22"/>
        </w:rPr>
        <w:t>zaposlitve je Stockholm, kjer je sedež dejavnosti centra.</w:t>
      </w:r>
    </w:p>
    <w:p w:rsidR="005D23DC" w:rsidRPr="005F1FD9" w:rsidRDefault="00783D33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5F1FD9">
        <w:rPr>
          <w:rFonts w:ascii="Tahoma" w:hAnsi="Tahoma"/>
          <w:b/>
          <w:color w:val="69AE23"/>
          <w:sz w:val="28"/>
        </w:rPr>
        <w:t>Rezervni seznam</w:t>
      </w:r>
    </w:p>
    <w:p w:rsidR="0098219F" w:rsidRPr="005F1FD9" w:rsidRDefault="00783D33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5F1FD9">
        <w:rPr>
          <w:rFonts w:ascii="Tahoma" w:hAnsi="Tahoma"/>
          <w:sz w:val="22"/>
        </w:rPr>
        <w:t xml:space="preserve">Sestavi se lahko rezervni seznam, ki se lahko uporabi kot podlaga za zaposlovanje, če se bodo v prihodnosti pojavila podobna prosta delovna mesta. Veljal bo do 31. decembra istega </w:t>
      </w:r>
      <w:r w:rsidRPr="005F1FD9">
        <w:rPr>
          <w:rFonts w:ascii="Tahoma" w:hAnsi="Tahoma"/>
          <w:sz w:val="22"/>
        </w:rPr>
        <w:t>leta, kot je rok za prijavo, njegova veljavnost pa se lahko podaljša.</w:t>
      </w:r>
    </w:p>
    <w:p w:rsidR="005D23DC" w:rsidRPr="005F1FD9" w:rsidRDefault="00783D33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5F1FD9">
        <w:rPr>
          <w:rFonts w:ascii="Tahoma" w:hAnsi="Tahoma"/>
          <w:b/>
          <w:color w:val="69AE23"/>
          <w:sz w:val="28"/>
        </w:rPr>
        <w:t>Postopek za prijavo</w:t>
      </w:r>
    </w:p>
    <w:p w:rsidR="00B768AB" w:rsidRPr="005F1FD9" w:rsidRDefault="00783D33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5F1FD9">
        <w:rPr>
          <w:rFonts w:ascii="Tahoma" w:hAnsi="Tahoma"/>
          <w:b/>
          <w:color w:val="000000"/>
          <w:sz w:val="22"/>
        </w:rPr>
        <w:t xml:space="preserve">Za prijavo pošljite izpolnjen prijavni obrazec na elektronski naslov </w:t>
      </w:r>
      <w:hyperlink r:id="rId11" w:history="1">
        <w:r w:rsidRPr="005F1FD9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5F1FD9">
        <w:rPr>
          <w:rFonts w:ascii="Tahoma" w:hAnsi="Tahoma"/>
          <w:b/>
          <w:color w:val="000000"/>
          <w:sz w:val="22"/>
        </w:rPr>
        <w:t xml:space="preserve"> ter v zadevi elektro</w:t>
      </w:r>
      <w:r w:rsidRPr="005F1FD9">
        <w:rPr>
          <w:rFonts w:ascii="Tahoma" w:hAnsi="Tahoma"/>
          <w:b/>
          <w:color w:val="000000"/>
          <w:sz w:val="22"/>
        </w:rPr>
        <w:t>nskega sporočila jasno navedite delovno mesto, na katero se prijavljate, in svoj priimek.</w:t>
      </w:r>
    </w:p>
    <w:p w:rsidR="00B80457" w:rsidRPr="005F1FD9" w:rsidRDefault="00783D33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5F1FD9">
        <w:rPr>
          <w:rFonts w:ascii="Tahoma" w:hAnsi="Tahoma"/>
          <w:b/>
          <w:color w:val="000000"/>
          <w:sz w:val="22"/>
        </w:rPr>
        <w:t xml:space="preserve">Veljavne bodo samo prijave, v katerih bodo izpolnjeni vsi zahtevani razdelki prijavnega obrazca. Prijavni obrazec morate poslati v obliki Word ali PDF in po možnosti </w:t>
      </w:r>
      <w:r w:rsidRPr="005F1FD9">
        <w:rPr>
          <w:rFonts w:ascii="Tahoma" w:hAnsi="Tahoma"/>
          <w:b/>
          <w:color w:val="000000"/>
          <w:sz w:val="22"/>
        </w:rPr>
        <w:t>v angleščini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5F1FD9">
        <w:rPr>
          <w:rFonts w:ascii="Tahoma" w:hAnsi="Tahoma"/>
          <w:b/>
          <w:color w:val="000000"/>
          <w:sz w:val="22"/>
        </w:rPr>
        <w:t>. Vse nepopolne prijave bomo obravnavali kot neveljavne.</w:t>
      </w:r>
    </w:p>
    <w:p w:rsidR="00B768AB" w:rsidRPr="005F1FD9" w:rsidRDefault="00783D33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5F1FD9">
        <w:rPr>
          <w:rFonts w:ascii="Tahoma" w:hAnsi="Tahoma"/>
          <w:b/>
          <w:color w:val="000000"/>
          <w:sz w:val="22"/>
        </w:rPr>
        <w:t>Prijavni obrazec centra ECDC je na voljo na njegovem spletišču na naslovu:</w:t>
      </w:r>
    </w:p>
    <w:p w:rsidR="009A2309" w:rsidRPr="005F1FD9" w:rsidRDefault="00783D33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AE33B2" w:rsidRPr="005F1FD9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5F1FD9" w:rsidRDefault="00783D33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5F1FD9">
        <w:rPr>
          <w:rFonts w:ascii="Tahoma" w:hAnsi="Tahoma"/>
          <w:sz w:val="22"/>
        </w:rPr>
        <w:t>Rok za predložitev prijav in več informacij o statusu tega izbirnega postopka ter pomembne informacije o postopku zaposlitve so na voljo na našem spletišču na zgornji povezavi.</w:t>
      </w:r>
    </w:p>
    <w:p w:rsidR="00B768AB" w:rsidRPr="005F1FD9" w:rsidRDefault="00783D33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5F1FD9">
        <w:rPr>
          <w:rFonts w:ascii="Tahoma" w:hAnsi="Tahoma"/>
          <w:color w:val="000000"/>
          <w:sz w:val="22"/>
        </w:rPr>
        <w:t xml:space="preserve">Zaradi velikega števila prejetih prijav bodo </w:t>
      </w:r>
      <w:r w:rsidRPr="005F1FD9">
        <w:rPr>
          <w:rFonts w:ascii="Tahoma" w:hAnsi="Tahoma"/>
          <w:color w:val="000000"/>
          <w:sz w:val="22"/>
        </w:rPr>
        <w:t>obveščeni samo kandidati, ki bodo povabljeni na razgovor.</w:t>
      </w:r>
    </w:p>
    <w:sectPr w:rsidR="00B768AB" w:rsidRPr="005F1FD9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3D33">
      <w:pPr>
        <w:spacing w:after="0"/>
      </w:pPr>
      <w:r>
        <w:separator/>
      </w:r>
    </w:p>
  </w:endnote>
  <w:endnote w:type="continuationSeparator" w:id="0">
    <w:p w:rsidR="00000000" w:rsidRDefault="00783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5F1FD9" w:rsidRDefault="00783D33">
    <w:pPr>
      <w:pStyle w:val="Footer"/>
      <w:framePr w:wrap="around" w:vAnchor="text" w:hAnchor="margin" w:xAlign="center" w:y="1"/>
      <w:rPr>
        <w:rStyle w:val="PageNumber"/>
      </w:rPr>
    </w:pPr>
    <w:r w:rsidRPr="005F1FD9">
      <w:rPr>
        <w:rStyle w:val="PageNumber"/>
      </w:rPr>
      <w:fldChar w:fldCharType="begin"/>
    </w:r>
    <w:r w:rsidRPr="005F1FD9">
      <w:rPr>
        <w:rStyle w:val="PageNumber"/>
      </w:rPr>
      <w:instrText xml:space="preserve">PAGE  </w:instrText>
    </w:r>
    <w:r w:rsidRPr="005F1FD9">
      <w:rPr>
        <w:rStyle w:val="PageNumber"/>
      </w:rPr>
      <w:fldChar w:fldCharType="separate"/>
    </w:r>
    <w:r>
      <w:rPr>
        <w:rStyle w:val="PageNumber"/>
        <w:noProof/>
      </w:rPr>
      <w:t>1</w:t>
    </w:r>
    <w:r w:rsidRPr="005F1FD9">
      <w:rPr>
        <w:rStyle w:val="PageNumber"/>
      </w:rPr>
      <w:fldChar w:fldCharType="end"/>
    </w:r>
  </w:p>
  <w:p w:rsidR="00682C0C" w:rsidRPr="005F1FD9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98" w:rsidRPr="005F1FD9" w:rsidRDefault="00783D33">
      <w:r w:rsidRPr="005F1FD9">
        <w:separator/>
      </w:r>
    </w:p>
  </w:footnote>
  <w:footnote w:type="continuationSeparator" w:id="0">
    <w:p w:rsidR="000C7E98" w:rsidRPr="005F1FD9" w:rsidRDefault="00783D33">
      <w:r w:rsidRPr="005F1FD9">
        <w:continuationSeparator/>
      </w:r>
    </w:p>
  </w:footnote>
  <w:footnote w:id="1">
    <w:p w:rsidR="00D732F8" w:rsidRPr="00232257" w:rsidRDefault="00783D33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232257">
        <w:rPr>
          <w:rStyle w:val="FootnoteReference"/>
          <w:rFonts w:ascii="Tahoma" w:hAnsi="Tahoma" w:cs="Tahoma"/>
        </w:rPr>
        <w:footnoteRef/>
      </w:r>
      <w:r w:rsidRPr="00232257">
        <w:rPr>
          <w:rFonts w:ascii="Tahoma" w:hAnsi="Tahoma" w:cs="Tahoma"/>
          <w:vertAlign w:val="superscript"/>
        </w:rPr>
        <w:t xml:space="preserve"> </w:t>
      </w:r>
      <w:r w:rsidRPr="00232257">
        <w:rPr>
          <w:rFonts w:ascii="Tahoma" w:hAnsi="Tahoma" w:cs="Tahoma"/>
          <w:sz w:val="20"/>
        </w:rPr>
        <w:t xml:space="preserve">Upoštevajo se samo diplome in spričevala, ki so bili podeljeni v državah članicah EU ali za katere so organi </w:t>
      </w:r>
      <w:r w:rsidRPr="00232257">
        <w:rPr>
          <w:rFonts w:ascii="Tahoma" w:hAnsi="Tahoma" w:cs="Tahoma"/>
          <w:sz w:val="20"/>
        </w:rPr>
        <w:t>v navedenih državah članicah izdali potrdila o enakovrednosti.</w:t>
      </w:r>
    </w:p>
  </w:footnote>
  <w:footnote w:id="2">
    <w:p w:rsidR="00682C0C" w:rsidRPr="00232257" w:rsidRDefault="00783D33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232257">
        <w:rPr>
          <w:rStyle w:val="FootnoteReference"/>
          <w:rFonts w:ascii="Tahoma" w:hAnsi="Tahoma" w:cs="Tahoma"/>
        </w:rPr>
        <w:footnoteRef/>
      </w:r>
      <w:r w:rsidRPr="00232257">
        <w:rPr>
          <w:rStyle w:val="FootnoteReference"/>
          <w:rFonts w:ascii="Tahoma" w:hAnsi="Tahoma" w:cs="Tahoma"/>
        </w:rPr>
        <w:t xml:space="preserve"> </w:t>
      </w:r>
      <w:r w:rsidRPr="00232257">
        <w:rPr>
          <w:rFonts w:ascii="Tahoma" w:hAnsi="Tahoma" w:cs="Tahoma"/>
          <w:sz w:val="20"/>
        </w:rPr>
        <w:t xml:space="preserve">Poleg tega morajo imeti zaposleni za izpolnitev pogojev za napredovanje v letnem napredovalnem obdobju praktično znanje tretjega uradnega jezika EU, kot je navedeno v ustreznih kadrovskih </w:t>
      </w:r>
      <w:r w:rsidRPr="00232257">
        <w:rPr>
          <w:rFonts w:ascii="Tahoma" w:hAnsi="Tahoma" w:cs="Tahoma"/>
          <w:sz w:val="20"/>
        </w:rPr>
        <w:t>predpisih in izvedbenih pravilih.</w:t>
      </w:r>
    </w:p>
  </w:footnote>
  <w:footnote w:id="3">
    <w:p w:rsidR="00682C0C" w:rsidRPr="00232257" w:rsidRDefault="00783D33" w:rsidP="0041298D">
      <w:pPr>
        <w:autoSpaceDE w:val="0"/>
        <w:autoSpaceDN w:val="0"/>
        <w:adjustRightInd w:val="0"/>
        <w:rPr>
          <w:rFonts w:ascii="Tahoma" w:hAnsi="Tahoma" w:cs="Tahoma"/>
          <w:sz w:val="20"/>
          <w:lang w:val="it-IT"/>
        </w:rPr>
      </w:pPr>
      <w:r w:rsidRPr="00232257">
        <w:rPr>
          <w:rStyle w:val="FootnoteReference"/>
          <w:rFonts w:ascii="Tahoma" w:hAnsi="Tahoma" w:cs="Tahoma"/>
          <w:sz w:val="20"/>
        </w:rPr>
        <w:footnoteRef/>
      </w:r>
      <w:r w:rsidRPr="00232257">
        <w:rPr>
          <w:rFonts w:ascii="Tahoma" w:hAnsi="Tahoma" w:cs="Tahoma"/>
          <w:sz w:val="20"/>
        </w:rPr>
        <w:t xml:space="preserve"> Izbrani kandidat bo moral pred imenovanjem predložiti potrdilo o nekaznovanosti.</w:t>
      </w:r>
    </w:p>
  </w:footnote>
  <w:footnote w:id="4">
    <w:p w:rsidR="00B80457" w:rsidRPr="00232257" w:rsidRDefault="00783D33" w:rsidP="00B80457">
      <w:pPr>
        <w:pStyle w:val="FootnoteText"/>
        <w:ind w:left="142" w:hanging="142"/>
        <w:rPr>
          <w:rFonts w:cs="Tahoma"/>
        </w:rPr>
      </w:pPr>
      <w:r w:rsidRPr="00232257">
        <w:rPr>
          <w:rStyle w:val="FootnoteReference"/>
          <w:rFonts w:cs="Tahoma"/>
        </w:rPr>
        <w:footnoteRef/>
      </w:r>
      <w:r w:rsidRPr="00232257">
        <w:rPr>
          <w:rFonts w:cs="Tahoma"/>
        </w:rPr>
        <w:t xml:space="preserve"> Izvirnik te objave prostega delovnega mesta je objavljen v angleškem jeziku in je bil preveden tudi v preostalih 23 uradnih jezikov EU. K</w:t>
      </w:r>
      <w:r w:rsidRPr="00232257">
        <w:rPr>
          <w:rFonts w:cs="Tahoma"/>
        </w:rPr>
        <w:t>er vsakodnevne dejavnosti centra ECDC na splošno potekajo v angleščini, je zaželeno, da prijavo pošljete v angleščini.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5F1FD9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E3EED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8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E4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4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1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8C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CC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2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E0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1A1AA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E6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44B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4B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C2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CF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C2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42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0D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A61ACE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D08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2617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884B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D45E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0386A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CE74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7AA8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B0EF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E8C6795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1D8BF4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CB2E0E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AD8ED03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864C97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6A06EF6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AB66E8A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FD6717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5D8097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10525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4E3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18B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CB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A7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A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26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03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E28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E2940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A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80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8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88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05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0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26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E6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0DDE7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87B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38D23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49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6E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B3E8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8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8F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1D0D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62501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61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5E5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2D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60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6C1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C3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23E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761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C5E2FBA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C2F47C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0892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02D0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56AF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A68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760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6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4CB6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E2B4B2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0636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D4AE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EC97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6E04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46EC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5EB0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C014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BE04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C7E98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2257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1FD9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83D33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33B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EFCB6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sl-SI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sl-SI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sl-SI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sl-SI" w:eastAsia="sl-SI" w:bidi="sl-SI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18B8-5B51-42F5-84AF-5879B2D1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2019-02-21T12:09:00Z</dcterms:created>
  <dcterms:modified xsi:type="dcterms:W3CDTF">2019-02-21T12:09:00Z</dcterms:modified>
</cp:coreProperties>
</file>