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D97AF0" w:rsidRDefault="00D75808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D97AF0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AF0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D97AF0" w:rsidRDefault="00D75808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D97AF0">
        <w:rPr>
          <w:rFonts w:ascii="Tahoma" w:hAnsi="Tahoma"/>
          <w:b/>
          <w:color w:val="FFFFFF"/>
          <w:sz w:val="28"/>
        </w:rPr>
        <w:t>Post vacant: Asistent financiar</w:t>
      </w:r>
    </w:p>
    <w:p w:rsidR="00FE2E07" w:rsidRPr="00D97AF0" w:rsidRDefault="00D75808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D97AF0">
        <w:rPr>
          <w:rFonts w:ascii="Tahoma" w:hAnsi="Tahoma"/>
          <w:b/>
          <w:color w:val="FFFFFF"/>
          <w:sz w:val="28"/>
        </w:rPr>
        <w:t>Unitate: Gestionarea și coordonarea resurselor</w:t>
      </w:r>
    </w:p>
    <w:p w:rsidR="00F02854" w:rsidRPr="00D97AF0" w:rsidRDefault="00D75808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Referință: ECDC/FGIII/2019</w:t>
      </w:r>
      <w:bookmarkStart w:id="0" w:name="_GoBack"/>
      <w:bookmarkEnd w:id="0"/>
      <w:r w:rsidRPr="00D97AF0">
        <w:rPr>
          <w:rFonts w:ascii="Tahoma" w:hAnsi="Tahoma"/>
          <w:b/>
          <w:color w:val="FFFFFF"/>
          <w:sz w:val="28"/>
        </w:rPr>
        <w:t>/RMC-FA</w:t>
      </w:r>
    </w:p>
    <w:p w:rsidR="00276937" w:rsidRPr="00D97AF0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D97AF0" w:rsidRDefault="00D75808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 xml:space="preserve">Persoanele interesate sunt invitate să își depună candidatura pentru acest post de agent contractual în cadrul Centrului European de </w:t>
      </w:r>
      <w:r w:rsidRPr="00D97AF0">
        <w:rPr>
          <w:rFonts w:ascii="Tahoma" w:hAnsi="Tahoma"/>
          <w:sz w:val="22"/>
        </w:rPr>
        <w:t>Prevenire și Control al Bolilor (ECDC).</w:t>
      </w:r>
    </w:p>
    <w:p w:rsidR="00880A76" w:rsidRPr="00D97AF0" w:rsidRDefault="00D75808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D97AF0">
        <w:rPr>
          <w:rFonts w:ascii="Tahoma" w:hAnsi="Tahoma"/>
          <w:b/>
          <w:color w:val="69AE23"/>
          <w:sz w:val="28"/>
        </w:rPr>
        <w:t>Fișa postului</w:t>
      </w:r>
    </w:p>
    <w:p w:rsidR="003C3DD1" w:rsidRPr="00D97AF0" w:rsidRDefault="00D75808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>Titularul postului va lucra în cadrul secției Finanțe și contabilitate, fiind responsabil de sarcinile de mai jos în funcție de grup. Titularul postului va raporta liderului de grup relevant.</w:t>
      </w:r>
    </w:p>
    <w:p w:rsidR="003C3DD1" w:rsidRPr="00D97AF0" w:rsidRDefault="00D75808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 xml:space="preserve">Titularul </w:t>
      </w:r>
      <w:r w:rsidRPr="00D97AF0">
        <w:rPr>
          <w:rFonts w:ascii="Tahoma" w:hAnsi="Tahoma"/>
          <w:sz w:val="22"/>
        </w:rPr>
        <w:t>postului va răspunde îndeosebi de următoarele tipuri de activități: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inițierea tranzacțiilor financiare cu privire la creditele de angajament și creditele de plată;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 xml:space="preserve">acordarea de asistență unităților operaționale în elaborarea, controlul calității și </w:t>
      </w:r>
      <w:r w:rsidRPr="00D97AF0">
        <w:rPr>
          <w:rFonts w:ascii="Tahoma" w:hAnsi="Tahoma"/>
          <w:color w:val="000000"/>
          <w:sz w:val="22"/>
        </w:rPr>
        <w:t>compilarea dosarelor financiare;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asigurarea punerii în aplicare stricte a regulamentelor financiare și a procedurilor ECDC;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acordarea de asistență în elaborarea bugetului ECDC;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crearea dosarelor privind entitatea juridică și conturile bancare;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acordarea de</w:t>
      </w:r>
      <w:r w:rsidRPr="00D97AF0">
        <w:rPr>
          <w:rFonts w:ascii="Tahoma" w:hAnsi="Tahoma"/>
          <w:color w:val="000000"/>
          <w:sz w:val="22"/>
        </w:rPr>
        <w:t xml:space="preserve"> asistență în emiterea ordinelor de recuperare și transferurilor bugetare;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efectuarea acțiunilor de monitorizare a execuției bugetare, furnizarea de rapoarte și reconcilieri;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acordarea de asistență în chestiuni financiare în cadrul întregului Centru;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acord</w:t>
      </w:r>
      <w:r w:rsidRPr="00D97AF0">
        <w:rPr>
          <w:rFonts w:ascii="Tahoma" w:hAnsi="Tahoma"/>
          <w:color w:val="000000"/>
          <w:sz w:val="22"/>
        </w:rPr>
        <w:t>area de asistență în ceea ce privește actualizările procedurilor financiare și listele de verificare cu privire la fluxurile de lucru financiare ale Centrului;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oferirea ajutorului în activitățile administrative generale și de birou, inclusiv în ceea ce pri</w:t>
      </w:r>
      <w:r w:rsidRPr="00D97AF0">
        <w:rPr>
          <w:rFonts w:ascii="Tahoma" w:hAnsi="Tahoma"/>
          <w:color w:val="000000"/>
          <w:sz w:val="22"/>
        </w:rPr>
        <w:t>vește arhivarea documentelor;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îndeplinirea funcției de înlocuitor și oferirea de asistență colegilor desemnați din această secție;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efectuarea oricăror alte sarcini atribuite de liderul de grup sau de șeful secției.</w:t>
      </w:r>
    </w:p>
    <w:p w:rsidR="00B57790" w:rsidRPr="00D97AF0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D97AF0" w:rsidRDefault="00D75808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D97AF0">
        <w:rPr>
          <w:rFonts w:ascii="Tahoma" w:hAnsi="Tahoma"/>
          <w:b/>
          <w:color w:val="69AE23"/>
          <w:sz w:val="28"/>
        </w:rPr>
        <w:t>Experiența și calificările necesare</w:t>
      </w:r>
    </w:p>
    <w:p w:rsidR="005D23DC" w:rsidRPr="00D97AF0" w:rsidRDefault="00D75808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D97AF0">
        <w:rPr>
          <w:rFonts w:ascii="Tahoma" w:hAnsi="Tahoma"/>
        </w:rPr>
        <w:t>Cerințe formale</w:t>
      </w:r>
    </w:p>
    <w:p w:rsidR="00A76ADE" w:rsidRPr="00D97AF0" w:rsidRDefault="00D75808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Pentru a fi eligibil, candidatul trebuie să îndeplinească o serie de cerințe formale, și anume:</w:t>
      </w:r>
    </w:p>
    <w:p w:rsidR="003C3DD1" w:rsidRPr="00D97AF0" w:rsidRDefault="00D75808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D97AF0">
        <w:rPr>
          <w:rFonts w:ascii="Tahoma" w:hAnsi="Tahoma"/>
          <w:sz w:val="22"/>
        </w:rPr>
        <w:t>să aibă studii postliceale atestate prin diplomă sau studii de nivel secundar atestate prin diplomă, care să permită accesul la învățământul pos</w:t>
      </w:r>
      <w:r w:rsidRPr="00D97AF0">
        <w:rPr>
          <w:rFonts w:ascii="Tahoma" w:hAnsi="Tahoma"/>
          <w:sz w:val="22"/>
        </w:rPr>
        <w:t>tliceal, precum și experiență profesională corespunzătoare de 3 ani</w:t>
      </w:r>
      <w:r>
        <w:rPr>
          <w:rFonts w:ascii="Tahoma" w:hAnsi="Tahoma"/>
          <w:sz w:val="22"/>
          <w:vertAlign w:val="superscript"/>
        </w:rPr>
        <w:footnoteReference w:id="1"/>
      </w:r>
      <w:r w:rsidRPr="00D97AF0">
        <w:rPr>
          <w:rFonts w:ascii="Tahoma" w:hAnsi="Tahoma"/>
          <w:sz w:val="22"/>
        </w:rPr>
        <w:t>;</w:t>
      </w:r>
    </w:p>
    <w:p w:rsidR="0041298D" w:rsidRPr="00D97AF0" w:rsidRDefault="00D75808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lastRenderedPageBreak/>
        <w:t>să cunoască temeinic una dintre limbile oficiale ale Uniunii Europene și la nivel satisfăcător o altă limbă oficială a Uniunii, la nivelul necesar pentru îndeplinirea atribuțiilor sale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D97AF0">
        <w:rPr>
          <w:rFonts w:ascii="Tahoma" w:hAnsi="Tahoma"/>
          <w:color w:val="000000"/>
          <w:sz w:val="22"/>
        </w:rPr>
        <w:t>;</w:t>
      </w:r>
    </w:p>
    <w:p w:rsidR="0041298D" w:rsidRPr="00D97AF0" w:rsidRDefault="00D75808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să fie cetățean al unui stat membru al UE sau al Norvegiei, Islandei sau Liechtensteinului;</w:t>
      </w:r>
    </w:p>
    <w:p w:rsidR="0041298D" w:rsidRPr="00D97AF0" w:rsidRDefault="00D75808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să se bucure de drepturi cetățenești depline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D97AF0">
        <w:rPr>
          <w:rFonts w:ascii="Tahoma" w:hAnsi="Tahoma"/>
          <w:color w:val="000000"/>
          <w:sz w:val="22"/>
        </w:rPr>
        <w:t>;</w:t>
      </w:r>
    </w:p>
    <w:p w:rsidR="0041298D" w:rsidRPr="00D97AF0" w:rsidRDefault="00D75808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să-și fi îndeplinit toate obligațiile impuse de legislația aplicabilă privind serviciul militar;</w:t>
      </w:r>
    </w:p>
    <w:p w:rsidR="0041298D" w:rsidRPr="00D97AF0" w:rsidRDefault="00D75808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să prezinte garanți</w:t>
      </w:r>
      <w:r w:rsidRPr="00D97AF0">
        <w:rPr>
          <w:rFonts w:ascii="Tahoma" w:hAnsi="Tahoma"/>
          <w:color w:val="000000"/>
          <w:sz w:val="22"/>
        </w:rPr>
        <w:t>ile morale necesare pentru îndeplinirea atribuțiilor care îi revin; și</w:t>
      </w:r>
    </w:p>
    <w:p w:rsidR="00E6511F" w:rsidRPr="00D97AF0" w:rsidRDefault="00D75808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să fie apt fizic pentru a îndeplini atribuțiile postului.</w:t>
      </w:r>
    </w:p>
    <w:p w:rsidR="00224C0A" w:rsidRPr="00D97AF0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D97AF0" w:rsidRDefault="00D75808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D97AF0">
        <w:rPr>
          <w:rFonts w:ascii="Tahoma" w:hAnsi="Tahoma"/>
        </w:rPr>
        <w:t>Criterii de selecție</w:t>
      </w:r>
    </w:p>
    <w:p w:rsidR="00880A76" w:rsidRPr="00D97AF0" w:rsidRDefault="00D75808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D97AF0">
        <w:rPr>
          <w:rFonts w:ascii="Tahoma" w:hAnsi="Tahoma"/>
          <w:color w:val="000000"/>
          <w:sz w:val="22"/>
        </w:rPr>
        <w:t xml:space="preserve">Au fost identificate o serie de </w:t>
      </w:r>
      <w:r w:rsidRPr="00D97AF0">
        <w:rPr>
          <w:rFonts w:ascii="Tahoma" w:hAnsi="Tahoma"/>
          <w:b/>
          <w:color w:val="000000"/>
          <w:sz w:val="22"/>
        </w:rPr>
        <w:t>criterii esențiale</w:t>
      </w:r>
      <w:r w:rsidRPr="00D97AF0">
        <w:rPr>
          <w:rFonts w:ascii="Tahoma" w:hAnsi="Tahoma"/>
          <w:color w:val="000000"/>
          <w:sz w:val="22"/>
        </w:rPr>
        <w:t xml:space="preserve"> în ceea ce privește experiența profesională/cunoștințe</w:t>
      </w:r>
      <w:r w:rsidRPr="00D97AF0">
        <w:rPr>
          <w:rFonts w:ascii="Tahoma" w:hAnsi="Tahoma"/>
          <w:color w:val="000000"/>
          <w:sz w:val="22"/>
        </w:rPr>
        <w:t>le profesionale și caracteristicile personale/abilitățile interpersonale care trebuie îndeplinite în vederea calificării pentru acest post.</w:t>
      </w:r>
    </w:p>
    <w:p w:rsidR="00880A76" w:rsidRPr="00D97AF0" w:rsidRDefault="00D75808" w:rsidP="00880A76">
      <w:pPr>
        <w:autoSpaceDE w:val="0"/>
        <w:autoSpaceDN w:val="0"/>
        <w:adjustRightInd w:val="0"/>
        <w:spacing w:before="240" w:after="120"/>
        <w:rPr>
          <w:rFonts w:ascii="Verdana" w:hAnsi="Verdana"/>
          <w:i/>
          <w:color w:val="000000"/>
          <w:sz w:val="22"/>
        </w:rPr>
      </w:pPr>
      <w:r w:rsidRPr="00D97AF0">
        <w:rPr>
          <w:rFonts w:ascii="Verdana" w:hAnsi="Verdana"/>
          <w:i/>
          <w:color w:val="000000"/>
          <w:sz w:val="22"/>
        </w:rPr>
        <w:t>Experiență</w:t>
      </w:r>
      <w:r w:rsidR="00BA462C" w:rsidRPr="00D97AF0">
        <w:rPr>
          <w:rFonts w:ascii="Verdana" w:hAnsi="Verdana"/>
          <w:i/>
          <w:color w:val="000000"/>
          <w:sz w:val="22"/>
        </w:rPr>
        <w:t xml:space="preserve"> profesională/cunoștințe profesionale:</w:t>
      </w:r>
    </w:p>
    <w:p w:rsidR="00B57790" w:rsidRPr="00D97AF0" w:rsidRDefault="00D75808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experiență profesională de cel puțin 3 ani după acordarea diplomei,</w:t>
      </w:r>
      <w:r w:rsidRPr="00D97AF0">
        <w:rPr>
          <w:rFonts w:ascii="Tahoma" w:hAnsi="Tahoma"/>
          <w:color w:val="000000"/>
          <w:sz w:val="22"/>
        </w:rPr>
        <w:t xml:space="preserve"> în funcții care să aibă legătură cu atribuțiile prevăzute în fișa postului;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experiență în aplicarea procedurilor și normelor financiare;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experiență în procesarea tranzacțiilor financiare;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 xml:space="preserve">utilizator experimentat al Excel și al pachetelor de software </w:t>
      </w:r>
      <w:r w:rsidRPr="00D97AF0">
        <w:rPr>
          <w:rFonts w:ascii="Tahoma" w:hAnsi="Tahoma"/>
          <w:color w:val="000000"/>
          <w:sz w:val="22"/>
        </w:rPr>
        <w:t>pentru finanțe și contabilitate;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cunoașterea excelentă a limbii engleze, scris și vorbit.</w:t>
      </w:r>
    </w:p>
    <w:p w:rsidR="00880A76" w:rsidRPr="00D97AF0" w:rsidRDefault="00D75808" w:rsidP="00880A76">
      <w:pPr>
        <w:spacing w:before="240" w:after="120"/>
        <w:rPr>
          <w:rFonts w:ascii="Verdana" w:hAnsi="Verdana"/>
          <w:i/>
          <w:color w:val="000000"/>
          <w:sz w:val="22"/>
        </w:rPr>
      </w:pPr>
      <w:r w:rsidRPr="00D97AF0">
        <w:rPr>
          <w:rFonts w:ascii="Verdana" w:hAnsi="Verdana"/>
          <w:i/>
          <w:color w:val="000000"/>
          <w:sz w:val="22"/>
        </w:rPr>
        <w:t>Caracteristici personale/abilități interpersonale:</w:t>
      </w:r>
    </w:p>
    <w:p w:rsidR="003C3DD1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preocupare pentru calitate și profesionalism;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excelente aptitudini de comunicare;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preocupare pentru calitate, nivel</w:t>
      </w:r>
      <w:r w:rsidRPr="00D97AF0">
        <w:rPr>
          <w:rFonts w:ascii="Tahoma" w:hAnsi="Tahoma"/>
          <w:color w:val="000000"/>
          <w:sz w:val="22"/>
        </w:rPr>
        <w:t xml:space="preserve"> înalt de precizie și atenție la detalii;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excelente competențe numerice;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orientarea spre un nivel ridicat al calității serviciilor;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aptitudini interpersonale solide și capacitatea de a lucra eficient în echipă;</w:t>
      </w:r>
    </w:p>
    <w:p w:rsidR="00224C0A" w:rsidRPr="00D97AF0" w:rsidRDefault="00D75808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capacitatea de a lucra sub presiune și de a r</w:t>
      </w:r>
      <w:r w:rsidRPr="00D97AF0">
        <w:rPr>
          <w:rFonts w:ascii="Tahoma" w:hAnsi="Tahoma"/>
          <w:color w:val="000000"/>
          <w:sz w:val="22"/>
        </w:rPr>
        <w:t>especta termene strânse.</w:t>
      </w:r>
    </w:p>
    <w:p w:rsidR="00880A76" w:rsidRPr="00D97AF0" w:rsidRDefault="00D75808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D97AF0">
        <w:rPr>
          <w:rFonts w:ascii="Verdana" w:hAnsi="Verdana"/>
          <w:i/>
          <w:color w:val="000000"/>
          <w:sz w:val="22"/>
        </w:rPr>
        <w:t>De asemenea, au fost identificate anumite tipuri de experiențe și de competențe care reprezintă un avantaj pentru postul anunțat, și anume</w:t>
      </w:r>
      <w:r w:rsidRPr="00D97AF0">
        <w:rPr>
          <w:rFonts w:ascii="Tahoma" w:hAnsi="Tahoma"/>
          <w:i/>
          <w:color w:val="000000"/>
          <w:sz w:val="22"/>
        </w:rPr>
        <w:t>:</w:t>
      </w:r>
    </w:p>
    <w:p w:rsidR="00224C0A" w:rsidRPr="00D97AF0" w:rsidRDefault="00D75808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lastRenderedPageBreak/>
        <w:t>instruire specifică în domeniul finanțelor și al contabilității.</w:t>
      </w:r>
    </w:p>
    <w:p w:rsidR="00C82970" w:rsidRPr="00D97AF0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Pr="00D97AF0" w:rsidRDefault="00D75808" w:rsidP="001336A2">
      <w:pPr>
        <w:spacing w:after="12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 xml:space="preserve">În funcție de numărul de </w:t>
      </w:r>
      <w:r w:rsidRPr="00D97AF0">
        <w:rPr>
          <w:rFonts w:ascii="Tahoma" w:hAnsi="Tahoma"/>
          <w:sz w:val="22"/>
        </w:rPr>
        <w:t>candidaturi primite, comitetul de selecție poate să aplice cerințe mai stricte în cadrul criteriilor de selecție menționate anterior, sau poate să aplice criteriile avantajoase enumerate.</w:t>
      </w:r>
    </w:p>
    <w:p w:rsidR="005D23DC" w:rsidRPr="00D97AF0" w:rsidRDefault="00D75808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D97AF0">
        <w:rPr>
          <w:rFonts w:ascii="Tahoma" w:hAnsi="Tahoma"/>
          <w:b/>
          <w:color w:val="69AE23"/>
          <w:sz w:val="28"/>
        </w:rPr>
        <w:t>Numirea și condițiile de angajare</w:t>
      </w:r>
    </w:p>
    <w:p w:rsidR="0041298D" w:rsidRPr="00D97AF0" w:rsidRDefault="00D75808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 xml:space="preserve">Titularul postului va fi numit pe </w:t>
      </w:r>
      <w:r w:rsidRPr="00D97AF0">
        <w:rPr>
          <w:rFonts w:ascii="Tahoma" w:hAnsi="Tahoma"/>
          <w:sz w:val="22"/>
        </w:rPr>
        <w:t>baza unei liste restrânse pe care comitetul de selecție o va propune directorului. Propunerea comitetului de selecție se va face pe baza prezentului anunț de post vacant. Candidaților li se poate solicita să susțină probe scrise.</w:t>
      </w:r>
      <w:r w:rsidRPr="00D97AF0">
        <w:rPr>
          <w:rFonts w:ascii="Tahoma" w:hAnsi="Tahoma"/>
        </w:rPr>
        <w:t xml:space="preserve"> </w:t>
      </w:r>
      <w:r w:rsidRPr="00D97AF0">
        <w:rPr>
          <w:rFonts w:ascii="Tahoma" w:hAnsi="Tahoma"/>
          <w:sz w:val="22"/>
        </w:rPr>
        <w:t>Candidații trebuie să aibă</w:t>
      </w:r>
      <w:r w:rsidRPr="00D97AF0">
        <w:rPr>
          <w:rFonts w:ascii="Tahoma" w:hAnsi="Tahoma"/>
          <w:sz w:val="22"/>
        </w:rPr>
        <w:t xml:space="preserve"> în vedere că propunerea poate fi făcută publică și că includerea pe lista restrânsă nu garantează angajarea. Lista restrânsă de candidați va fi stabilită în urma unei proceduri de selecție deschise.</w:t>
      </w:r>
    </w:p>
    <w:p w:rsidR="0041298D" w:rsidRPr="00D97AF0" w:rsidRDefault="00D75808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>Candidatul selectat va fi angajat în calitate de agent c</w:t>
      </w:r>
      <w:r w:rsidRPr="00D97AF0">
        <w:rPr>
          <w:rFonts w:ascii="Tahoma" w:hAnsi="Tahoma"/>
          <w:sz w:val="22"/>
        </w:rPr>
        <w:t xml:space="preserve">ontractual, în conformitate cu articolul 3 litera (a) din Regimul aplicabil celorlalți agenți ai Uniunii Europene, pentru o perioadă de cinci ani. Contractul poate fi reînnoit. Numirea se va face în </w:t>
      </w:r>
      <w:r w:rsidRPr="00D97AF0">
        <w:rPr>
          <w:rFonts w:ascii="Tahoma" w:hAnsi="Tahoma"/>
          <w:b/>
          <w:sz w:val="22"/>
        </w:rPr>
        <w:t>grupa de funcții III</w:t>
      </w:r>
      <w:r w:rsidRPr="00D97AF0">
        <w:rPr>
          <w:rFonts w:ascii="Tahoma" w:hAnsi="Tahoma"/>
          <w:sz w:val="22"/>
        </w:rPr>
        <w:t>.</w:t>
      </w:r>
      <w:r w:rsidRPr="00D97AF0">
        <w:rPr>
          <w:rFonts w:ascii="Tahoma" w:hAnsi="Tahoma"/>
          <w:color w:val="FF0000"/>
          <w:sz w:val="22"/>
        </w:rPr>
        <w:t xml:space="preserve"> </w:t>
      </w:r>
      <w:r w:rsidRPr="00D97AF0">
        <w:rPr>
          <w:rFonts w:ascii="Tahoma" w:hAnsi="Tahoma"/>
          <w:sz w:val="22"/>
        </w:rPr>
        <w:t>Candidații trebuie să aibă în veder</w:t>
      </w:r>
      <w:r w:rsidRPr="00D97AF0">
        <w:rPr>
          <w:rFonts w:ascii="Tahoma" w:hAnsi="Tahoma"/>
          <w:sz w:val="22"/>
        </w:rPr>
        <w:t>e condiția menționată în Statutul funcționarilor UE, conform căreia toți noii angajați trebuie să efectueze cu succes o perioadă de probă.</w:t>
      </w:r>
    </w:p>
    <w:p w:rsidR="0041298D" w:rsidRPr="00D97AF0" w:rsidRDefault="00D75808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Pentru informații suplimentare despre condițiile contractuale și de lucru, vă rugăm să consultați Regimul aplicabil c</w:t>
      </w:r>
      <w:r w:rsidRPr="00D97AF0">
        <w:rPr>
          <w:rFonts w:ascii="Tahoma" w:hAnsi="Tahoma"/>
          <w:color w:val="000000"/>
          <w:sz w:val="22"/>
        </w:rPr>
        <w:t>elorlalți agenți ai Uniunii Europene, disponibil la următorul link:</w:t>
      </w:r>
    </w:p>
    <w:p w:rsidR="00626750" w:rsidRPr="00D97AF0" w:rsidRDefault="00D75808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BA462C" w:rsidRPr="00D97AF0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D97AF0" w:rsidRDefault="00D75808" w:rsidP="0041298D">
      <w:pPr>
        <w:rPr>
          <w:rFonts w:ascii="Tahoma" w:hAnsi="Tahoma" w:cs="Tahoma"/>
          <w:sz w:val="22"/>
          <w:szCs w:val="22"/>
        </w:rPr>
      </w:pPr>
      <w:r w:rsidRPr="00D97AF0">
        <w:rPr>
          <w:rFonts w:ascii="Tahoma" w:hAnsi="Tahoma"/>
          <w:sz w:val="22"/>
        </w:rPr>
        <w:t xml:space="preserve">Locul de muncă va fi </w:t>
      </w:r>
      <w:r w:rsidRPr="00D97AF0">
        <w:rPr>
          <w:rFonts w:ascii="Tahoma" w:hAnsi="Tahoma"/>
          <w:sz w:val="22"/>
        </w:rPr>
        <w:t>la Stockholm, unde se desfășoară activitatea Centrului.</w:t>
      </w:r>
    </w:p>
    <w:p w:rsidR="005D23DC" w:rsidRPr="00D97AF0" w:rsidRDefault="00D75808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D97AF0">
        <w:rPr>
          <w:rFonts w:ascii="Tahoma" w:hAnsi="Tahoma"/>
          <w:b/>
          <w:color w:val="69AE23"/>
          <w:sz w:val="28"/>
        </w:rPr>
        <w:t>Lista de rezervă</w:t>
      </w:r>
    </w:p>
    <w:p w:rsidR="0098219F" w:rsidRPr="00D97AF0" w:rsidRDefault="00D75808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97AF0">
        <w:rPr>
          <w:rFonts w:ascii="Tahoma" w:hAnsi="Tahoma"/>
          <w:sz w:val="22"/>
        </w:rPr>
        <w:t>Este posibil să se întocmească o listă de rezervă care să fie utilizată în vederea recrutării dacă vor apărea posturi vacante similare. Aceasta va fi valabilă până la data de 31 decem</w:t>
      </w:r>
      <w:r w:rsidRPr="00D97AF0">
        <w:rPr>
          <w:rFonts w:ascii="Tahoma" w:hAnsi="Tahoma"/>
          <w:sz w:val="22"/>
        </w:rPr>
        <w:t>brie a anului în care este stabilit termenul de depunere a candidaturii, cu posibilitate de prelungire.</w:t>
      </w:r>
    </w:p>
    <w:p w:rsidR="005D23DC" w:rsidRPr="00D97AF0" w:rsidRDefault="00D75808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D97AF0">
        <w:rPr>
          <w:rFonts w:ascii="Tahoma" w:hAnsi="Tahoma"/>
          <w:b/>
          <w:color w:val="69AE23"/>
          <w:sz w:val="28"/>
        </w:rPr>
        <w:t>Procedura de depunere a candidaturii</w:t>
      </w:r>
    </w:p>
    <w:p w:rsidR="00B768AB" w:rsidRPr="00D97AF0" w:rsidRDefault="00D75808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D97AF0">
        <w:rPr>
          <w:rFonts w:ascii="Tahoma" w:hAnsi="Tahoma"/>
          <w:b/>
          <w:color w:val="000000"/>
          <w:sz w:val="22"/>
        </w:rPr>
        <w:t xml:space="preserve">Pentru a vă depune candidatura, trimiteți formularul de candidatură completat la adresa </w:t>
      </w:r>
      <w:hyperlink r:id="rId11" w:history="1">
        <w:r w:rsidRPr="00D97AF0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D97AF0">
        <w:rPr>
          <w:rFonts w:ascii="Tahoma" w:hAnsi="Tahoma"/>
          <w:b/>
          <w:color w:val="000000"/>
          <w:sz w:val="22"/>
        </w:rPr>
        <w:t xml:space="preserve"> indicând clar, în titlul mesajului, numărul de referință al postului vacant și numele dumneavoastră de familie.</w:t>
      </w:r>
    </w:p>
    <w:p w:rsidR="00B80457" w:rsidRPr="00D97AF0" w:rsidRDefault="00D75808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D97AF0">
        <w:rPr>
          <w:rFonts w:ascii="Tahoma" w:hAnsi="Tahoma"/>
          <w:b/>
          <w:color w:val="000000"/>
          <w:sz w:val="22"/>
        </w:rPr>
        <w:t>Pentru a depune o candidatură valabilă, trebuie să completați toate secțiunile obligatorii din</w:t>
      </w:r>
      <w:r w:rsidRPr="00D97AF0">
        <w:rPr>
          <w:rFonts w:ascii="Tahoma" w:hAnsi="Tahoma"/>
          <w:b/>
          <w:color w:val="000000"/>
          <w:sz w:val="22"/>
        </w:rPr>
        <w:t xml:space="preserve"> formular, care trebuie transmis în format Word sau PDF, de preferință în limba engleză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D97AF0">
        <w:rPr>
          <w:rFonts w:ascii="Tahoma" w:hAnsi="Tahoma"/>
          <w:b/>
          <w:color w:val="000000"/>
          <w:sz w:val="22"/>
        </w:rPr>
        <w:t>. Formularele de candidatură incomplete nu vor fi considerate valabile.</w:t>
      </w:r>
    </w:p>
    <w:p w:rsidR="00B768AB" w:rsidRPr="00D97AF0" w:rsidRDefault="00D75808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D97AF0">
        <w:rPr>
          <w:rFonts w:ascii="Tahoma" w:hAnsi="Tahoma"/>
          <w:b/>
          <w:color w:val="000000"/>
          <w:sz w:val="22"/>
        </w:rPr>
        <w:t>Formularul de candidatură al ECDC se găsește pe site-ul nostru, la adresa:</w:t>
      </w:r>
    </w:p>
    <w:p w:rsidR="009A2309" w:rsidRPr="00D97AF0" w:rsidRDefault="00D75808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BA462C" w:rsidRPr="00D97AF0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D97AF0" w:rsidRDefault="00D75808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97AF0">
        <w:rPr>
          <w:rFonts w:ascii="Tahoma" w:hAnsi="Tahoma"/>
          <w:sz w:val="22"/>
        </w:rPr>
        <w:lastRenderedPageBreak/>
        <w:t>Termenul de depunere a candidaturilor și alte informații cu privire la stadiul acestei proceduri de selecție, prec</w:t>
      </w:r>
      <w:r w:rsidRPr="00D97AF0">
        <w:rPr>
          <w:rFonts w:ascii="Tahoma" w:hAnsi="Tahoma"/>
          <w:sz w:val="22"/>
        </w:rPr>
        <w:t>um și informații importante despre procedura de recrutare, sunt menționate pe site-ul nostru și pot fi găsite cu ajutorul linkului de mai sus.</w:t>
      </w:r>
    </w:p>
    <w:p w:rsidR="00B768AB" w:rsidRPr="00D97AF0" w:rsidRDefault="00D75808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D97AF0">
        <w:rPr>
          <w:rFonts w:ascii="Tahoma" w:hAnsi="Tahoma"/>
          <w:color w:val="000000"/>
          <w:sz w:val="22"/>
        </w:rPr>
        <w:t>Având în vedere numărul mare de candidaturi care se primesc, vor fi înștiințați numai candidații selectați pentru</w:t>
      </w:r>
      <w:r w:rsidRPr="00D97AF0">
        <w:rPr>
          <w:rFonts w:ascii="Tahoma" w:hAnsi="Tahoma"/>
          <w:color w:val="000000"/>
          <w:sz w:val="22"/>
        </w:rPr>
        <w:t xml:space="preserve"> interviu.</w:t>
      </w:r>
    </w:p>
    <w:sectPr w:rsidR="00B768AB" w:rsidRPr="00D97AF0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5808">
      <w:pPr>
        <w:spacing w:after="0"/>
      </w:pPr>
      <w:r>
        <w:separator/>
      </w:r>
    </w:p>
  </w:endnote>
  <w:endnote w:type="continuationSeparator" w:id="0">
    <w:p w:rsidR="00000000" w:rsidRDefault="00D75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D97AF0" w:rsidRDefault="00D75808">
    <w:pPr>
      <w:pStyle w:val="Footer"/>
      <w:framePr w:wrap="around" w:vAnchor="text" w:hAnchor="margin" w:xAlign="center" w:y="1"/>
      <w:rPr>
        <w:rStyle w:val="PageNumber"/>
      </w:rPr>
    </w:pPr>
    <w:r w:rsidRPr="00D97AF0">
      <w:rPr>
        <w:rStyle w:val="PageNumber"/>
      </w:rPr>
      <w:fldChar w:fldCharType="begin"/>
    </w:r>
    <w:r w:rsidRPr="00D97AF0">
      <w:rPr>
        <w:rStyle w:val="PageNumber"/>
      </w:rPr>
      <w:instrText xml:space="preserve">PAGE  </w:instrText>
    </w:r>
    <w:r w:rsidRPr="00D97AF0">
      <w:rPr>
        <w:rStyle w:val="PageNumber"/>
      </w:rPr>
      <w:fldChar w:fldCharType="separate"/>
    </w:r>
    <w:r>
      <w:rPr>
        <w:rStyle w:val="PageNumber"/>
        <w:noProof/>
      </w:rPr>
      <w:t>1</w:t>
    </w:r>
    <w:r w:rsidRPr="00D97AF0">
      <w:rPr>
        <w:rStyle w:val="PageNumber"/>
      </w:rPr>
      <w:fldChar w:fldCharType="end"/>
    </w:r>
  </w:p>
  <w:p w:rsidR="00682C0C" w:rsidRPr="00D97AF0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2C" w:rsidRPr="00D97AF0" w:rsidRDefault="00D75808">
      <w:r w:rsidRPr="00D97AF0">
        <w:separator/>
      </w:r>
    </w:p>
  </w:footnote>
  <w:footnote w:type="continuationSeparator" w:id="0">
    <w:p w:rsidR="00DC702C" w:rsidRPr="00D97AF0" w:rsidRDefault="00D75808">
      <w:r w:rsidRPr="00D97AF0">
        <w:continuationSeparator/>
      </w:r>
    </w:p>
  </w:footnote>
  <w:footnote w:id="1">
    <w:p w:rsidR="00D732F8" w:rsidRPr="00D75808" w:rsidRDefault="00D75808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fr-FR"/>
        </w:rPr>
      </w:pPr>
      <w:r w:rsidRPr="002229E6">
        <w:rPr>
          <w:rStyle w:val="FootnoteReference"/>
          <w:rFonts w:ascii="Tahoma" w:hAnsi="Tahoma" w:cs="Tahoma"/>
        </w:rPr>
        <w:footnoteRef/>
      </w:r>
      <w:r w:rsidRPr="002229E6">
        <w:rPr>
          <w:rFonts w:ascii="Tahoma" w:hAnsi="Tahoma" w:cs="Tahoma"/>
          <w:vertAlign w:val="superscript"/>
        </w:rPr>
        <w:t xml:space="preserve"> </w:t>
      </w:r>
      <w:r w:rsidRPr="002229E6">
        <w:rPr>
          <w:rFonts w:ascii="Tahoma" w:hAnsi="Tahoma" w:cs="Tahoma"/>
          <w:sz w:val="20"/>
        </w:rPr>
        <w:t xml:space="preserve">Se vor lua în considerare numai diplomele și certificatele care au fost acordate în statele membre ale UE sau pentru care autoritățile din statele membre </w:t>
      </w:r>
      <w:r w:rsidRPr="002229E6">
        <w:rPr>
          <w:rFonts w:ascii="Tahoma" w:hAnsi="Tahoma" w:cs="Tahoma"/>
          <w:sz w:val="20"/>
        </w:rPr>
        <w:t>respective au eliberat certificate de echivalență.</w:t>
      </w:r>
    </w:p>
  </w:footnote>
  <w:footnote w:id="2">
    <w:p w:rsidR="00682C0C" w:rsidRPr="002229E6" w:rsidRDefault="00D75808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2229E6">
        <w:rPr>
          <w:rStyle w:val="FootnoteReference"/>
          <w:rFonts w:ascii="Tahoma" w:hAnsi="Tahoma" w:cs="Tahoma"/>
        </w:rPr>
        <w:footnoteRef/>
      </w:r>
      <w:r w:rsidRPr="002229E6">
        <w:rPr>
          <w:rStyle w:val="FootnoteReference"/>
          <w:rFonts w:ascii="Tahoma" w:hAnsi="Tahoma" w:cs="Tahoma"/>
        </w:rPr>
        <w:t xml:space="preserve"> </w:t>
      </w:r>
      <w:r w:rsidRPr="002229E6">
        <w:rPr>
          <w:rFonts w:ascii="Tahoma" w:hAnsi="Tahoma" w:cs="Tahoma"/>
          <w:sz w:val="20"/>
        </w:rPr>
        <w:t>În plus, pentru a fi eligibili pentru promovare în contextul exercițiului anual, membrii personalului trebuie să cunoască la nivel de bază o a treia limbă a UE, conform prevederilor aplicabile din Statut</w:t>
      </w:r>
      <w:r w:rsidRPr="002229E6">
        <w:rPr>
          <w:rFonts w:ascii="Tahoma" w:hAnsi="Tahoma" w:cs="Tahoma"/>
          <w:sz w:val="20"/>
        </w:rPr>
        <w:t>ul funcționarilor și din normele de aplicare.</w:t>
      </w:r>
    </w:p>
  </w:footnote>
  <w:footnote w:id="3">
    <w:p w:rsidR="00682C0C" w:rsidRPr="002229E6" w:rsidRDefault="00D75808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2229E6">
        <w:rPr>
          <w:rStyle w:val="FootnoteReference"/>
          <w:rFonts w:ascii="Tahoma" w:hAnsi="Tahoma" w:cs="Tahoma"/>
          <w:sz w:val="20"/>
        </w:rPr>
        <w:footnoteRef/>
      </w:r>
      <w:r w:rsidRPr="002229E6">
        <w:rPr>
          <w:rFonts w:ascii="Tahoma" w:hAnsi="Tahoma" w:cs="Tahoma"/>
          <w:sz w:val="20"/>
        </w:rPr>
        <w:t xml:space="preserve"> Înainte de numirea sa, candidatul selectat va trebui să prezinte un certificat din evidențele poliției prin care să dovedească faptul că nu are cazier judiciar.</w:t>
      </w:r>
    </w:p>
  </w:footnote>
  <w:footnote w:id="4">
    <w:p w:rsidR="00B80457" w:rsidRPr="002229E6" w:rsidRDefault="00D75808" w:rsidP="00B80457">
      <w:pPr>
        <w:pStyle w:val="FootnoteText"/>
        <w:ind w:left="142" w:hanging="142"/>
        <w:rPr>
          <w:rFonts w:cs="Tahoma"/>
        </w:rPr>
      </w:pPr>
      <w:r w:rsidRPr="002229E6">
        <w:rPr>
          <w:rStyle w:val="FootnoteReference"/>
          <w:rFonts w:cs="Tahoma"/>
        </w:rPr>
        <w:footnoteRef/>
      </w:r>
      <w:r w:rsidRPr="002229E6">
        <w:rPr>
          <w:rFonts w:cs="Tahoma"/>
        </w:rPr>
        <w:t xml:space="preserve"> Prezentul anunț de post vacant a fost tradus </w:t>
      </w:r>
      <w:r w:rsidRPr="002229E6">
        <w:rPr>
          <w:rFonts w:cs="Tahoma"/>
        </w:rPr>
        <w:t>din originalul în limba engleză în toate cele 24 de limbi oficiale ale UE. Întrucât limba folosită în activitatea curentă a agenției este în general limba engleză, ECDC preferă să primească candidaturile în engleză.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D97AF0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9CE8F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EE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4A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01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C9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6D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8A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E2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42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FB9AD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2E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45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83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1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02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EE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07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6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BDB434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985A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6B0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4413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AA87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84CD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E81B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5A09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84B2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3DFA035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80EB738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6A8021F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328E41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3EEAFD5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3601DA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AF60FC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8F6203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E17028C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3894D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78D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D05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3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48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29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ABD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707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FA0AF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1E6F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0C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43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4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C1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E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0D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C4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7C0C5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265D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07221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C7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89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0EC2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A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CB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188A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3C84E6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60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86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EF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4A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F22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A4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81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447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F7F65A3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8F094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265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A27B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E25C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E6E4C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E8A2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28EF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E474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DD64F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8041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6249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C4D9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066B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24BA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8CAF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4A7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320E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29E6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462C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5808"/>
    <w:rsid w:val="00D77005"/>
    <w:rsid w:val="00D77528"/>
    <w:rsid w:val="00D81F8F"/>
    <w:rsid w:val="00D97AF0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02C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E9366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ro-RO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ro-RO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ro-RO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10B9-6A50-4D72-9515-533C1897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2019-02-21T12:08:00Z</dcterms:created>
  <dcterms:modified xsi:type="dcterms:W3CDTF">2019-02-21T12:08:00Z</dcterms:modified>
</cp:coreProperties>
</file>