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12334C" w:rsidRDefault="00B76AEA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1D0B80" w:rsidRDefault="00B76AEA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Vaga para o lugar de: Assistente Financeiro</w:t>
      </w:r>
    </w:p>
    <w:p w:rsidR="00FE2E07" w:rsidRPr="001D0B80" w:rsidRDefault="00B76AEA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Unidade: Gestão de Recursos e Coordenação</w:t>
      </w:r>
    </w:p>
    <w:p w:rsidR="00F02854" w:rsidRPr="001D0B80" w:rsidRDefault="0006755C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Referência: ECDC/FGIII/2019</w:t>
      </w:r>
      <w:bookmarkStart w:id="0" w:name="_GoBack"/>
      <w:bookmarkEnd w:id="0"/>
      <w:r w:rsidR="00B76AEA">
        <w:rPr>
          <w:rFonts w:ascii="Tahoma" w:hAnsi="Tahoma"/>
          <w:b/>
          <w:color w:val="FFFFFF"/>
          <w:sz w:val="28"/>
        </w:rPr>
        <w:t>/RMC-FA</w:t>
      </w:r>
    </w:p>
    <w:p w:rsidR="00276937" w:rsidRPr="005349D8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0A7EC9" w:rsidRDefault="00B76AEA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 xml:space="preserve">Convidam-se os interessados a apresentar candidaturas para o lugar de agente contratual acima referido no Centro Europeu de </w:t>
      </w:r>
      <w:r>
        <w:rPr>
          <w:rFonts w:ascii="Tahoma" w:hAnsi="Tahoma"/>
          <w:sz w:val="22"/>
        </w:rPr>
        <w:t>Prevenção e Controlo das Doenças (ECDC).</w:t>
      </w:r>
    </w:p>
    <w:p w:rsidR="00880A76" w:rsidRPr="00AA74DE" w:rsidRDefault="00B76AEA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>
        <w:rPr>
          <w:rFonts w:ascii="Tahoma" w:hAnsi="Tahoma"/>
          <w:b/>
          <w:color w:val="69AE23"/>
          <w:sz w:val="28"/>
        </w:rPr>
        <w:t>Descrição das funções</w:t>
      </w:r>
    </w:p>
    <w:p w:rsidR="003C3DD1" w:rsidRPr="00224C0A" w:rsidRDefault="00B76AEA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O titular do cargo trabalhará na Secção Financeira e de Contabilidade, sendo responsável pelas funções a seguir referidas em função do Grupo. O titular do cargo apresentará ao Líder do Grupo re</w:t>
      </w:r>
      <w:r>
        <w:rPr>
          <w:rFonts w:ascii="Tahoma" w:hAnsi="Tahoma"/>
          <w:sz w:val="22"/>
        </w:rPr>
        <w:t>levante um relatório.</w:t>
      </w:r>
    </w:p>
    <w:p w:rsidR="003C3DD1" w:rsidRPr="00CB39C7" w:rsidRDefault="00B76AEA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O titular do cargo será responsável, em particular, pelas seguintes áreas de trabalho: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iniciar transações financeiras relacionadas com dotações de pagamento e dotações de autorização;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prestar</w:t>
      </w:r>
      <w:r>
        <w:rPr>
          <w:rFonts w:ascii="Tahoma" w:hAnsi="Tahoma"/>
          <w:color w:val="000000"/>
          <w:sz w:val="22"/>
        </w:rPr>
        <w:t xml:space="preserve"> assistência às unidades operacionais na preparação, no controlo de qualidade e na compilação de dossiês financeiros;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assegurar a rigorosa implementação dos procedimentos e do regulamento financeiro do ECDC;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prestar assistência na elaboração do orçamento d</w:t>
      </w:r>
      <w:r>
        <w:rPr>
          <w:rFonts w:ascii="Tahoma" w:hAnsi="Tahoma"/>
          <w:color w:val="000000"/>
          <w:sz w:val="22"/>
        </w:rPr>
        <w:t>o ECDC;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criar ficheiros de entidade jurídica e de contas bancárias;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prestar assistência na emissão de ordens de cobrança e transferências orçamentais;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assegurar o acompanhamento da execução orçamental, a apresentação de relatórios e a reconciliação;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</w:t>
      </w:r>
      <w:r>
        <w:rPr>
          <w:rFonts w:ascii="Tahoma" w:hAnsi="Tahoma"/>
          <w:color w:val="000000"/>
          <w:sz w:val="22"/>
        </w:rPr>
        <w:t>r assistência em matéria financeira em todo o Centro;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prestar assistência com atualizações dos procedimentos financeiros e das listas de controlo relacionadas com os fluxos de trabalho financeiros do Centro;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prestar apoio administrativo e de secretariado d</w:t>
      </w:r>
      <w:r>
        <w:rPr>
          <w:rFonts w:ascii="Tahoma" w:hAnsi="Tahoma"/>
          <w:color w:val="000000"/>
          <w:sz w:val="22"/>
        </w:rPr>
        <w:t>e caráter geral, incluindo o arquivo de documentos;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desempenhar uma função de apoio e de enquadramento aos homólogos afetados na secção;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desempenhar quaisquer outras funções atribuídas pelo Líder do Grupo ou pelo Chefe de Secção.</w:t>
      </w:r>
    </w:p>
    <w:p w:rsidR="00B57790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Default="00B76AEA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>
        <w:rPr>
          <w:rFonts w:ascii="Tahoma" w:hAnsi="Tahoma"/>
          <w:b/>
          <w:color w:val="69AE23"/>
          <w:sz w:val="28"/>
        </w:rPr>
        <w:t xml:space="preserve">Qualificações e </w:t>
      </w:r>
      <w:r>
        <w:rPr>
          <w:rFonts w:ascii="Tahoma" w:hAnsi="Tahoma"/>
          <w:b/>
          <w:color w:val="69AE23"/>
          <w:sz w:val="28"/>
        </w:rPr>
        <w:t>experiência exigidas</w:t>
      </w:r>
    </w:p>
    <w:p w:rsidR="005D23DC" w:rsidRPr="00224C0A" w:rsidRDefault="00B76AEA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>
        <w:rPr>
          <w:rFonts w:ascii="Tahoma" w:hAnsi="Tahoma"/>
        </w:rPr>
        <w:t>Requisitos formais</w:t>
      </w:r>
    </w:p>
    <w:p w:rsidR="00A76ADE" w:rsidRPr="0012334C" w:rsidRDefault="00B76AEA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Para ser elegível, o candidato deve preencher um conjunto de requisitos formais, a saber:</w:t>
      </w:r>
    </w:p>
    <w:p w:rsidR="003C3DD1" w:rsidRPr="00224C0A" w:rsidRDefault="00B76AEA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lastRenderedPageBreak/>
        <w:t>Habilitações do nível de ensino pós-secundário comprovadas por um diploma, ou do nível secundário comprovadas por um diploma q</w:t>
      </w:r>
      <w:r>
        <w:rPr>
          <w:rFonts w:ascii="Tahoma" w:hAnsi="Tahoma"/>
          <w:sz w:val="22"/>
        </w:rPr>
        <w:t>ue dê acesso ao ensino pós-secundário e uma experiência profissional adequada de pelo menos três anos</w:t>
      </w:r>
      <w:r>
        <w:rPr>
          <w:rFonts w:ascii="Tahoma" w:hAnsi="Tahoma"/>
          <w:sz w:val="22"/>
          <w:vertAlign w:val="superscript"/>
        </w:rPr>
        <w:footnoteReference w:id="1"/>
      </w:r>
      <w:r>
        <w:rPr>
          <w:rFonts w:ascii="Tahoma" w:hAnsi="Tahoma"/>
          <w:sz w:val="22"/>
        </w:rPr>
        <w:t>.</w:t>
      </w:r>
    </w:p>
    <w:p w:rsidR="0041298D" w:rsidRPr="00E60631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 xml:space="preserve">Conhecimento aprofundado de uma das línguas da União Europeia e um conhecimento satisfatório de outra língua da União Europeia, na medida do necessário </w:t>
      </w:r>
      <w:r>
        <w:rPr>
          <w:rFonts w:ascii="Tahoma" w:hAnsi="Tahoma"/>
          <w:color w:val="000000"/>
          <w:sz w:val="22"/>
        </w:rPr>
        <w:t>ao exercício das suas funções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>
        <w:rPr>
          <w:rFonts w:ascii="Tahoma" w:hAnsi="Tahoma"/>
          <w:color w:val="000000"/>
          <w:sz w:val="22"/>
        </w:rPr>
        <w:t>;</w:t>
      </w:r>
    </w:p>
    <w:p w:rsidR="0041298D" w:rsidRPr="00E60631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Ser nacional de um dos Estados-Membros da UE ou da Noruega, da Islândia ou do Listenstaine;</w:t>
      </w:r>
    </w:p>
    <w:p w:rsidR="0041298D" w:rsidRPr="00E60631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Estar no pleno gozo dos seus direitos cívicos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>
        <w:rPr>
          <w:rFonts w:ascii="Tahoma" w:hAnsi="Tahoma"/>
          <w:color w:val="000000"/>
          <w:sz w:val="22"/>
        </w:rPr>
        <w:t>;</w:t>
      </w:r>
    </w:p>
    <w:p w:rsidR="0041298D" w:rsidRPr="00E60631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encontrar-se em situação regular face à legislação aplicável em matéria de serviço m</w:t>
      </w:r>
      <w:r>
        <w:rPr>
          <w:rFonts w:ascii="Tahoma" w:hAnsi="Tahoma"/>
          <w:color w:val="000000"/>
          <w:sz w:val="22"/>
        </w:rPr>
        <w:t>ilitar;</w:t>
      </w:r>
    </w:p>
    <w:p w:rsidR="0041298D" w:rsidRPr="00E60631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oferecer as condições de idoneidade moral exigidas para o exercício das funções; e</w:t>
      </w:r>
    </w:p>
    <w:p w:rsidR="00E6511F" w:rsidRPr="00E6511F" w:rsidRDefault="00B76AEA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preencher as condições de aptidão física necessárias para o exercício das funções associadas ao lugar.</w:t>
      </w:r>
    </w:p>
    <w:p w:rsidR="00224C0A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AA74DE" w:rsidRDefault="00B76AEA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>
        <w:rPr>
          <w:rFonts w:ascii="Tahoma" w:hAnsi="Tahoma"/>
        </w:rPr>
        <w:t>Critérios de seleção</w:t>
      </w:r>
    </w:p>
    <w:p w:rsidR="00880A76" w:rsidRPr="00AA74DE" w:rsidRDefault="00B76AEA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>
        <w:rPr>
          <w:rFonts w:ascii="Tahoma" w:hAnsi="Tahoma"/>
          <w:color w:val="000000"/>
          <w:sz w:val="22"/>
        </w:rPr>
        <w:t xml:space="preserve">O ECDC identificou </w:t>
      </w:r>
      <w:r>
        <w:rPr>
          <w:rFonts w:ascii="Tahoma" w:hAnsi="Tahoma"/>
          <w:b/>
          <w:color w:val="000000"/>
          <w:sz w:val="22"/>
        </w:rPr>
        <w:t>critérios essenciais</w:t>
      </w:r>
      <w:r>
        <w:rPr>
          <w:rFonts w:ascii="Tahoma" w:hAnsi="Tahoma"/>
          <w:color w:val="000000"/>
          <w:sz w:val="22"/>
        </w:rPr>
        <w:t xml:space="preserve"> </w:t>
      </w:r>
      <w:r>
        <w:rPr>
          <w:rFonts w:ascii="Tahoma" w:hAnsi="Tahoma"/>
          <w:color w:val="000000"/>
          <w:sz w:val="22"/>
        </w:rPr>
        <w:t>no que diz respeito à experiência profissional/conhecimentos e às características pessoais/aptidões interpessoais que determinam a elegibilidade para o lugar em causa.</w:t>
      </w:r>
    </w:p>
    <w:p w:rsidR="00880A76" w:rsidRPr="00AA74DE" w:rsidRDefault="00B76AEA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>
        <w:rPr>
          <w:rFonts w:ascii="Tahoma" w:hAnsi="Tahoma"/>
          <w:i/>
          <w:color w:val="000000"/>
          <w:sz w:val="22"/>
        </w:rPr>
        <w:t>Experiência profissional/conhecimentos:</w:t>
      </w:r>
    </w:p>
    <w:p w:rsidR="00B57790" w:rsidRPr="00B57790" w:rsidRDefault="00B76AEA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experiência</w:t>
      </w:r>
      <w:r>
        <w:rPr>
          <w:rFonts w:ascii="Tahoma" w:hAnsi="Tahoma"/>
          <w:color w:val="000000"/>
          <w:sz w:val="22"/>
        </w:rPr>
        <w:t xml:space="preserve"> profissional de, pelo menos, 3 anos (após a obtenção do diploma) em cargos relacionados com as tarefas enunciadas na descrição das funções;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experiência na aplicação de procedimentos e regulamentos financeiros;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experiência</w:t>
      </w:r>
      <w:r>
        <w:rPr>
          <w:rFonts w:ascii="Tahoma" w:hAnsi="Tahoma"/>
          <w:color w:val="000000"/>
          <w:sz w:val="22"/>
        </w:rPr>
        <w:t xml:space="preserve"> no tratamento de transações financeiras;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utilizador experimente de pacotes de software Excel, de contabilidade e finanças;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excelente domínio do inglês, falado e escrito.</w:t>
      </w:r>
    </w:p>
    <w:p w:rsidR="00880A76" w:rsidRPr="00AA74DE" w:rsidRDefault="00B76AEA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>
        <w:rPr>
          <w:rFonts w:ascii="Tahoma" w:hAnsi="Tahoma"/>
          <w:i/>
          <w:color w:val="000000"/>
          <w:sz w:val="22"/>
        </w:rPr>
        <w:t>Características pessoais/aptidões interpessoais</w:t>
      </w:r>
    </w:p>
    <w:p w:rsidR="003C3DD1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orientação para a qualidade e espírit</w:t>
      </w:r>
      <w:r>
        <w:rPr>
          <w:rFonts w:ascii="Tahoma" w:hAnsi="Tahoma"/>
          <w:color w:val="000000"/>
          <w:sz w:val="22"/>
        </w:rPr>
        <w:t>o de serviço;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excelentes aptidões no domínio da comunicação;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lastRenderedPageBreak/>
        <w:t>atenção aos detalhes e orientação para a qualidade e elevado nível de precisão;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excelentes aptidões analíticas;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nível elevado de orientação para os serviços;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boa capacidade de relacionamento inte</w:t>
      </w:r>
      <w:r>
        <w:rPr>
          <w:rFonts w:ascii="Tahoma" w:hAnsi="Tahoma"/>
          <w:color w:val="000000"/>
          <w:sz w:val="22"/>
        </w:rPr>
        <w:t>rpessoal e capacidade para trabalhar bem em equipa;</w:t>
      </w:r>
    </w:p>
    <w:p w:rsidR="00224C0A" w:rsidRPr="00224C0A" w:rsidRDefault="00B76AEA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capacidade para trabalhar sob pressão e no cumprimento de prazos apertados.</w:t>
      </w:r>
    </w:p>
    <w:p w:rsidR="00880A76" w:rsidRPr="00C36BE9" w:rsidRDefault="00B76AEA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>
        <w:rPr>
          <w:rFonts w:ascii="Tahoma" w:hAnsi="Tahoma"/>
          <w:i/>
          <w:color w:val="000000"/>
          <w:sz w:val="22"/>
        </w:rPr>
        <w:t>O ECDC identificou igualmente experiências e competências que constituem uma vantagem para o provimento do lugar em causa, a sab</w:t>
      </w:r>
      <w:r>
        <w:rPr>
          <w:rFonts w:ascii="Tahoma" w:hAnsi="Tahoma"/>
          <w:i/>
          <w:color w:val="000000"/>
          <w:sz w:val="22"/>
        </w:rPr>
        <w:t>er:</w:t>
      </w:r>
    </w:p>
    <w:p w:rsidR="00224C0A" w:rsidRDefault="00B76AEA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formação específica em matéria de finanças e de contabilidade.</w:t>
      </w:r>
    </w:p>
    <w:p w:rsidR="00C82970" w:rsidRPr="00C82970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Default="00B76AEA" w:rsidP="001336A2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 xml:space="preserve">Em função do número de candidaturas recebidas, o comité de seleção poderá aplicar requisitos mais rigorosos no âmbito dos critérios de seleção acima referidos ou quaisquer critérios mais </w:t>
      </w:r>
      <w:r>
        <w:rPr>
          <w:rFonts w:ascii="Tahoma" w:hAnsi="Tahoma"/>
          <w:sz w:val="22"/>
        </w:rPr>
        <w:t>vantajosos listados.</w:t>
      </w:r>
    </w:p>
    <w:p w:rsidR="005D23DC" w:rsidRPr="0012334C" w:rsidRDefault="00B76AEA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>
        <w:rPr>
          <w:rFonts w:ascii="Tahoma" w:hAnsi="Tahoma"/>
          <w:b/>
          <w:color w:val="69AE23"/>
          <w:sz w:val="28"/>
        </w:rPr>
        <w:t>Nomeação e regime aplicável</w:t>
      </w:r>
    </w:p>
    <w:p w:rsidR="0041298D" w:rsidRPr="00DF4B24" w:rsidRDefault="00B76AEA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O titular do cargo será nomeado com base numa lista restrita proposta pelo comité de seleção ao Diretor. O presente anúncio de vaga constitui a base para a elaboração da proposta do comité de seleção. Os can</w:t>
      </w:r>
      <w:r>
        <w:rPr>
          <w:rFonts w:ascii="Tahoma" w:hAnsi="Tahoma"/>
          <w:sz w:val="22"/>
        </w:rPr>
        <w:t>didatos poderão ser convidados a realizar testes escritos.</w:t>
      </w:r>
      <w:r>
        <w:rPr>
          <w:rFonts w:ascii="Tahoma" w:hAnsi="Tahoma"/>
        </w:rPr>
        <w:t xml:space="preserve"> </w:t>
      </w:r>
      <w:r>
        <w:rPr>
          <w:rFonts w:ascii="Tahoma" w:hAnsi="Tahoma"/>
          <w:sz w:val="22"/>
        </w:rPr>
        <w:t xml:space="preserve">Os candidatos devem ter em conta que a proposta pode ser tornada pública e que a inclusão na lista restrita não garante a contratação. A lista restrita de candidatos será estabelecida num processo </w:t>
      </w:r>
      <w:r>
        <w:rPr>
          <w:rFonts w:ascii="Tahoma" w:hAnsi="Tahoma"/>
          <w:sz w:val="22"/>
        </w:rPr>
        <w:t>de seleção aberto.</w:t>
      </w:r>
    </w:p>
    <w:p w:rsidR="0041298D" w:rsidRPr="00DF4B24" w:rsidRDefault="00B76AEA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O candidato selecionado será contratado como agente temporário, nos termos do artigo 3.º, alínea a), do Regime aplicável aos Outros Agentes da União Europeia, por um período de cinco anos. O contrato é renovável. A contratação será feita</w:t>
      </w:r>
      <w:r>
        <w:rPr>
          <w:rFonts w:ascii="Tahoma" w:hAnsi="Tahoma"/>
          <w:sz w:val="22"/>
        </w:rPr>
        <w:t xml:space="preserve"> no quadro do </w:t>
      </w:r>
      <w:r>
        <w:rPr>
          <w:rFonts w:ascii="Tahoma" w:hAnsi="Tahoma"/>
          <w:b/>
          <w:sz w:val="22"/>
        </w:rPr>
        <w:t>Grupo de Funções III.</w:t>
      </w:r>
      <w:r>
        <w:rPr>
          <w:rFonts w:ascii="Tahoma" w:hAnsi="Tahoma"/>
          <w:color w:val="FF0000"/>
          <w:sz w:val="22"/>
        </w:rPr>
        <w:t xml:space="preserve"> </w:t>
      </w:r>
      <w:r>
        <w:rPr>
          <w:rFonts w:ascii="Tahoma" w:hAnsi="Tahoma"/>
          <w:sz w:val="22"/>
        </w:rPr>
        <w:t>Chama-se a atenção dos candidatos para o facto de, em conformidade com o Estatuto dos Funcionários da UE, todos os novos agentes deverem concluir com êxito um período de estágio.</w:t>
      </w:r>
    </w:p>
    <w:p w:rsidR="0041298D" w:rsidRPr="008636D8" w:rsidRDefault="00B76AEA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 xml:space="preserve">Para mais informações sobre as condições </w:t>
      </w:r>
      <w:r>
        <w:rPr>
          <w:rFonts w:ascii="Tahoma" w:hAnsi="Tahoma"/>
          <w:color w:val="000000"/>
          <w:sz w:val="22"/>
        </w:rPr>
        <w:t>contratuais e de trabalho, queira consultar o Regime aplicável aos Outros Agentes da União Europeia, disponível no seguinte endereço:</w:t>
      </w:r>
    </w:p>
    <w:p w:rsidR="00626750" w:rsidRPr="00360670" w:rsidRDefault="00B76AEA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465890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</w:p>
    <w:p w:rsidR="0041298D" w:rsidRPr="008636D8" w:rsidRDefault="00B76AEA" w:rsidP="0041298D">
      <w:pPr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2"/>
        </w:rPr>
        <w:t>O local de afetação será Estocolmo, onde o Centro exerce a sua atividade.</w:t>
      </w:r>
    </w:p>
    <w:p w:rsidR="005D23DC" w:rsidRPr="0012334C" w:rsidRDefault="00B76AEA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>
        <w:rPr>
          <w:rFonts w:ascii="Tahoma" w:hAnsi="Tahoma"/>
          <w:b/>
          <w:color w:val="69AE23"/>
          <w:sz w:val="28"/>
        </w:rPr>
        <w:t>Lista de reserva</w:t>
      </w:r>
    </w:p>
    <w:p w:rsidR="0098219F" w:rsidRPr="009F45B0" w:rsidRDefault="00B76AEA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Poderá ser criada uma lista de reserva para o provimento de eventuais vagas similares. </w:t>
      </w:r>
      <w:r>
        <w:rPr>
          <w:rFonts w:ascii="Tahoma" w:hAnsi="Tahoma"/>
          <w:sz w:val="22"/>
        </w:rPr>
        <w:t>A lista será válida até 31 de dezembro do ano da data-limite para a apresentação de candidaturas, podendo este prazo ser prorrogado.</w:t>
      </w:r>
    </w:p>
    <w:p w:rsidR="005D23DC" w:rsidRPr="0012334C" w:rsidRDefault="00B76AEA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>
        <w:rPr>
          <w:rFonts w:ascii="Tahoma" w:hAnsi="Tahoma"/>
          <w:b/>
          <w:color w:val="69AE23"/>
          <w:sz w:val="28"/>
        </w:rPr>
        <w:t>Processo de candidatura</w:t>
      </w:r>
    </w:p>
    <w:p w:rsidR="00B768AB" w:rsidRDefault="00B76AEA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/>
          <w:b/>
          <w:color w:val="000000"/>
          <w:sz w:val="22"/>
        </w:rPr>
        <w:t>Para se candidatar, deve enviar um formulário de candidatura preenchido para</w:t>
      </w:r>
      <w:r w:rsidR="00A26418">
        <w:rPr>
          <w:rFonts w:ascii="Tahoma" w:hAnsi="Tahoma"/>
          <w:b/>
          <w:color w:val="000000"/>
          <w:sz w:val="22"/>
        </w:rPr>
        <w:t xml:space="preserve"> </w:t>
      </w:r>
      <w:hyperlink r:id="rId11" w:history="1">
        <w:r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>
        <w:rPr>
          <w:rFonts w:ascii="Tahoma" w:hAnsi="Tahoma"/>
          <w:b/>
          <w:color w:val="000000"/>
          <w:sz w:val="22"/>
        </w:rPr>
        <w:t>, indicando de forma clara a referência da vaga e o seu apelido no campo «assunto» da mensagem de correio eletrónico.</w:t>
      </w:r>
    </w:p>
    <w:p w:rsidR="00B80457" w:rsidRPr="00B80457" w:rsidRDefault="00B76AEA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/>
          <w:b/>
          <w:color w:val="000000"/>
          <w:sz w:val="22"/>
        </w:rPr>
        <w:lastRenderedPageBreak/>
        <w:t>Para que a candidatura seja válida, é necessário preencher todas as secções obrigató</w:t>
      </w:r>
      <w:r>
        <w:rPr>
          <w:rFonts w:ascii="Tahoma" w:hAnsi="Tahoma"/>
          <w:b/>
          <w:color w:val="000000"/>
          <w:sz w:val="22"/>
        </w:rPr>
        <w:t>rias do formulário, que deve ser enviado em formato Word ou PDF e, de preferência, em inglês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>
        <w:rPr>
          <w:rFonts w:ascii="Tahoma" w:hAnsi="Tahoma"/>
          <w:b/>
          <w:color w:val="000000"/>
          <w:sz w:val="22"/>
        </w:rPr>
        <w:t>. As candidaturas incompletas serão consideradas inválidas.</w:t>
      </w:r>
    </w:p>
    <w:p w:rsidR="00B768AB" w:rsidRDefault="00B76AEA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/>
          <w:b/>
          <w:color w:val="000000"/>
          <w:sz w:val="22"/>
        </w:rPr>
        <w:t>O formulário de candidatura do ECDC encontra-se no sítio Web da Agência:</w:t>
      </w:r>
    </w:p>
    <w:p w:rsidR="009A2309" w:rsidRDefault="00B76AEA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465890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A5713B" w:rsidRDefault="00B76AEA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A data-limite para a apresentação das candidaturas e outras informações sobre o estado de adiantamento deste processo de seleção, bem como </w:t>
      </w:r>
      <w:r>
        <w:rPr>
          <w:rFonts w:ascii="Tahoma" w:hAnsi="Tahoma"/>
          <w:sz w:val="22"/>
        </w:rPr>
        <w:t>informações importantes sobre o processo de contratação, podem ser consultadas no nosso sítio Web, utilizando a ligação acima indicada.</w:t>
      </w:r>
    </w:p>
    <w:p w:rsidR="00B768AB" w:rsidRDefault="00B76AEA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</w:rPr>
        <w:t>Dada a grande quantidade de candidaturas recebidas, apenas os candidatos selecionados para entrevista serão notificados.</w:t>
      </w:r>
    </w:p>
    <w:sectPr w:rsidR="00B768AB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6AEA">
      <w:pPr>
        <w:spacing w:after="0"/>
      </w:pPr>
      <w:r>
        <w:separator/>
      </w:r>
    </w:p>
  </w:endnote>
  <w:endnote w:type="continuationSeparator" w:id="0">
    <w:p w:rsidR="00000000" w:rsidRDefault="00B76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Default="00B76A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2C0C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33" w:rsidRDefault="00B76AEA">
      <w:r>
        <w:separator/>
      </w:r>
    </w:p>
  </w:footnote>
  <w:footnote w:type="continuationSeparator" w:id="0">
    <w:p w:rsidR="00501F33" w:rsidRDefault="00B76AEA">
      <w:r>
        <w:continuationSeparator/>
      </w:r>
    </w:p>
  </w:footnote>
  <w:footnote w:id="1">
    <w:p w:rsidR="00D732F8" w:rsidRPr="00E8021F" w:rsidRDefault="00B76AEA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s-ES"/>
        </w:rPr>
      </w:pPr>
      <w:r w:rsidRPr="00E8021F">
        <w:rPr>
          <w:rStyle w:val="FootnoteReference"/>
          <w:rFonts w:ascii="Tahoma" w:hAnsi="Tahoma" w:cs="Tahoma"/>
        </w:rPr>
        <w:footnoteRef/>
      </w:r>
      <w:r w:rsidRPr="00E8021F">
        <w:rPr>
          <w:rFonts w:ascii="Tahoma" w:hAnsi="Tahoma" w:cs="Tahoma"/>
          <w:vertAlign w:val="superscript"/>
        </w:rPr>
        <w:t xml:space="preserve"> </w:t>
      </w:r>
      <w:r w:rsidRPr="00E8021F">
        <w:rPr>
          <w:rFonts w:ascii="Tahoma" w:hAnsi="Tahoma" w:cs="Tahoma"/>
          <w:sz w:val="20"/>
        </w:rPr>
        <w:t xml:space="preserve">Apenas serão tidos em consideração os diplomas e certificados que tenham sido emitidos em Estados-Membros da UE ou que sejam objeto de certificados de equivalência </w:t>
      </w:r>
      <w:r w:rsidRPr="00E8021F">
        <w:rPr>
          <w:rFonts w:ascii="Tahoma" w:hAnsi="Tahoma" w:cs="Tahoma"/>
          <w:sz w:val="20"/>
        </w:rPr>
        <w:t>emitidos por autoridades nesses Estados-Membros.</w:t>
      </w:r>
    </w:p>
  </w:footnote>
  <w:footnote w:id="2">
    <w:p w:rsidR="00682C0C" w:rsidRPr="00E8021F" w:rsidRDefault="00B76AEA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E8021F">
        <w:rPr>
          <w:rStyle w:val="FootnoteReference"/>
          <w:rFonts w:ascii="Tahoma" w:hAnsi="Tahoma" w:cs="Tahoma"/>
        </w:rPr>
        <w:footnoteRef/>
      </w:r>
      <w:r w:rsidRPr="00E8021F">
        <w:rPr>
          <w:rStyle w:val="FootnoteReference"/>
          <w:rFonts w:ascii="Tahoma" w:hAnsi="Tahoma" w:cs="Tahoma"/>
        </w:rPr>
        <w:t xml:space="preserve"> </w:t>
      </w:r>
      <w:r w:rsidRPr="00E8021F">
        <w:rPr>
          <w:rFonts w:ascii="Tahoma" w:hAnsi="Tahoma" w:cs="Tahoma"/>
          <w:sz w:val="20"/>
        </w:rPr>
        <w:t>além disso, para serem elegíveis para promoção no quadro de um exercício de promoção anual, os membros do pessoal terão de demonstrar a sua capacidade de trabalhar numa terceira língua da UE, conforme desc</w:t>
      </w:r>
      <w:r w:rsidRPr="00E8021F">
        <w:rPr>
          <w:rFonts w:ascii="Tahoma" w:hAnsi="Tahoma" w:cs="Tahoma"/>
          <w:sz w:val="20"/>
        </w:rPr>
        <w:t>rito no Estatuto dos Funcionários e nas respetivas regras de execução.</w:t>
      </w:r>
    </w:p>
  </w:footnote>
  <w:footnote w:id="3">
    <w:p w:rsidR="00682C0C" w:rsidRPr="00E8021F" w:rsidRDefault="00B76AEA" w:rsidP="0041298D">
      <w:pPr>
        <w:autoSpaceDE w:val="0"/>
        <w:autoSpaceDN w:val="0"/>
        <w:adjustRightInd w:val="0"/>
        <w:rPr>
          <w:rFonts w:ascii="Tahoma" w:hAnsi="Tahoma" w:cs="Tahoma"/>
          <w:sz w:val="20"/>
          <w:lang w:val="es-ES"/>
        </w:rPr>
      </w:pPr>
      <w:r w:rsidRPr="00E8021F">
        <w:rPr>
          <w:rStyle w:val="FootnoteReference"/>
          <w:rFonts w:ascii="Tahoma" w:hAnsi="Tahoma" w:cs="Tahoma"/>
          <w:sz w:val="20"/>
        </w:rPr>
        <w:footnoteRef/>
      </w:r>
      <w:r w:rsidRPr="00E8021F">
        <w:rPr>
          <w:rFonts w:ascii="Tahoma" w:hAnsi="Tahoma" w:cs="Tahoma"/>
          <w:sz w:val="20"/>
        </w:rPr>
        <w:t xml:space="preserve"> antes da nomeação, será pedido ao candidato aprovado que apresente um certificado de registo criminal que ateste a inexistência de antecedentes criminais.</w:t>
      </w:r>
    </w:p>
  </w:footnote>
  <w:footnote w:id="4">
    <w:p w:rsidR="00B80457" w:rsidRPr="00E8021F" w:rsidRDefault="00B76AEA" w:rsidP="00B80457">
      <w:pPr>
        <w:pStyle w:val="FootnoteText"/>
        <w:ind w:left="142" w:hanging="142"/>
        <w:rPr>
          <w:rFonts w:cs="Tahoma"/>
        </w:rPr>
      </w:pPr>
      <w:r w:rsidRPr="00E8021F">
        <w:rPr>
          <w:rStyle w:val="FootnoteReference"/>
          <w:rFonts w:cs="Tahoma"/>
        </w:rPr>
        <w:footnoteRef/>
      </w:r>
      <w:r w:rsidRPr="00E8021F">
        <w:rPr>
          <w:rFonts w:cs="Tahoma"/>
        </w:rPr>
        <w:t xml:space="preserve"> O presente anúncio de vaga foi traduzido para as 24 línguas oficiais da UE a partir do original em inglês. Tendo em conta que a língua utilizada nas atividades diárias da Agência é geralmente o inglês, o ECDC prefere receber a candidatura nessa língua.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86C49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D69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52C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6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F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88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65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4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85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91AE2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AF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43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EB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8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16D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AF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02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2CF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42CC16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2072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8A74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7073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F2FC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4851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F899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F40D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4A73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30942B18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88A924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3A6C92A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1F4E705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DA1E69A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387C485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8765A4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B22727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704A637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DE4A6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A1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805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6A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42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EA3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8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07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460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21AAD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350C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80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E5A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AA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C8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2C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8E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325B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6C58D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888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B60691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00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6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2B2C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0A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62D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7028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3A6A7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5AC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0F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2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25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16D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6B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21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5A8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E10E84A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AB49C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16B4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8635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6EB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BEAC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98E3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202B7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66AA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A1E6A5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AEFC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6FCC3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78AC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BACD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38958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BCC07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BAE2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7AF9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6755C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5890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1F33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418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76AEA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021F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4DFF1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pt-PT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pt-PT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pt-PT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pt-PT" w:eastAsia="pt-PT" w:bidi="pt-PT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76A0-F3CD-4A2D-A899-96B68FF3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6021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2019-02-21T12:10:00Z</dcterms:created>
  <dcterms:modified xsi:type="dcterms:W3CDTF">2019-02-21T12:10:00Z</dcterms:modified>
</cp:coreProperties>
</file>