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C12CB2" w:rsidRDefault="00C27486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C12CB2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CB2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C12CB2" w:rsidRDefault="00C27486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C12CB2">
        <w:rPr>
          <w:rFonts w:ascii="Tahoma" w:hAnsi="Tahoma"/>
          <w:b/>
          <w:color w:val="FFFFFF"/>
          <w:sz w:val="28"/>
        </w:rPr>
        <w:t>Pożizzjoni Vakanti: Assistent Finanzjarju</w:t>
      </w:r>
    </w:p>
    <w:p w:rsidR="00FE2E07" w:rsidRPr="00C12CB2" w:rsidRDefault="00C27486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C12CB2">
        <w:rPr>
          <w:rFonts w:ascii="Tahoma" w:hAnsi="Tahoma"/>
          <w:b/>
          <w:color w:val="FFFFFF"/>
          <w:sz w:val="28"/>
        </w:rPr>
        <w:t>Unità: Ġestjoni u Koordinazzjoni tar-Riżorsi</w:t>
      </w:r>
    </w:p>
    <w:p w:rsidR="00F02854" w:rsidRPr="00C12CB2" w:rsidRDefault="00C27486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Referenza: ECDC/FGIII/201</w:t>
      </w:r>
      <w:r>
        <w:rPr>
          <w:rFonts w:ascii="Tahoma" w:hAnsi="Tahoma"/>
          <w:b/>
          <w:color w:val="FFFFFF"/>
          <w:sz w:val="28"/>
          <w:lang w:val="en-GB"/>
        </w:rPr>
        <w:t>9</w:t>
      </w:r>
      <w:bookmarkStart w:id="0" w:name="_GoBack"/>
      <w:bookmarkEnd w:id="0"/>
      <w:r w:rsidRPr="00C12CB2">
        <w:rPr>
          <w:rFonts w:ascii="Tahoma" w:hAnsi="Tahoma"/>
          <w:b/>
          <w:color w:val="FFFFFF"/>
          <w:sz w:val="28"/>
        </w:rPr>
        <w:t>/RMC-FA</w:t>
      </w:r>
    </w:p>
    <w:p w:rsidR="00276937" w:rsidRPr="00C12CB2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C12CB2" w:rsidRDefault="00C27486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C12CB2">
        <w:rPr>
          <w:rFonts w:ascii="Tahoma" w:hAnsi="Tahoma"/>
          <w:sz w:val="22"/>
        </w:rPr>
        <w:t xml:space="preserve">Qed jintlaqgħu applikazzjonijiet għall-kariga ta’ Aġent Kuntrattwali msemmija hawn fuq fiċ-Ċentru Ewropew għall-Prevenzjoni u </w:t>
      </w:r>
      <w:r w:rsidRPr="00C12CB2">
        <w:rPr>
          <w:rFonts w:ascii="Tahoma" w:hAnsi="Tahoma"/>
          <w:sz w:val="22"/>
        </w:rPr>
        <w:t>l-Kontroll tal-Mard (ECDC).</w:t>
      </w:r>
    </w:p>
    <w:p w:rsidR="00880A76" w:rsidRPr="00C12CB2" w:rsidRDefault="00C27486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C12CB2">
        <w:rPr>
          <w:rFonts w:ascii="Tahoma" w:hAnsi="Tahoma"/>
          <w:b/>
          <w:color w:val="69AE23"/>
          <w:sz w:val="28"/>
        </w:rPr>
        <w:t>Deskrizzjoni tal-impjieg</w:t>
      </w:r>
    </w:p>
    <w:p w:rsidR="003C3DD1" w:rsidRPr="00C12CB2" w:rsidRDefault="00C27486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C12CB2">
        <w:rPr>
          <w:rFonts w:ascii="Tahoma" w:hAnsi="Tahoma"/>
          <w:sz w:val="22"/>
        </w:rPr>
        <w:t>Id-detentur tal-impjieg se jaħdem fit-Taqsima tal-Finanzi u l-Kontabilità, peress li se jkun responsabbli mill-kompiti ta’ hawn taħt skont il-grupp. Hu/hi se j/tirrapporta lill-Mexxej tal-Grupp rilevanti</w:t>
      </w:r>
      <w:r w:rsidRPr="00C12CB2">
        <w:rPr>
          <w:rFonts w:ascii="Tahoma" w:hAnsi="Tahoma"/>
          <w:sz w:val="22"/>
        </w:rPr>
        <w:t>.</w:t>
      </w:r>
    </w:p>
    <w:p w:rsidR="003C3DD1" w:rsidRPr="00C12CB2" w:rsidRDefault="00C27486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C12CB2">
        <w:rPr>
          <w:rFonts w:ascii="Tahoma" w:hAnsi="Tahoma"/>
          <w:sz w:val="22"/>
        </w:rPr>
        <w:t>Hu/Hi ser ikun/tkun responsabbli b’mod partikolari mill-oqsma ta’ ħidma li ġejjin: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Iniedi/Tniedi tranżazzjonijiet finanzjarji relatati mal-pagamenti u l-approprjazzjonijiet ta’ impenn;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Jassisti/Tassisti lill-unitajiet operattivi fil-preparazzjoni, fil-kontroll tal-kwalità u fil-kompilazzjoni tad-dossiers finanzjarji;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Japplika/Tapplika l-implimentazzjoni stretta tar-regolament finanzjarju u tal-proċeduri finanzjarji tal-ECDC;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Jassisti/Tas</w:t>
      </w:r>
      <w:r w:rsidRPr="00C12CB2">
        <w:rPr>
          <w:rFonts w:ascii="Tahoma" w:hAnsi="Tahoma"/>
          <w:color w:val="000000"/>
          <w:sz w:val="22"/>
        </w:rPr>
        <w:t>sisti fit-tħejjija tal-baġit tal-ECDC;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Joħloq/Toħloq entità legali u fajls ta’ kontijiet bankarji;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Jassisti/Tassisti fil-ħruġ ta’ ordnijiet ta’ rkupru u trasferimenti tal-baġit;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Iwettaq/Twettaq azzjonijiet ta’ segwitu fuq l-implimentazzjoni tal-baġit, jipp</w:t>
      </w:r>
      <w:r w:rsidRPr="00C12CB2">
        <w:rPr>
          <w:rFonts w:ascii="Tahoma" w:hAnsi="Tahoma"/>
          <w:color w:val="000000"/>
          <w:sz w:val="22"/>
        </w:rPr>
        <w:t>rovdi/tipprovdi rapporti u rikonċiljazzjoni;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Jipprovdi/Tipprovdi assistenza f’materji finanzjarji fiċ-Ċentru kollu;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Jassisti/Tassisti b’aġġornamenti tal-proċeduri finanzjarji u l-listi ta’ kontroll relatati mal-flussi tal-ħidma finanzjarji taċ-Ċentru;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Jipp</w:t>
      </w:r>
      <w:r w:rsidRPr="00C12CB2">
        <w:rPr>
          <w:rFonts w:ascii="Tahoma" w:hAnsi="Tahoma"/>
          <w:color w:val="000000"/>
          <w:sz w:val="22"/>
        </w:rPr>
        <w:t>rovdi/Tipprovdi appoġġ amministrattiv u klerikali ġenerali, inkluż l-arkivjar tad-dokumenti;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Iwettaq/Twettaq funzjoni ta’ back-up u ta’ appoġġ għall-kontropartijiet assenjati fit-taqsima;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Iwettaq/Twettaq kwalunkwe kompitu ieħor assenjat mill-Mexxej tal-Gru</w:t>
      </w:r>
      <w:r w:rsidRPr="00C12CB2">
        <w:rPr>
          <w:rFonts w:ascii="Tahoma" w:hAnsi="Tahoma"/>
          <w:color w:val="000000"/>
          <w:sz w:val="22"/>
        </w:rPr>
        <w:t>pp jew il-Kap tat-Taqsima.</w:t>
      </w:r>
    </w:p>
    <w:p w:rsidR="00B57790" w:rsidRPr="00C12CB2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C12CB2" w:rsidRDefault="00C27486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C12CB2">
        <w:rPr>
          <w:rFonts w:ascii="Tahoma" w:hAnsi="Tahoma"/>
          <w:b/>
          <w:color w:val="69AE23"/>
          <w:sz w:val="28"/>
        </w:rPr>
        <w:t>Kwalifiki u esperjenzi meħtieġa</w:t>
      </w:r>
    </w:p>
    <w:p w:rsidR="005D23DC" w:rsidRPr="00C12CB2" w:rsidRDefault="00C27486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C12CB2">
        <w:rPr>
          <w:rFonts w:ascii="Tahoma" w:hAnsi="Tahoma"/>
        </w:rPr>
        <w:t>Rekwiżiti formali</w:t>
      </w:r>
    </w:p>
    <w:p w:rsidR="00A76ADE" w:rsidRPr="00C12CB2" w:rsidRDefault="00C27486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Sabiex ikun kandidat eliġibbli d-detentur tal-impjieg għandu jissodisfa sett ta’ rekwiżiti formali. Dawn ir-rekwiżiti huma:</w:t>
      </w:r>
    </w:p>
    <w:p w:rsidR="003C3DD1" w:rsidRPr="00C12CB2" w:rsidRDefault="00C27486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C12CB2">
        <w:rPr>
          <w:rFonts w:ascii="Tahoma" w:hAnsi="Tahoma"/>
          <w:sz w:val="22"/>
        </w:rPr>
        <w:lastRenderedPageBreak/>
        <w:t>Edukazzjoni post-sekondarja attestata</w:t>
      </w:r>
      <w:r w:rsidRPr="00C12CB2">
        <w:rPr>
          <w:rFonts w:ascii="Tahoma" w:hAnsi="Tahoma"/>
          <w:sz w:val="22"/>
        </w:rPr>
        <w:t xml:space="preserve"> b’diploma, jew edukazzjoni sekondarja attestata b’diploma li tagħti aċċess għal edukazzjoni post-sekondarja u esperjenza professjonali xierqa ta’ tliet snin</w:t>
      </w:r>
      <w:r>
        <w:rPr>
          <w:rFonts w:ascii="Tahoma" w:hAnsi="Tahoma"/>
          <w:sz w:val="22"/>
          <w:vertAlign w:val="superscript"/>
        </w:rPr>
        <w:footnoteReference w:id="1"/>
      </w:r>
      <w:r w:rsidRPr="00C12CB2">
        <w:rPr>
          <w:rFonts w:ascii="Tahoma" w:hAnsi="Tahoma"/>
          <w:sz w:val="22"/>
        </w:rPr>
        <w:t>;</w:t>
      </w:r>
    </w:p>
    <w:p w:rsidR="0041298D" w:rsidRPr="00C12CB2" w:rsidRDefault="00C2748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 xml:space="preserve">Għarfien profond ta’ waħda mil-lingwi tal-Komunitajiet u għarfien sodisfaċenti ta’ lingwa oħra </w:t>
      </w:r>
      <w:r w:rsidRPr="00C12CB2">
        <w:rPr>
          <w:rFonts w:ascii="Tahoma" w:hAnsi="Tahoma"/>
          <w:color w:val="000000"/>
          <w:sz w:val="22"/>
        </w:rPr>
        <w:t>tal-Komunitajiet sal-limitu meħtieġ għat-twettiq tad-dmirijiet tiegħu/tagħha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  <w:r w:rsidRPr="00C12CB2">
        <w:rPr>
          <w:rFonts w:ascii="Tahoma" w:hAnsi="Tahoma"/>
          <w:color w:val="000000"/>
          <w:sz w:val="22"/>
        </w:rPr>
        <w:t>;</w:t>
      </w:r>
    </w:p>
    <w:p w:rsidR="0041298D" w:rsidRPr="00C12CB2" w:rsidRDefault="00C2748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Nazzjonalità ta’ wieħed mill-Istati Membri tal-UE jew tan-Norveġja, tal-Iżlanda jew tal-Liechtenstein;</w:t>
      </w:r>
    </w:p>
    <w:p w:rsidR="0041298D" w:rsidRPr="00C12CB2" w:rsidRDefault="00C2748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Li jkun/tkun intitolat/a għad-drittijiet kollha tiegħu jew tagħha bħala ċi</w:t>
      </w:r>
      <w:r w:rsidRPr="00C12CB2">
        <w:rPr>
          <w:rFonts w:ascii="Tahoma" w:hAnsi="Tahoma"/>
          <w:color w:val="000000"/>
          <w:sz w:val="22"/>
        </w:rPr>
        <w:t>ttadin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  <w:r w:rsidRPr="00C12CB2">
        <w:rPr>
          <w:rFonts w:ascii="Tahoma" w:hAnsi="Tahoma"/>
          <w:color w:val="000000"/>
          <w:sz w:val="22"/>
        </w:rPr>
        <w:t>;</w:t>
      </w:r>
    </w:p>
    <w:p w:rsidR="0041298D" w:rsidRPr="00C12CB2" w:rsidRDefault="00C2748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Li jkun/tkun issodisfa/t l-obbligi kollha imposti mil-liġijiet applikabbli dwar is-servizz militari;</w:t>
      </w:r>
    </w:p>
    <w:p w:rsidR="0041298D" w:rsidRPr="00C12CB2" w:rsidRDefault="00C2748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Jissodisfa r-rekwiżiti tal-karattru għad-dmirijiet involuti; u</w:t>
      </w:r>
    </w:p>
    <w:p w:rsidR="00E6511F" w:rsidRPr="00C12CB2" w:rsidRDefault="00C27486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Li jkun/tkun fiżikament kapaċi li jwettaq/twettaq id-dmirijiet relatati mal-kariga.</w:t>
      </w:r>
    </w:p>
    <w:p w:rsidR="00224C0A" w:rsidRPr="00C12CB2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C12CB2" w:rsidRDefault="00C27486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C12CB2">
        <w:rPr>
          <w:rFonts w:ascii="Tahoma" w:hAnsi="Tahoma"/>
        </w:rPr>
        <w:t>Kriterji tal-għażla</w:t>
      </w:r>
    </w:p>
    <w:p w:rsidR="00880A76" w:rsidRPr="00C12CB2" w:rsidRDefault="00C27486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C12CB2">
        <w:rPr>
          <w:rFonts w:ascii="Tahoma" w:hAnsi="Tahoma"/>
          <w:color w:val="000000"/>
          <w:sz w:val="22"/>
        </w:rPr>
        <w:t xml:space="preserve">Biex persuna tikkwalifika għal din il-kariga identifikajna </w:t>
      </w:r>
      <w:r w:rsidRPr="00C12CB2">
        <w:rPr>
          <w:rFonts w:ascii="Tahoma" w:hAnsi="Tahoma"/>
          <w:b/>
          <w:color w:val="000000"/>
          <w:sz w:val="22"/>
        </w:rPr>
        <w:t>kriterji essenzjali</w:t>
      </w:r>
      <w:r w:rsidRPr="00C12CB2">
        <w:rPr>
          <w:rFonts w:ascii="Tahoma" w:hAnsi="Tahoma"/>
          <w:color w:val="000000"/>
          <w:sz w:val="22"/>
        </w:rPr>
        <w:t xml:space="preserve"> fir-rigward tal-esperjenza/għarfien professjonali u l-karatteristiċi personali/ħiliet interpersonali.</w:t>
      </w:r>
    </w:p>
    <w:p w:rsidR="00880A76" w:rsidRPr="00C12CB2" w:rsidRDefault="00C27486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C12CB2">
        <w:rPr>
          <w:rFonts w:ascii="Tahoma" w:hAnsi="Tahoma"/>
          <w:i/>
          <w:color w:val="000000"/>
          <w:sz w:val="22"/>
        </w:rPr>
        <w:t>Esperjenza/għarfien professjonali:</w:t>
      </w:r>
    </w:p>
    <w:p w:rsidR="00B57790" w:rsidRPr="00C12CB2" w:rsidRDefault="00C27486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Mill-inqas 3 snin,</w:t>
      </w:r>
      <w:r w:rsidRPr="00C12CB2">
        <w:rPr>
          <w:rFonts w:ascii="Tahoma" w:hAnsi="Tahoma"/>
          <w:color w:val="000000"/>
          <w:sz w:val="22"/>
        </w:rPr>
        <w:t xml:space="preserve"> wara li tingħata d-diploma, ta’ esperjenza professjonali li jkunu nkisbu f’pożizzjonijiet relatati mad-dmirijiet deskritti fid-deskrizzjoni tal-impjieg;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Esperjenza fl-applikazzjoni ta’ proċeduri u regoli finanzjarji;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 xml:space="preserve">Esperjenza fl-ipproċessar ta’ </w:t>
      </w:r>
      <w:r w:rsidRPr="00C12CB2">
        <w:rPr>
          <w:rFonts w:ascii="Tahoma" w:hAnsi="Tahoma"/>
          <w:color w:val="000000"/>
          <w:sz w:val="22"/>
        </w:rPr>
        <w:t>tranżazzjonijiet finanzjarji;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Utent profiċjenti tal-Excel, u ta’ pakketti ta’ softwer tal-kontabilità u tal-finanzi;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Għarfien eċċellenti tal-Ingliż, kemm miktub kif ukoll mitkellem.</w:t>
      </w:r>
    </w:p>
    <w:p w:rsidR="00880A76" w:rsidRPr="00C12CB2" w:rsidRDefault="00C27486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C12CB2">
        <w:rPr>
          <w:rFonts w:ascii="Tahoma" w:hAnsi="Tahoma"/>
          <w:i/>
          <w:color w:val="000000"/>
          <w:sz w:val="22"/>
        </w:rPr>
        <w:t>Karatteristiċi personali/ħiliet interpersonali:</w:t>
      </w:r>
    </w:p>
    <w:p w:rsidR="003C3DD1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Xprunat/a mill-kwalità u o</w:t>
      </w:r>
      <w:r w:rsidRPr="00C12CB2">
        <w:rPr>
          <w:rFonts w:ascii="Tahoma" w:hAnsi="Tahoma"/>
          <w:color w:val="000000"/>
          <w:sz w:val="22"/>
        </w:rPr>
        <w:t>rjentat lejn is-servizz;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Ħiliet ta’ komunikazzjoni eċċellenti;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Xprunat/a mill-kwalità, livell għoli ta’ preċiżjoni u attenzjoni għad-dettall;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Ħiliet numeriċi eċċellenti;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Livell għoli ta’ orjentazzjoni tas-servizz;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lastRenderedPageBreak/>
        <w:t>Ħiliet interpersonali b’saħħithom u l-abbi</w:t>
      </w:r>
      <w:r w:rsidRPr="00C12CB2">
        <w:rPr>
          <w:rFonts w:ascii="Tahoma" w:hAnsi="Tahoma"/>
          <w:color w:val="000000"/>
          <w:sz w:val="22"/>
        </w:rPr>
        <w:t>ltà li jaħdem/taħdem tajjeb f’tim;</w:t>
      </w:r>
    </w:p>
    <w:p w:rsidR="00224C0A" w:rsidRPr="00C12CB2" w:rsidRDefault="00C27486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Kapaċità li jaħdem/taħdem taħt pressjoni u bi skadenzi stretti.</w:t>
      </w:r>
    </w:p>
    <w:p w:rsidR="00880A76" w:rsidRPr="00C12CB2" w:rsidRDefault="00C27486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C12CB2">
        <w:rPr>
          <w:rFonts w:ascii="Tahoma" w:hAnsi="Tahoma"/>
          <w:i/>
          <w:color w:val="000000"/>
          <w:sz w:val="22"/>
        </w:rPr>
        <w:t>Identifikajna wkoll esperjenzi u ħiliet li huma ta’ vantaġġ għal din il-kariga. Dawn huma:</w:t>
      </w:r>
    </w:p>
    <w:p w:rsidR="00224C0A" w:rsidRPr="00C12CB2" w:rsidRDefault="00C27486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C12CB2">
        <w:rPr>
          <w:rFonts w:ascii="Tahoma" w:hAnsi="Tahoma"/>
          <w:sz w:val="22"/>
        </w:rPr>
        <w:t>Taħriġ speċifiku fil-finanzi u l-kontabilità.</w:t>
      </w:r>
    </w:p>
    <w:p w:rsidR="001336A2" w:rsidRPr="00C12CB2" w:rsidRDefault="00C27486" w:rsidP="001336A2">
      <w:pPr>
        <w:spacing w:after="120"/>
        <w:rPr>
          <w:rFonts w:ascii="Tahoma" w:hAnsi="Tahoma" w:cs="Tahoma"/>
          <w:sz w:val="22"/>
          <w:szCs w:val="22"/>
        </w:rPr>
      </w:pPr>
      <w:r w:rsidRPr="00C12CB2">
        <w:rPr>
          <w:rFonts w:ascii="Tahoma" w:hAnsi="Tahoma"/>
          <w:sz w:val="22"/>
        </w:rPr>
        <w:t>Skont l-għadd ta’ ap</w:t>
      </w:r>
      <w:r w:rsidRPr="00C12CB2">
        <w:rPr>
          <w:rFonts w:ascii="Tahoma" w:hAnsi="Tahoma"/>
          <w:sz w:val="22"/>
        </w:rPr>
        <w:t>plikazzjonijiet riċevuti, il-kumitat tal-għażla jista’ japplika rekwiżiti aktar stretti fil-kriterji tal-għażla msemmija hawn fuq, jew japplikaw kwalunkwe kriterju ta’ vantaġġ elenkat.</w:t>
      </w:r>
    </w:p>
    <w:p w:rsidR="005D23DC" w:rsidRPr="00C12CB2" w:rsidRDefault="00C27486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C12CB2">
        <w:rPr>
          <w:rFonts w:ascii="Tahoma" w:hAnsi="Tahoma"/>
          <w:b/>
          <w:color w:val="69AE23"/>
          <w:sz w:val="28"/>
        </w:rPr>
        <w:t>Ħatra u kundizzjonijiet tal-impjieg</w:t>
      </w:r>
    </w:p>
    <w:p w:rsidR="0041298D" w:rsidRPr="00C12CB2" w:rsidRDefault="00C27486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C12CB2">
        <w:rPr>
          <w:rFonts w:ascii="Tahoma" w:hAnsi="Tahoma"/>
          <w:sz w:val="22"/>
        </w:rPr>
        <w:t>Id-detentur</w:t>
      </w:r>
      <w:r w:rsidRPr="00C12CB2">
        <w:rPr>
          <w:rFonts w:ascii="Tahoma" w:hAnsi="Tahoma"/>
          <w:sz w:val="22"/>
        </w:rPr>
        <w:t xml:space="preserve"> tal-impjieg se jintgħażel abbażi ta’ lista qasira proposta mill-Kumitat tal-Għażla lid-Direttur. Dan l-avviż ta’ pożizzjoni vakanti huwa l-bażi għall-istabbiliment tal-proposta tal-Kumitat tal-Għażla. Il-kandidati jistgħu jintalbu jagħmlu testijiet bil-mi</w:t>
      </w:r>
      <w:r w:rsidRPr="00C12CB2">
        <w:rPr>
          <w:rFonts w:ascii="Tahoma" w:hAnsi="Tahoma"/>
          <w:sz w:val="22"/>
        </w:rPr>
        <w:t>ktub.</w:t>
      </w:r>
      <w:r w:rsidRPr="00C12CB2">
        <w:rPr>
          <w:rFonts w:ascii="Tahoma" w:hAnsi="Tahoma"/>
        </w:rPr>
        <w:t xml:space="preserve"> </w:t>
      </w:r>
      <w:r w:rsidRPr="00C12CB2">
        <w:rPr>
          <w:rFonts w:ascii="Tahoma" w:hAnsi="Tahoma"/>
          <w:sz w:val="22"/>
        </w:rPr>
        <w:t>Il-kandidati għandhom jinnotaw li l-proposta tista’ ssir pubblika u li l-inklużjoni tagħhom fil-lista qasira ma tiggarantixxix ir-reklutaġġ tagħhom. Il-lista qasira ta’ kandidati ser tiġi stabbilita wara proċess ta’ għażla miftuħa.</w:t>
      </w:r>
    </w:p>
    <w:p w:rsidR="0041298D" w:rsidRPr="00C12CB2" w:rsidRDefault="00C27486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C12CB2">
        <w:rPr>
          <w:rFonts w:ascii="Tahoma" w:hAnsi="Tahoma"/>
          <w:sz w:val="22"/>
        </w:rPr>
        <w:t>Il-kandidat li jin</w:t>
      </w:r>
      <w:r w:rsidRPr="00C12CB2">
        <w:rPr>
          <w:rFonts w:ascii="Tahoma" w:hAnsi="Tahoma"/>
          <w:sz w:val="22"/>
        </w:rPr>
        <w:t>tgħażel ser jiġi reklutat bħala aġent kuntrattwali, skont l-Artikolu 3a) tal-Kundizzjonijiet tal-Impjieg ta’ Aġenti Oħrajn tal-Komunitajiet Ewropej, għal perjodu ta’ ħames snin. Il-kuntratt jista’ jiġġedded. Il-ħatra se tkun fil-</w:t>
      </w:r>
      <w:r w:rsidRPr="00C12CB2">
        <w:rPr>
          <w:rFonts w:ascii="Tahoma" w:hAnsi="Tahoma"/>
          <w:b/>
          <w:sz w:val="22"/>
        </w:rPr>
        <w:t>Grupp ta’ Funzjoni III.</w:t>
      </w:r>
      <w:r w:rsidRPr="00C12CB2">
        <w:rPr>
          <w:rFonts w:ascii="Tahoma" w:hAnsi="Tahoma"/>
          <w:color w:val="FF0000"/>
          <w:sz w:val="22"/>
        </w:rPr>
        <w:t xml:space="preserve"> </w:t>
      </w:r>
      <w:r w:rsidRPr="00C12CB2">
        <w:rPr>
          <w:rFonts w:ascii="Tahoma" w:hAnsi="Tahoma"/>
          <w:sz w:val="22"/>
        </w:rPr>
        <w:t>L-a</w:t>
      </w:r>
      <w:r w:rsidRPr="00C12CB2">
        <w:rPr>
          <w:rFonts w:ascii="Tahoma" w:hAnsi="Tahoma"/>
          <w:sz w:val="22"/>
        </w:rPr>
        <w:t>pplikanti għandhom jinnotaw ir-rekwiżit fir-regolamenti tal-persunal tal-UE għall-persunal il-ġdid kollu li għandu jtemm b’suċċess perjodu ta’ prova.</w:t>
      </w:r>
    </w:p>
    <w:p w:rsidR="0041298D" w:rsidRPr="00C12CB2" w:rsidRDefault="00C27486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Għal aktar informazzjoni dwar il-kundizzjonijiet kuntrattwali u tax-xogħol, jekk jogħġbok irreferi għall-K</w:t>
      </w:r>
      <w:r w:rsidRPr="00C12CB2">
        <w:rPr>
          <w:rFonts w:ascii="Tahoma" w:hAnsi="Tahoma"/>
          <w:color w:val="000000"/>
          <w:sz w:val="22"/>
        </w:rPr>
        <w:t>undizzjonijiet tal-Impjieg ta’ Aġenti Oħra tal-Komunitajiet Ewropej, li huma disponibbli fil-link li ġejja:</w:t>
      </w:r>
    </w:p>
    <w:p w:rsidR="00626750" w:rsidRPr="00C12CB2" w:rsidRDefault="00C27486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640D01" w:rsidRPr="00C12CB2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</w:p>
    <w:p w:rsidR="0041298D" w:rsidRPr="00C12CB2" w:rsidRDefault="00C27486" w:rsidP="0041298D">
      <w:pPr>
        <w:rPr>
          <w:rFonts w:ascii="Tahoma" w:hAnsi="Tahoma" w:cs="Tahoma"/>
          <w:sz w:val="22"/>
          <w:szCs w:val="22"/>
        </w:rPr>
      </w:pPr>
      <w:r w:rsidRPr="00C12CB2">
        <w:rPr>
          <w:rFonts w:ascii="Tahoma" w:hAnsi="Tahoma"/>
          <w:sz w:val="22"/>
        </w:rPr>
        <w:t>Il-post tal-impjieg ser ikun fi Stokkolma, fejn iċ-Ċentru għandu l-attivitajiet tiegħu.</w:t>
      </w:r>
    </w:p>
    <w:p w:rsidR="005D23DC" w:rsidRPr="00C12CB2" w:rsidRDefault="00C27486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C12CB2">
        <w:rPr>
          <w:rFonts w:ascii="Tahoma" w:hAnsi="Tahoma"/>
          <w:b/>
          <w:color w:val="69AE23"/>
          <w:sz w:val="28"/>
        </w:rPr>
        <w:t>Lista ta’ riserva</w:t>
      </w:r>
    </w:p>
    <w:p w:rsidR="0098219F" w:rsidRPr="00C12CB2" w:rsidRDefault="00C27486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C12CB2">
        <w:rPr>
          <w:rFonts w:ascii="Tahoma" w:hAnsi="Tahoma"/>
          <w:sz w:val="22"/>
        </w:rPr>
        <w:t xml:space="preserve">Tista’ tinħoloq lista ta’ riserva u din tintuża għar-reklutaġġ, fil-każ li jkun hemm pożizzjonijiet vakanti simili. Din ser tkun </w:t>
      </w:r>
      <w:r w:rsidRPr="00C12CB2">
        <w:rPr>
          <w:rFonts w:ascii="Tahoma" w:hAnsi="Tahoma"/>
          <w:sz w:val="22"/>
        </w:rPr>
        <w:t>valida sal-31 ta’ Diċembru tal-istess sena tad-data tal-iskadenza tal-applikazzjoni u tista’ tiġi estiża.</w:t>
      </w:r>
    </w:p>
    <w:p w:rsidR="005D23DC" w:rsidRPr="00C12CB2" w:rsidRDefault="00C27486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C12CB2">
        <w:rPr>
          <w:rFonts w:ascii="Tahoma" w:hAnsi="Tahoma"/>
          <w:b/>
          <w:color w:val="69AE23"/>
          <w:sz w:val="28"/>
        </w:rPr>
        <w:t>Proċedura ta’ applikazzjoni</w:t>
      </w:r>
    </w:p>
    <w:p w:rsidR="00B768AB" w:rsidRPr="00C12CB2" w:rsidRDefault="00C27486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C12CB2">
        <w:rPr>
          <w:rFonts w:ascii="Tahoma" w:hAnsi="Tahoma"/>
          <w:b/>
          <w:color w:val="000000"/>
          <w:sz w:val="22"/>
        </w:rPr>
        <w:t xml:space="preserve">Biex tapplika jekk jogħġbok ibgħat applikazzjoni mimlija lil </w:t>
      </w:r>
      <w:hyperlink r:id="rId11" w:history="1">
        <w:r w:rsidRPr="00C12CB2">
          <w:rPr>
            <w:rStyle w:val="Hyperlink"/>
            <w:rFonts w:ascii="Tahoma" w:hAnsi="Tahoma"/>
            <w:b/>
            <w:sz w:val="22"/>
          </w:rPr>
          <w:t>Recruitment@ec</w:t>
        </w:r>
        <w:r w:rsidRPr="00C12CB2">
          <w:rPr>
            <w:rStyle w:val="Hyperlink"/>
            <w:rFonts w:ascii="Tahoma" w:hAnsi="Tahoma"/>
            <w:b/>
            <w:sz w:val="22"/>
          </w:rPr>
          <w:t>dc.europa.eu</w:t>
        </w:r>
      </w:hyperlink>
      <w:r w:rsidRPr="00C12CB2">
        <w:rPr>
          <w:rFonts w:ascii="Tahoma" w:hAnsi="Tahoma"/>
          <w:b/>
          <w:color w:val="000000"/>
          <w:sz w:val="22"/>
        </w:rPr>
        <w:t xml:space="preserve"> u fis-suġġett tal-email indika b’mod ċar ir-referenza tal-pożizzjoni vakanti u kunjomok.</w:t>
      </w:r>
    </w:p>
    <w:p w:rsidR="00B80457" w:rsidRPr="00C12CB2" w:rsidRDefault="00C27486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C12CB2">
        <w:rPr>
          <w:rFonts w:ascii="Tahoma" w:hAnsi="Tahoma"/>
          <w:b/>
          <w:color w:val="000000"/>
          <w:sz w:val="22"/>
        </w:rPr>
        <w:t>Biex l-applikazzjoni tiegħek tkun valida trid timla t-taqsimiet meħtieġa kollha tal-formola ta’ applikazzjoni, li għandha tintbagħat fil-format ta’ Wor</w:t>
      </w:r>
      <w:r w:rsidRPr="00C12CB2">
        <w:rPr>
          <w:rFonts w:ascii="Tahoma" w:hAnsi="Tahoma"/>
          <w:b/>
          <w:color w:val="000000"/>
          <w:sz w:val="22"/>
        </w:rPr>
        <w:t xml:space="preserve">d jew PDF u </w:t>
      </w:r>
      <w:r w:rsidRPr="00C12CB2">
        <w:rPr>
          <w:rFonts w:ascii="Tahoma" w:hAnsi="Tahoma"/>
          <w:b/>
          <w:color w:val="000000"/>
          <w:sz w:val="22"/>
        </w:rPr>
        <w:lastRenderedPageBreak/>
        <w:t>preferibbilment bl-Ingliż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C12CB2">
        <w:rPr>
          <w:rFonts w:ascii="Tahoma" w:hAnsi="Tahoma"/>
          <w:b/>
          <w:color w:val="000000"/>
          <w:sz w:val="22"/>
        </w:rPr>
        <w:t>. Applikazzjonijiet mhux kompluti jitqiesu bħala mhux validi.</w:t>
      </w:r>
    </w:p>
    <w:p w:rsidR="00B768AB" w:rsidRPr="00C12CB2" w:rsidRDefault="00C27486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C12CB2">
        <w:rPr>
          <w:rFonts w:ascii="Tahoma" w:hAnsi="Tahoma"/>
          <w:b/>
          <w:color w:val="000000"/>
          <w:sz w:val="22"/>
        </w:rPr>
        <w:t>Il-formola ta’ applikazzjoni tal-ECDC tista’ tinstab fuq is-sit web tagħna hawnhekk:</w:t>
      </w:r>
    </w:p>
    <w:p w:rsidR="009A2309" w:rsidRPr="00C12CB2" w:rsidRDefault="00C27486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640D01" w:rsidRPr="00C12CB2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C12CB2" w:rsidRDefault="00C27486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C12CB2">
        <w:rPr>
          <w:rFonts w:ascii="Tahoma" w:hAnsi="Tahoma"/>
          <w:sz w:val="22"/>
        </w:rPr>
        <w:t xml:space="preserve">Id-data tal-għeluq għas-sottomissjoni tal-applikazzjonijiet u aktar informazzjoni rigward l-istatus ta’ din il-proċedura tal-għażla, kif ukoll informazzjoni importanti rigward </w:t>
      </w:r>
      <w:r w:rsidRPr="00C12CB2">
        <w:rPr>
          <w:rFonts w:ascii="Tahoma" w:hAnsi="Tahoma"/>
          <w:sz w:val="22"/>
        </w:rPr>
        <w:t>il-proċess tar-reklutaġġ, hija mniżżla fuq is-sit web tagħna u tista’ tinstab bl-użu tal-link ta’ hawn fuq.</w:t>
      </w:r>
    </w:p>
    <w:p w:rsidR="00B768AB" w:rsidRPr="00C12CB2" w:rsidRDefault="00C27486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C12CB2">
        <w:rPr>
          <w:rFonts w:ascii="Tahoma" w:hAnsi="Tahoma"/>
          <w:color w:val="000000"/>
          <w:sz w:val="22"/>
        </w:rPr>
        <w:t>Minħabba l-volum kbir ta’ applikazzjonijiet riċevuti, se jiġu nnotifikati biss il-kandidati li jintgħażlu għall-intervisti.</w:t>
      </w:r>
    </w:p>
    <w:sectPr w:rsidR="00B768AB" w:rsidRPr="00C12CB2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7486">
      <w:pPr>
        <w:spacing w:after="0"/>
      </w:pPr>
      <w:r>
        <w:separator/>
      </w:r>
    </w:p>
  </w:endnote>
  <w:endnote w:type="continuationSeparator" w:id="0">
    <w:p w:rsidR="00000000" w:rsidRDefault="00C274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C12CB2" w:rsidRDefault="00C27486">
    <w:pPr>
      <w:pStyle w:val="Footer"/>
      <w:framePr w:wrap="around" w:vAnchor="text" w:hAnchor="margin" w:xAlign="center" w:y="1"/>
      <w:rPr>
        <w:rStyle w:val="PageNumber"/>
      </w:rPr>
    </w:pPr>
    <w:r w:rsidRPr="00C12CB2">
      <w:rPr>
        <w:rStyle w:val="PageNumber"/>
      </w:rPr>
      <w:fldChar w:fldCharType="begin"/>
    </w:r>
    <w:r w:rsidRPr="00C12CB2">
      <w:rPr>
        <w:rStyle w:val="PageNumber"/>
      </w:rPr>
      <w:instrText xml:space="preserve">PAGE  </w:instrText>
    </w:r>
    <w:r w:rsidRPr="00C12CB2">
      <w:rPr>
        <w:rStyle w:val="PageNumber"/>
      </w:rPr>
      <w:fldChar w:fldCharType="separate"/>
    </w:r>
    <w:r>
      <w:rPr>
        <w:rStyle w:val="PageNumber"/>
        <w:noProof/>
      </w:rPr>
      <w:t>1</w:t>
    </w:r>
    <w:r w:rsidRPr="00C12CB2">
      <w:rPr>
        <w:rStyle w:val="PageNumber"/>
      </w:rPr>
      <w:fldChar w:fldCharType="end"/>
    </w:r>
  </w:p>
  <w:p w:rsidR="00682C0C" w:rsidRPr="00C12CB2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5C6" w:rsidRPr="00C12CB2" w:rsidRDefault="00C27486">
      <w:r w:rsidRPr="00C12CB2">
        <w:separator/>
      </w:r>
    </w:p>
  </w:footnote>
  <w:footnote w:type="continuationSeparator" w:id="0">
    <w:p w:rsidR="00F015C6" w:rsidRPr="00C12CB2" w:rsidRDefault="00C27486">
      <w:r w:rsidRPr="00C12CB2">
        <w:continuationSeparator/>
      </w:r>
    </w:p>
  </w:footnote>
  <w:footnote w:id="1">
    <w:p w:rsidR="00D732F8" w:rsidRPr="009953FC" w:rsidRDefault="00C27486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en-US"/>
        </w:rPr>
      </w:pPr>
      <w:r w:rsidRPr="009953FC">
        <w:rPr>
          <w:rStyle w:val="FootnoteReference"/>
          <w:rFonts w:ascii="Tahoma" w:hAnsi="Tahoma" w:cs="Tahoma"/>
        </w:rPr>
        <w:footnoteRef/>
      </w:r>
      <w:r w:rsidRPr="009953FC">
        <w:rPr>
          <w:rFonts w:ascii="Tahoma" w:hAnsi="Tahoma" w:cs="Tahoma"/>
          <w:vertAlign w:val="superscript"/>
        </w:rPr>
        <w:t xml:space="preserve"> </w:t>
      </w:r>
      <w:r w:rsidRPr="009953FC">
        <w:rPr>
          <w:rFonts w:ascii="Tahoma" w:hAnsi="Tahoma" w:cs="Tahoma"/>
          <w:sz w:val="20"/>
        </w:rPr>
        <w:t>Ser jiġu kkunsidrati biss id-diplomi u ċ-ċertifikati li jkunu ngħataw fl-Istati Membri tal-UE jew li huma s-suġġett ta’ ċertifikati ta’ ekwivalenza mħarġa</w:t>
      </w:r>
      <w:r w:rsidRPr="009953FC">
        <w:rPr>
          <w:rFonts w:ascii="Tahoma" w:hAnsi="Tahoma" w:cs="Tahoma"/>
          <w:sz w:val="20"/>
        </w:rPr>
        <w:t xml:space="preserve"> mill-awtoritajiet fl-Istati Membri msemmija.</w:t>
      </w:r>
    </w:p>
  </w:footnote>
  <w:footnote w:id="2">
    <w:p w:rsidR="00682C0C" w:rsidRPr="009953FC" w:rsidRDefault="00C27486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9953FC">
        <w:rPr>
          <w:rStyle w:val="FootnoteReference"/>
          <w:rFonts w:ascii="Tahoma" w:hAnsi="Tahoma" w:cs="Tahoma"/>
        </w:rPr>
        <w:footnoteRef/>
      </w:r>
      <w:r w:rsidRPr="009953FC">
        <w:rPr>
          <w:rStyle w:val="FootnoteReference"/>
          <w:rFonts w:ascii="Tahoma" w:hAnsi="Tahoma" w:cs="Tahoma"/>
        </w:rPr>
        <w:t xml:space="preserve"> </w:t>
      </w:r>
      <w:r w:rsidRPr="009953FC">
        <w:rPr>
          <w:rFonts w:ascii="Tahoma" w:hAnsi="Tahoma" w:cs="Tahoma"/>
          <w:sz w:val="20"/>
        </w:rPr>
        <w:t>Barra minn hekk, sabiex ikunu eliġibbli għal promozzjoni permezz ta’ eżerċizzju ta’ promozzjoni annwali, il-membri tal-persunal għandom</w:t>
      </w:r>
      <w:r w:rsidRPr="009953FC">
        <w:rPr>
          <w:rFonts w:ascii="Tahoma" w:hAnsi="Tahoma" w:cs="Tahoma"/>
          <w:sz w:val="20"/>
        </w:rPr>
        <w:t xml:space="preserve"> ikollhom għarfien operattiv ta’ tielet lingwa tal-UE, kif deskritt fir-Regolamenti tal-Persunal u r-Regoli ta’ Implimentazzjoni applikabbli.</w:t>
      </w:r>
    </w:p>
  </w:footnote>
  <w:footnote w:id="3">
    <w:p w:rsidR="00682C0C" w:rsidRPr="009953FC" w:rsidRDefault="00C27486" w:rsidP="0041298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9953FC">
        <w:rPr>
          <w:rStyle w:val="FootnoteReference"/>
          <w:rFonts w:ascii="Tahoma" w:hAnsi="Tahoma" w:cs="Tahoma"/>
          <w:sz w:val="20"/>
        </w:rPr>
        <w:footnoteRef/>
      </w:r>
      <w:r w:rsidRPr="009953FC">
        <w:rPr>
          <w:rFonts w:ascii="Tahoma" w:hAnsi="Tahoma" w:cs="Tahoma"/>
          <w:sz w:val="20"/>
        </w:rPr>
        <w:t xml:space="preserve"> Qabel il-ħatra, il-kandidat magħżul ser jintalab jipprovdi ċertifikat mill-fajl tal-pulizija biex juri li ma għa</w:t>
      </w:r>
      <w:r w:rsidRPr="009953FC">
        <w:rPr>
          <w:rFonts w:ascii="Tahoma" w:hAnsi="Tahoma" w:cs="Tahoma"/>
          <w:sz w:val="20"/>
        </w:rPr>
        <w:t>ndux kondotta kriminali.</w:t>
      </w:r>
    </w:p>
  </w:footnote>
  <w:footnote w:id="4">
    <w:p w:rsidR="00B80457" w:rsidRPr="009953FC" w:rsidRDefault="00C27486" w:rsidP="00B80457">
      <w:pPr>
        <w:pStyle w:val="FootnoteText"/>
        <w:ind w:left="142" w:hanging="142"/>
        <w:rPr>
          <w:rFonts w:cs="Tahoma"/>
        </w:rPr>
      </w:pPr>
      <w:r w:rsidRPr="009953FC">
        <w:rPr>
          <w:rStyle w:val="FootnoteReference"/>
          <w:rFonts w:cs="Tahoma"/>
        </w:rPr>
        <w:footnoteRef/>
      </w:r>
      <w:r w:rsidRPr="009953FC">
        <w:rPr>
          <w:rFonts w:cs="Tahoma"/>
        </w:rPr>
        <w:t xml:space="preserve"> Dan l-avviż ta’ pożizzjoni vakanti ġie tradott fl-24 lingwa uffiċjali kollha tal-UE mill-oriġinal tiegħu bl-Ingliż. Peress li l-lingwa tal-operazzjonijiet ta’ kuljum fl-Aġenzija hija ġeneralment l-Ingliż, l-ECDC jippreferi jirċie</w:t>
      </w:r>
      <w:r w:rsidRPr="009953FC">
        <w:rPr>
          <w:rFonts w:cs="Tahoma"/>
        </w:rPr>
        <w:t>vi l-applikazzjoni bl-Ingliż.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C12CB2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E1BC6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A5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D2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E5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2D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47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6DF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E0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EA0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D13A4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2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D43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6C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2D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0A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8C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02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88A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5184B3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D2EF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528A7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4E5F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DE1A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F06C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4CEF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0846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6AC9A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B16C1114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8C4A614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DA7A1A6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6798C38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263411A8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D8FE2C22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980A5FA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A80A1790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4FD4D78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54B407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A02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B2D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E2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02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8C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ACB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89C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0F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46D6C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6583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6A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C4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983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09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27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3E5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3C8E6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0E9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5210A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0E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CA32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3E2D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E8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2C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A2AD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592A3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888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629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02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41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665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A6D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EF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0A8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0FB27BC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27ED8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FCA8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578EF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30C5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AC4D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C032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9A86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D6FA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B64AE5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21697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74E1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04B3C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5A77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6085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592BC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5695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4004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0D01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953FC"/>
    <w:rsid w:val="009A2309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2CB2"/>
    <w:rsid w:val="00C13103"/>
    <w:rsid w:val="00C15D25"/>
    <w:rsid w:val="00C17EB6"/>
    <w:rsid w:val="00C23FD9"/>
    <w:rsid w:val="00C24D28"/>
    <w:rsid w:val="00C27486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15C6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43ED4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t-MT" w:eastAsia="mt-MT" w:bidi="mt-M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mt-MT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mt-MT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mt-MT" w:eastAsia="mt-MT" w:bidi="mt-MT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dc.europa.eu/en/aboutus/jobs/Documents/Staff_Regulations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5B5E6-5B5F-4585-9CC9-AF59A657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6260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2</cp:revision>
  <cp:lastPrinted>2018-07-18T13:04:00Z</cp:lastPrinted>
  <dcterms:created xsi:type="dcterms:W3CDTF">2019-02-21T12:06:00Z</dcterms:created>
  <dcterms:modified xsi:type="dcterms:W3CDTF">2019-02-21T12:06:00Z</dcterms:modified>
</cp:coreProperties>
</file>