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8074C6" w:rsidRDefault="003C57D5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8074C6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4C6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8074C6" w:rsidRDefault="003C57D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8074C6">
        <w:rPr>
          <w:rFonts w:ascii="Tahoma" w:hAnsi="Tahoma"/>
          <w:b/>
          <w:color w:val="FFFFFF"/>
          <w:sz w:val="28"/>
        </w:rPr>
        <w:t>Stellenausschreibung: Finanzassistent</w:t>
      </w:r>
    </w:p>
    <w:p w:rsidR="00FE2E07" w:rsidRPr="008074C6" w:rsidRDefault="003C57D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8074C6">
        <w:rPr>
          <w:rFonts w:ascii="Tahoma" w:hAnsi="Tahoma"/>
          <w:b/>
          <w:color w:val="FFFFFF"/>
          <w:sz w:val="28"/>
        </w:rPr>
        <w:t>Referat: Ressourcenmanagement und Koordinierung</w:t>
      </w:r>
    </w:p>
    <w:p w:rsidR="00F02854" w:rsidRPr="008074C6" w:rsidRDefault="003C57D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Referenz: ECDC/FGIII/2019</w:t>
      </w:r>
      <w:bookmarkStart w:id="0" w:name="_GoBack"/>
      <w:bookmarkEnd w:id="0"/>
      <w:r w:rsidRPr="008074C6">
        <w:rPr>
          <w:rFonts w:ascii="Tahoma" w:hAnsi="Tahoma"/>
          <w:b/>
          <w:color w:val="FFFFFF"/>
          <w:sz w:val="28"/>
        </w:rPr>
        <w:t>/RMC-FA</w:t>
      </w:r>
    </w:p>
    <w:p w:rsidR="00276937" w:rsidRPr="008074C6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8074C6" w:rsidRDefault="003C57D5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Für die vorstehend genannte Stelle eines Vertragsbediensteten können Bewerbungen beim Europäischen Zentrum für die Prävention und </w:t>
      </w:r>
      <w:r w:rsidRPr="008074C6">
        <w:rPr>
          <w:rFonts w:ascii="Tahoma" w:hAnsi="Tahoma"/>
          <w:sz w:val="22"/>
        </w:rPr>
        <w:t>die Kontrolle von Krankheiten (ECDC) eingereicht werden.</w:t>
      </w:r>
    </w:p>
    <w:p w:rsidR="00880A76" w:rsidRPr="008074C6" w:rsidRDefault="003C57D5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8074C6">
        <w:rPr>
          <w:rFonts w:ascii="Tahoma" w:hAnsi="Tahoma"/>
          <w:b/>
          <w:color w:val="69AE23"/>
          <w:sz w:val="28"/>
        </w:rPr>
        <w:t>Stellenbeschreibung</w:t>
      </w:r>
    </w:p>
    <w:p w:rsidR="003C3DD1" w:rsidRPr="008074C6" w:rsidRDefault="003C57D5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>Der Stelleninhaber arbeitet im Finanz- und Rechnungswesen und ist für die nachstehenden Aufgaben, je nach Gruppe, verantwortlich. Er/sie ist dem jeweiligen Gruppenleiter unterstel</w:t>
      </w:r>
      <w:r w:rsidRPr="008074C6">
        <w:rPr>
          <w:rFonts w:ascii="Tahoma" w:hAnsi="Tahoma"/>
          <w:sz w:val="22"/>
        </w:rPr>
        <w:t>lt.</w:t>
      </w:r>
    </w:p>
    <w:p w:rsidR="003C3DD1" w:rsidRPr="008074C6" w:rsidRDefault="003C57D5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>Er/sie wird insbesondere für die folgenden Arbeitsbereiche zuständig sein: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Einleitung von Finanztransaktionen in Verbindung mit Mitteln für Zahlungen und Mitteln für Verpflichtungen;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Unterstützung der operativen Referate bei der Ausarbeitung, </w:t>
      </w:r>
      <w:r w:rsidRPr="008074C6">
        <w:rPr>
          <w:rFonts w:ascii="Tahoma" w:hAnsi="Tahoma"/>
          <w:color w:val="000000"/>
          <w:sz w:val="22"/>
        </w:rPr>
        <w:t>Qualitätskontrolle und Erstellung von Finanzunterlagen;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strikte Anwendung der Finanzregelung und der finanziellen Verfahren des ECDC;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Unterstützung bei der Erstellung des Haushaltsplans des ECDC;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Erstellung von Rechtsträger- und Bankkontodateien;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Mitwirkun</w:t>
      </w:r>
      <w:r w:rsidRPr="008074C6">
        <w:rPr>
          <w:rFonts w:ascii="Tahoma" w:hAnsi="Tahoma"/>
          <w:color w:val="000000"/>
          <w:sz w:val="22"/>
        </w:rPr>
        <w:t>g an der Ausstellung von Einziehungsanordnungen und Mittelübertragungen;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Weiterverfolgung der Haushaltsausführung, Erstellung von Berichten und Durchführung von Kontoabstimmungen;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Unterstützung in Finanzfragen im gesamten Zentrum;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Unterstützung bei der Akt</w:t>
      </w:r>
      <w:r w:rsidRPr="008074C6">
        <w:rPr>
          <w:rFonts w:ascii="Tahoma" w:hAnsi="Tahoma"/>
          <w:color w:val="000000"/>
          <w:sz w:val="22"/>
        </w:rPr>
        <w:t>ualisierung von Finanzverfahren und Checklisten in Verbindung mit den finanztechnischen Arbeitsabläufen des Zentrums;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Bereitstellung allgemeiner Unterstützung in Form von Verwaltungs- und Büroarbeit einschließlich Dokumentenarchivierung; 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Übernahme einer S</w:t>
      </w:r>
      <w:r w:rsidRPr="008074C6">
        <w:rPr>
          <w:rFonts w:ascii="Tahoma" w:hAnsi="Tahoma"/>
          <w:color w:val="000000"/>
          <w:sz w:val="22"/>
        </w:rPr>
        <w:t>icherungs- und Unterstützungsfunktion für die zugeteilten Kollegen in der Abteilung;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Ausübung sonstiger, vom Gruppenleiter oder Abteilungsleiter zugewiesener Aufgaben.</w:t>
      </w:r>
    </w:p>
    <w:p w:rsidR="00B57790" w:rsidRPr="008074C6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8074C6" w:rsidRDefault="003C57D5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8074C6">
        <w:rPr>
          <w:rFonts w:ascii="Tahoma" w:hAnsi="Tahoma"/>
          <w:b/>
          <w:color w:val="69AE23"/>
          <w:sz w:val="28"/>
        </w:rPr>
        <w:t>Erforderliche Qualifikation und Erfahrung</w:t>
      </w:r>
    </w:p>
    <w:p w:rsidR="005D23DC" w:rsidRPr="008074C6" w:rsidRDefault="003C57D5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8074C6">
        <w:rPr>
          <w:rFonts w:ascii="Tahoma" w:hAnsi="Tahoma"/>
        </w:rPr>
        <w:t>Formale Anforderungen</w:t>
      </w:r>
    </w:p>
    <w:p w:rsidR="00A76ADE" w:rsidRPr="008074C6" w:rsidRDefault="003C57D5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Die Zulässigkeit von </w:t>
      </w:r>
      <w:r w:rsidRPr="008074C6">
        <w:rPr>
          <w:rFonts w:ascii="Tahoma" w:hAnsi="Tahoma"/>
          <w:color w:val="000000"/>
          <w:sz w:val="22"/>
        </w:rPr>
        <w:t>Bewerbern für diese Stelle hängt von mehreren formalen Anforderungen ab. Diese sind:</w:t>
      </w:r>
    </w:p>
    <w:p w:rsidR="003C3DD1" w:rsidRPr="008074C6" w:rsidRDefault="003C57D5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Sie müssen über einen postsekundären, durch ein Abschlusszeugnis bescheinigten Bildungsabschluss verfügen oder über einen Sekundarbildungsabschluss, der durch ein </w:t>
      </w:r>
      <w:r w:rsidRPr="008074C6">
        <w:rPr>
          <w:rFonts w:ascii="Tahoma" w:hAnsi="Tahoma"/>
          <w:sz w:val="22"/>
        </w:rPr>
        <w:lastRenderedPageBreak/>
        <w:t xml:space="preserve">Zeugnis </w:t>
      </w:r>
      <w:r w:rsidRPr="008074C6">
        <w:rPr>
          <w:rFonts w:ascii="Tahoma" w:hAnsi="Tahoma"/>
          <w:sz w:val="22"/>
        </w:rPr>
        <w:t>bescheinigt ist, das den Zugang zu postsekundärer Bildung ermöglicht, sowie über eine einschlägige dreijährige Berufserfahrung.</w:t>
      </w:r>
      <w:r>
        <w:rPr>
          <w:rFonts w:ascii="Tahoma" w:hAnsi="Tahoma"/>
          <w:sz w:val="22"/>
          <w:vertAlign w:val="superscript"/>
        </w:rPr>
        <w:footnoteReference w:id="1"/>
      </w:r>
    </w:p>
    <w:p w:rsidR="0041298D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Sie müssen über gründliche Kenntnis einer Amtssprache der Gemeinschaften und über ausreichende Kenntnis einer weiteren </w:t>
      </w:r>
      <w:r w:rsidRPr="008074C6">
        <w:rPr>
          <w:rFonts w:ascii="Tahoma" w:hAnsi="Tahoma"/>
          <w:color w:val="000000"/>
          <w:sz w:val="22"/>
        </w:rPr>
        <w:t>Amtssprache der Gemeinschaften in dem für die Wahrnehmung der Aufgaben erforderlichen Umfang verfügen.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</w:p>
    <w:p w:rsidR="0041298D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Sie müssen die Staatsangehörigkeit eines Mitgliedstaats der Europäischen Union oder Norwegens, Islands oder Liechtensteins besitzen.</w:t>
      </w:r>
    </w:p>
    <w:p w:rsidR="0041298D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Sie müssen im Besit</w:t>
      </w:r>
      <w:r w:rsidRPr="008074C6">
        <w:rPr>
          <w:rFonts w:ascii="Tahoma" w:hAnsi="Tahoma"/>
          <w:color w:val="000000"/>
          <w:sz w:val="22"/>
        </w:rPr>
        <w:t>z der bürgerlichen Ehrenrechte sein.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</w:p>
    <w:p w:rsidR="0041298D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Sie müssen den Verpflichtungen aus den für sie geltenden Wehrgesetzen nachgekommen sein.</w:t>
      </w:r>
    </w:p>
    <w:p w:rsidR="0041298D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Sie müssen die sittlichen Anforderungen an die Tätigkeit erfüllen.</w:t>
      </w:r>
    </w:p>
    <w:p w:rsidR="00E6511F" w:rsidRPr="008074C6" w:rsidRDefault="003C57D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Sie müssen im Besitz der für die Ausübung der Tätigkeit erford</w:t>
      </w:r>
      <w:r w:rsidRPr="008074C6">
        <w:rPr>
          <w:rFonts w:ascii="Tahoma" w:hAnsi="Tahoma"/>
          <w:color w:val="000000"/>
          <w:sz w:val="22"/>
        </w:rPr>
        <w:t>erlichen körperlichen Eignung sein.</w:t>
      </w:r>
    </w:p>
    <w:p w:rsidR="00224C0A" w:rsidRPr="008074C6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8074C6" w:rsidRDefault="003C57D5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8074C6">
        <w:rPr>
          <w:rFonts w:ascii="Tahoma" w:hAnsi="Tahoma"/>
        </w:rPr>
        <w:t>Auswahlkriterien</w:t>
      </w:r>
    </w:p>
    <w:p w:rsidR="00880A76" w:rsidRPr="008074C6" w:rsidRDefault="003C57D5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8074C6">
        <w:rPr>
          <w:rFonts w:ascii="Tahoma" w:hAnsi="Tahoma"/>
          <w:color w:val="000000"/>
          <w:sz w:val="22"/>
        </w:rPr>
        <w:t xml:space="preserve">Für diese Stelle kommen Bewerber in Betracht, die die folgenden </w:t>
      </w:r>
      <w:r w:rsidRPr="008074C6">
        <w:rPr>
          <w:rFonts w:ascii="Tahoma" w:hAnsi="Tahoma"/>
          <w:b/>
          <w:color w:val="000000"/>
          <w:sz w:val="22"/>
        </w:rPr>
        <w:t>wesentlichen Kriterien</w:t>
      </w:r>
      <w:r w:rsidRPr="008074C6">
        <w:rPr>
          <w:rFonts w:ascii="Tahoma" w:hAnsi="Tahoma"/>
          <w:color w:val="000000"/>
          <w:sz w:val="22"/>
        </w:rPr>
        <w:t xml:space="preserve"> hinsichtlich der Berufserfahrung/Fachkenntnisse und der persönlichen Eigenschaften/der sozialen Kompetenz erfüllen.</w:t>
      </w:r>
      <w:r w:rsidRPr="008074C6">
        <w:rPr>
          <w:rFonts w:ascii="Tahoma" w:hAnsi="Tahoma"/>
          <w:color w:val="000000"/>
          <w:sz w:val="22"/>
        </w:rPr>
        <w:t xml:space="preserve"> Dies sind:</w:t>
      </w:r>
    </w:p>
    <w:p w:rsidR="00880A76" w:rsidRPr="008074C6" w:rsidRDefault="003C57D5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8074C6">
        <w:rPr>
          <w:rFonts w:ascii="Tahoma" w:hAnsi="Tahoma"/>
          <w:i/>
          <w:color w:val="000000"/>
          <w:sz w:val="22"/>
        </w:rPr>
        <w:t>Berufserfahrung/Fachkenntnisse:</w:t>
      </w:r>
    </w:p>
    <w:p w:rsidR="00B57790" w:rsidRPr="008074C6" w:rsidRDefault="003C57D5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Mindestens drei Jahre Berufserfahrung nach Erwerb des Abschlusses in Positionen, die mit den in der Stellenbeschreibung beschriebenen Aufgaben in Zusammenhang stehen;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Erfahrung mit der Anwendung von </w:t>
      </w:r>
      <w:r w:rsidRPr="008074C6">
        <w:rPr>
          <w:rFonts w:ascii="Tahoma" w:hAnsi="Tahoma"/>
          <w:color w:val="000000"/>
          <w:sz w:val="22"/>
        </w:rPr>
        <w:t>Finanzverfahren und -vorschriften;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Erfahrung bei der Bearbeitung von Finanzgeschäften;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kompetenter Nutzer von Excel und von Softwarepaketen für Buchhaltung und Finanzen;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ausgezeichnete Kenntnisse der englischen Sprache in Wort und Schrift.</w:t>
      </w:r>
    </w:p>
    <w:p w:rsidR="00880A76" w:rsidRPr="008074C6" w:rsidRDefault="003C57D5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8074C6">
        <w:rPr>
          <w:rFonts w:ascii="Tahoma" w:hAnsi="Tahoma"/>
          <w:i/>
          <w:color w:val="000000"/>
          <w:sz w:val="22"/>
        </w:rPr>
        <w:t>Persönliche Eige</w:t>
      </w:r>
      <w:r w:rsidRPr="008074C6">
        <w:rPr>
          <w:rFonts w:ascii="Tahoma" w:hAnsi="Tahoma"/>
          <w:i/>
          <w:color w:val="000000"/>
          <w:sz w:val="22"/>
        </w:rPr>
        <w:t>nschaften/soziale Kompetenz:</w:t>
      </w:r>
    </w:p>
    <w:p w:rsidR="003C3DD1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Qualitäts- und Dienstleistungsorientiertheit;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ausgezeichnete Kommunikationsfähigkeit;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Qualitätsorientiertheit, Höchstmaß an Sorgfalt und Detailgenauigkeit;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lastRenderedPageBreak/>
        <w:t>ausgezeichnetes Zahlenverständnis;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hohes Maß an Dienstleistungsorientie</w:t>
      </w:r>
      <w:r w:rsidRPr="008074C6">
        <w:rPr>
          <w:rFonts w:ascii="Tahoma" w:hAnsi="Tahoma"/>
          <w:color w:val="000000"/>
          <w:sz w:val="22"/>
        </w:rPr>
        <w:t>rtheit;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ausgeprägte soziale Kompetenz und Fähigkeit, gut in einem Team zu arbeiten;</w:t>
      </w:r>
    </w:p>
    <w:p w:rsidR="00224C0A" w:rsidRPr="008074C6" w:rsidRDefault="003C57D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Fähigkeit, unter Druck zu arbeiten und knappe Fristen einzuhalten.</w:t>
      </w:r>
    </w:p>
    <w:p w:rsidR="00880A76" w:rsidRPr="008074C6" w:rsidRDefault="003C57D5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8074C6">
        <w:rPr>
          <w:rFonts w:ascii="Tahoma" w:hAnsi="Tahoma"/>
          <w:i/>
          <w:color w:val="000000"/>
          <w:sz w:val="22"/>
        </w:rPr>
        <w:t>Wir haben darüber hinaus auch Erfahrungen und Kompetenzen ermittelt, die für diese Stelle von Vorteil wär</w:t>
      </w:r>
      <w:r w:rsidRPr="008074C6">
        <w:rPr>
          <w:rFonts w:ascii="Tahoma" w:hAnsi="Tahoma"/>
          <w:i/>
          <w:color w:val="000000"/>
          <w:sz w:val="22"/>
        </w:rPr>
        <w:t>en. Diese sind:</w:t>
      </w:r>
    </w:p>
    <w:p w:rsidR="00224C0A" w:rsidRPr="008074C6" w:rsidRDefault="003C57D5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Spezifische Ausbildung im Finanz- und Rechnungswesen. </w:t>
      </w:r>
    </w:p>
    <w:p w:rsidR="001336A2" w:rsidRPr="008074C6" w:rsidRDefault="003C57D5" w:rsidP="001336A2">
      <w:pPr>
        <w:spacing w:after="12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>Je nachdem, wie viele Bewerbungen eingehen, kann der Auswahlausschuss auch strengere Anforderungen im Rahmen der genannten Auswahlkriterien stellen oder andere festgelegte und als vorte</w:t>
      </w:r>
      <w:r w:rsidRPr="008074C6">
        <w:rPr>
          <w:rFonts w:ascii="Tahoma" w:hAnsi="Tahoma"/>
          <w:sz w:val="22"/>
        </w:rPr>
        <w:t>ilhaft bezeichnete Kriterien anwenden.</w:t>
      </w:r>
    </w:p>
    <w:p w:rsidR="005D23DC" w:rsidRPr="008074C6" w:rsidRDefault="003C57D5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8074C6">
        <w:rPr>
          <w:rFonts w:ascii="Tahoma" w:hAnsi="Tahoma"/>
          <w:b/>
          <w:color w:val="69AE23"/>
          <w:sz w:val="28"/>
        </w:rPr>
        <w:t>Einstellung und Beschäftigungsbedingungen</w:t>
      </w:r>
    </w:p>
    <w:p w:rsidR="0041298D" w:rsidRPr="008074C6" w:rsidRDefault="003C57D5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Die Einstellung erfolgt auf der Grundlage einer Auswahlliste von Bewerbern, die der Auswahlausschuss dem Direktor vorschlägt. Diese Stellenausschreibung dient als Grundlage </w:t>
      </w:r>
      <w:r w:rsidRPr="008074C6">
        <w:rPr>
          <w:rFonts w:ascii="Tahoma" w:hAnsi="Tahoma"/>
          <w:sz w:val="22"/>
        </w:rPr>
        <w:t>für die Erstellung des Vorschlags des Auswahlausschusses. Die Bewerber können zur Teilnahme an schriftlichen Tests aufgefordert werden.</w:t>
      </w:r>
      <w:r w:rsidRPr="008074C6">
        <w:rPr>
          <w:rFonts w:ascii="Tahoma" w:hAnsi="Tahoma"/>
        </w:rPr>
        <w:t xml:space="preserve"> </w:t>
      </w:r>
      <w:r w:rsidRPr="008074C6">
        <w:rPr>
          <w:rFonts w:ascii="Tahoma" w:hAnsi="Tahoma"/>
          <w:sz w:val="22"/>
        </w:rPr>
        <w:t>Die Bewerber werden darauf hingewiesen, dass der Vorschlag veröffentlicht werden kann und dass die Aufnahme in die Auswa</w:t>
      </w:r>
      <w:r w:rsidRPr="008074C6">
        <w:rPr>
          <w:rFonts w:ascii="Tahoma" w:hAnsi="Tahoma"/>
          <w:sz w:val="22"/>
        </w:rPr>
        <w:t>hlliste keine Garantie für eine Einstellung ist. Die Auswahlliste der Bewerber wird auf der Grundlage eines offenen Auswahlverfahrens erstellt.</w:t>
      </w:r>
    </w:p>
    <w:p w:rsidR="0041298D" w:rsidRPr="008074C6" w:rsidRDefault="003C57D5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>Der erfolgreiche Bewerber wird gemäß Artikel 3a der Beschäftigungsbedingungen für die sonstigen Bediensteten der</w:t>
      </w:r>
      <w:r w:rsidRPr="008074C6">
        <w:rPr>
          <w:rFonts w:ascii="Tahoma" w:hAnsi="Tahoma"/>
          <w:sz w:val="22"/>
        </w:rPr>
        <w:t xml:space="preserve"> Europäischen Gemeinschaften für die Dauer von fünf Jahren als Vertragsbediensteter eingestellt. Der Vertrag kann verlängert werden. Die Einstellung erfolgt in der </w:t>
      </w:r>
      <w:r w:rsidRPr="008074C6">
        <w:rPr>
          <w:rFonts w:ascii="Tahoma" w:hAnsi="Tahoma"/>
          <w:b/>
          <w:sz w:val="22"/>
        </w:rPr>
        <w:t>Funktionsgruppe III.</w:t>
      </w:r>
      <w:r w:rsidRPr="008074C6">
        <w:rPr>
          <w:rFonts w:ascii="Tahoma" w:hAnsi="Tahoma"/>
          <w:color w:val="FF0000"/>
          <w:sz w:val="22"/>
        </w:rPr>
        <w:t xml:space="preserve"> </w:t>
      </w:r>
      <w:r w:rsidRPr="008074C6">
        <w:rPr>
          <w:rFonts w:ascii="Tahoma" w:hAnsi="Tahoma"/>
          <w:sz w:val="22"/>
        </w:rPr>
        <w:t>Die Bewerber werden darauf hingewiesen, dass das Statut der Beamten der</w:t>
      </w:r>
      <w:r w:rsidRPr="008074C6">
        <w:rPr>
          <w:rFonts w:ascii="Tahoma" w:hAnsi="Tahoma"/>
          <w:sz w:val="22"/>
        </w:rPr>
        <w:t xml:space="preserve"> Europäischen Union die erfolgreiche Absolvierung einer Probezeit vorsieht.</w:t>
      </w:r>
    </w:p>
    <w:p w:rsidR="0041298D" w:rsidRPr="008074C6" w:rsidRDefault="003C57D5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 xml:space="preserve">Weitere Informationen zu den Vertrags- und Arbeitsbedingungen finden Sie in den Beschäftigungsbedingungen für die sonstigen Bediensteten der Europäischen Gemeinschaften, die unter </w:t>
      </w:r>
      <w:r w:rsidRPr="008074C6">
        <w:rPr>
          <w:rFonts w:ascii="Tahoma" w:hAnsi="Tahoma"/>
          <w:color w:val="000000"/>
          <w:sz w:val="22"/>
        </w:rPr>
        <w:t>folgendem Link abrufbar sind:</w:t>
      </w:r>
    </w:p>
    <w:p w:rsidR="00626750" w:rsidRPr="008074C6" w:rsidRDefault="003C57D5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3109F9" w:rsidRPr="008074C6">
          <w:rPr>
            <w:rStyle w:val="Hyperlink"/>
            <w:rFonts w:ascii="Tahoma" w:hAnsi="Tahoma"/>
            <w:sz w:val="22"/>
          </w:rPr>
          <w:t>http://eur-lex.europa.eu/legal-content/DE/TXT/PDF/?uri=CELEX:01962R0031-20160910&amp;qid=1477295701335&amp;from=DE</w:t>
        </w:r>
      </w:hyperlink>
    </w:p>
    <w:p w:rsidR="0041298D" w:rsidRPr="008074C6" w:rsidRDefault="003C57D5" w:rsidP="0041298D">
      <w:pPr>
        <w:rPr>
          <w:rFonts w:ascii="Tahoma" w:hAnsi="Tahoma" w:cs="Tahoma"/>
          <w:sz w:val="22"/>
          <w:szCs w:val="22"/>
        </w:rPr>
      </w:pPr>
      <w:r w:rsidRPr="008074C6">
        <w:rPr>
          <w:rFonts w:ascii="Tahoma" w:hAnsi="Tahoma"/>
          <w:sz w:val="22"/>
        </w:rPr>
        <w:t>Der Ort der dienstlichen Verwendung ist Stockholm, wo das Zentrum seinen Sitz hat.</w:t>
      </w:r>
    </w:p>
    <w:p w:rsidR="005D23DC" w:rsidRPr="008074C6" w:rsidRDefault="003C57D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8074C6">
        <w:rPr>
          <w:rFonts w:ascii="Tahoma" w:hAnsi="Tahoma"/>
          <w:b/>
          <w:color w:val="69AE23"/>
          <w:sz w:val="28"/>
        </w:rPr>
        <w:t>Reserveliste</w:t>
      </w:r>
    </w:p>
    <w:p w:rsidR="0098219F" w:rsidRPr="008074C6" w:rsidRDefault="003C57D5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Eine Reserveliste kann aufgestellt und im Bedarfsfall für die Besetzung ähnlicher Stellen herangezogen werden. Die Reserveliste ist bis zum </w:t>
      </w:r>
      <w:r w:rsidRPr="008074C6">
        <w:rPr>
          <w:rFonts w:ascii="Tahoma" w:hAnsi="Tahoma"/>
          <w:sz w:val="22"/>
        </w:rPr>
        <w:t>31. Dezember des Jahres gültig, in dem die Bewerbungsfrist abläuft, und kann verlängert werden.</w:t>
      </w:r>
    </w:p>
    <w:p w:rsidR="005D23DC" w:rsidRPr="008074C6" w:rsidRDefault="003C57D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8074C6">
        <w:rPr>
          <w:rFonts w:ascii="Tahoma" w:hAnsi="Tahoma"/>
          <w:b/>
          <w:color w:val="69AE23"/>
          <w:sz w:val="28"/>
        </w:rPr>
        <w:t>Bewerbungsverfahren</w:t>
      </w:r>
    </w:p>
    <w:p w:rsidR="00B768AB" w:rsidRPr="008074C6" w:rsidRDefault="003C57D5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8074C6">
        <w:rPr>
          <w:rFonts w:ascii="Tahoma" w:hAnsi="Tahoma"/>
          <w:b/>
          <w:color w:val="000000"/>
          <w:sz w:val="22"/>
        </w:rPr>
        <w:t>Zur Bewerbung schicken Sie bitte ein ausgefülltes Bewerbungsformular an</w:t>
      </w:r>
      <w:r w:rsidRPr="008074C6">
        <w:t xml:space="preserve"> </w:t>
      </w:r>
      <w:hyperlink r:id="rId11" w:history="1">
        <w:r w:rsidRPr="008074C6">
          <w:rPr>
            <w:rStyle w:val="Hyperlink"/>
            <w:rFonts w:ascii="Tahoma" w:hAnsi="Tahoma"/>
            <w:b/>
            <w:sz w:val="22"/>
          </w:rPr>
          <w:t>Recruitment@ecdc.euro</w:t>
        </w:r>
        <w:r w:rsidRPr="008074C6">
          <w:rPr>
            <w:rStyle w:val="Hyperlink"/>
            <w:rFonts w:ascii="Tahoma" w:hAnsi="Tahoma"/>
            <w:b/>
            <w:sz w:val="22"/>
          </w:rPr>
          <w:t>pa.eu</w:t>
        </w:r>
      </w:hyperlink>
      <w:r w:rsidRPr="008074C6">
        <w:rPr>
          <w:rFonts w:ascii="Tahoma" w:hAnsi="Tahoma"/>
          <w:b/>
          <w:color w:val="000000"/>
          <w:sz w:val="22"/>
        </w:rPr>
        <w:t xml:space="preserve"> und geben Sie dabei im Betreff der E-Mail eindeutig die Referenznummer dieser Stellenausschreibung und Ihren Familiennamen an.</w:t>
      </w:r>
    </w:p>
    <w:p w:rsidR="00B80457" w:rsidRPr="008074C6" w:rsidRDefault="003C57D5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8074C6">
        <w:rPr>
          <w:rFonts w:ascii="Tahoma" w:hAnsi="Tahoma"/>
          <w:b/>
          <w:color w:val="000000"/>
          <w:sz w:val="22"/>
        </w:rPr>
        <w:t>Ihre Bewerbung ist nur dann gültig, wenn Sie alle erforderlichen Abschnitte des Bewerbungsformulars ausgefüllt haben, da</w:t>
      </w:r>
      <w:r w:rsidRPr="008074C6">
        <w:rPr>
          <w:rFonts w:ascii="Tahoma" w:hAnsi="Tahoma"/>
          <w:b/>
          <w:color w:val="000000"/>
          <w:sz w:val="22"/>
        </w:rPr>
        <w:t xml:space="preserve">s als Word- oder PDF-Datei, </w:t>
      </w:r>
      <w:r w:rsidRPr="008074C6">
        <w:rPr>
          <w:rFonts w:ascii="Tahoma" w:hAnsi="Tahoma"/>
          <w:b/>
          <w:color w:val="000000"/>
          <w:sz w:val="22"/>
        </w:rPr>
        <w:lastRenderedPageBreak/>
        <w:t>vorzugsweise in Englisch, einzureichen ist.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8074C6">
        <w:rPr>
          <w:rFonts w:ascii="Tahoma" w:hAnsi="Tahoma"/>
          <w:b/>
          <w:color w:val="000000"/>
          <w:sz w:val="22"/>
        </w:rPr>
        <w:t xml:space="preserve"> Unvollständige Bewerbungen werden für ungültig erachtet.</w:t>
      </w:r>
    </w:p>
    <w:p w:rsidR="00B768AB" w:rsidRPr="008074C6" w:rsidRDefault="003C57D5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8074C6">
        <w:rPr>
          <w:rFonts w:ascii="Tahoma" w:hAnsi="Tahoma"/>
          <w:b/>
          <w:color w:val="000000"/>
          <w:sz w:val="22"/>
        </w:rPr>
        <w:t>Das Bewerbungsformular des ECDC kann unter folgender Internetadresse von unserer Website abgerufen werden:</w:t>
      </w:r>
    </w:p>
    <w:p w:rsidR="009A2309" w:rsidRPr="008074C6" w:rsidRDefault="003C57D5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3109F9" w:rsidRPr="008074C6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8074C6" w:rsidRDefault="003C57D5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8074C6">
        <w:rPr>
          <w:rFonts w:ascii="Tahoma" w:hAnsi="Tahoma"/>
          <w:sz w:val="22"/>
        </w:rPr>
        <w:t xml:space="preserve">Die Frist für die Einreichung der Bewerbungen und weitere Informationen zum Stand dieses Auswahlverfahrens sowie wichtige </w:t>
      </w:r>
      <w:r w:rsidRPr="008074C6">
        <w:rPr>
          <w:rFonts w:ascii="Tahoma" w:hAnsi="Tahoma"/>
          <w:sz w:val="22"/>
        </w:rPr>
        <w:t>Informationen in Bezug auf das Einstellungsverfahren sind auf unserer Website unter vorstehendem Link zu finden.</w:t>
      </w:r>
    </w:p>
    <w:p w:rsidR="00B768AB" w:rsidRPr="008074C6" w:rsidRDefault="003C57D5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8074C6">
        <w:rPr>
          <w:rFonts w:ascii="Tahoma" w:hAnsi="Tahoma"/>
          <w:color w:val="000000"/>
          <w:sz w:val="22"/>
        </w:rPr>
        <w:t>Aufgrund der großen Zahl eingehender Bewerbungen werden nur Bewerber, die zu einem Vorstellungsgespräch eingeladen werden, benachrichtigt.</w:t>
      </w:r>
    </w:p>
    <w:sectPr w:rsidR="00B768AB" w:rsidRPr="008074C6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57D5">
      <w:pPr>
        <w:spacing w:after="0"/>
      </w:pPr>
      <w:r>
        <w:separator/>
      </w:r>
    </w:p>
  </w:endnote>
  <w:endnote w:type="continuationSeparator" w:id="0">
    <w:p w:rsidR="00000000" w:rsidRDefault="003C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8074C6" w:rsidRDefault="003C57D5">
    <w:pPr>
      <w:pStyle w:val="Footer"/>
      <w:framePr w:wrap="around" w:vAnchor="text" w:hAnchor="margin" w:xAlign="center" w:y="1"/>
      <w:rPr>
        <w:rStyle w:val="PageNumber"/>
      </w:rPr>
    </w:pPr>
    <w:r w:rsidRPr="008074C6">
      <w:rPr>
        <w:rStyle w:val="PageNumber"/>
      </w:rPr>
      <w:fldChar w:fldCharType="begin"/>
    </w:r>
    <w:r w:rsidRPr="008074C6">
      <w:rPr>
        <w:rStyle w:val="PageNumber"/>
      </w:rPr>
      <w:instrText xml:space="preserve">PAGE  </w:instrText>
    </w:r>
    <w:r w:rsidRPr="008074C6">
      <w:rPr>
        <w:rStyle w:val="PageNumber"/>
      </w:rPr>
      <w:fldChar w:fldCharType="separate"/>
    </w:r>
    <w:r>
      <w:rPr>
        <w:rStyle w:val="PageNumber"/>
        <w:noProof/>
      </w:rPr>
      <w:t>1</w:t>
    </w:r>
    <w:r w:rsidRPr="008074C6">
      <w:rPr>
        <w:rStyle w:val="PageNumber"/>
      </w:rPr>
      <w:fldChar w:fldCharType="end"/>
    </w:r>
  </w:p>
  <w:p w:rsidR="00682C0C" w:rsidRPr="008074C6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A8" w:rsidRPr="008074C6" w:rsidRDefault="003C57D5">
      <w:r w:rsidRPr="008074C6">
        <w:separator/>
      </w:r>
    </w:p>
  </w:footnote>
  <w:footnote w:type="continuationSeparator" w:id="0">
    <w:p w:rsidR="00B61FA8" w:rsidRPr="008074C6" w:rsidRDefault="003C57D5">
      <w:r w:rsidRPr="008074C6">
        <w:continuationSeparator/>
      </w:r>
    </w:p>
  </w:footnote>
  <w:footnote w:id="1">
    <w:p w:rsidR="00D732F8" w:rsidRPr="008C2832" w:rsidRDefault="003C57D5" w:rsidP="00D732F8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8C2832">
        <w:rPr>
          <w:rStyle w:val="FootnoteReference"/>
          <w:rFonts w:ascii="Tahoma" w:hAnsi="Tahoma" w:cs="Tahoma"/>
        </w:rPr>
        <w:footnoteRef/>
      </w:r>
      <w:r w:rsidRPr="008C2832">
        <w:rPr>
          <w:rFonts w:ascii="Tahoma" w:hAnsi="Tahoma" w:cs="Tahoma"/>
          <w:vertAlign w:val="superscript"/>
        </w:rPr>
        <w:t xml:space="preserve"> </w:t>
      </w:r>
      <w:r w:rsidRPr="008C2832">
        <w:rPr>
          <w:rFonts w:ascii="Tahoma" w:hAnsi="Tahoma" w:cs="Tahoma"/>
          <w:sz w:val="20"/>
        </w:rPr>
        <w:t xml:space="preserve">Es werden nur Hochschul- und Bildungsabschlüsse berücksichtigt, die in den EU-Mitgliedstaaten erworben oder von den zuständigen Behörden der betreffenden Mitgliedstaaten </w:t>
      </w:r>
      <w:r w:rsidRPr="008C2832">
        <w:rPr>
          <w:rFonts w:ascii="Tahoma" w:hAnsi="Tahoma" w:cs="Tahoma"/>
          <w:sz w:val="20"/>
        </w:rPr>
        <w:t>als gleichwertig anerkannt wurden.</w:t>
      </w:r>
    </w:p>
  </w:footnote>
  <w:footnote w:id="2">
    <w:p w:rsidR="00682C0C" w:rsidRPr="008C2832" w:rsidRDefault="003C57D5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8C2832">
        <w:rPr>
          <w:rStyle w:val="FootnoteReference"/>
          <w:rFonts w:ascii="Tahoma" w:hAnsi="Tahoma" w:cs="Tahoma"/>
        </w:rPr>
        <w:footnoteRef/>
      </w:r>
      <w:r w:rsidRPr="008C2832">
        <w:rPr>
          <w:rStyle w:val="FootnoteReference"/>
          <w:rFonts w:ascii="Tahoma" w:hAnsi="Tahoma" w:cs="Tahoma"/>
        </w:rPr>
        <w:t xml:space="preserve"> </w:t>
      </w:r>
      <w:r w:rsidRPr="008C2832">
        <w:rPr>
          <w:rFonts w:ascii="Tahoma" w:hAnsi="Tahoma" w:cs="Tahoma"/>
          <w:sz w:val="20"/>
        </w:rPr>
        <w:t>Um auf der Grundlage des jährlichen Beförderungsverfahrens für eine Beförderung in Frage zu kommen, müssen Bedienstete gemäß dem geltenden Beamtenstatut und den Durchführungsbestimmungen darüber hinaus über ausreichende</w:t>
      </w:r>
      <w:r w:rsidRPr="008C2832">
        <w:rPr>
          <w:rFonts w:ascii="Tahoma" w:hAnsi="Tahoma" w:cs="Tahoma"/>
          <w:sz w:val="20"/>
        </w:rPr>
        <w:t xml:space="preserve"> Kenntnisse in einer dritten EU-Amtssprache verfügen.</w:t>
      </w:r>
    </w:p>
  </w:footnote>
  <w:footnote w:id="3">
    <w:p w:rsidR="00682C0C" w:rsidRPr="008C2832" w:rsidRDefault="003C57D5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8C2832">
        <w:rPr>
          <w:rStyle w:val="FootnoteReference"/>
          <w:rFonts w:ascii="Tahoma" w:hAnsi="Tahoma" w:cs="Tahoma"/>
          <w:sz w:val="20"/>
        </w:rPr>
        <w:footnoteRef/>
      </w:r>
      <w:r w:rsidRPr="008C2832">
        <w:rPr>
          <w:rFonts w:ascii="Tahoma" w:hAnsi="Tahoma" w:cs="Tahoma"/>
          <w:sz w:val="20"/>
        </w:rPr>
        <w:t xml:space="preserve"> Vor der Einstellung wird der erfolgreiche Bewerber ersucht, ein polizeiliches Führungszeugnis oder eine ähnliche behördliche Bescheinigung vorzulegen.</w:t>
      </w:r>
    </w:p>
  </w:footnote>
  <w:footnote w:id="4">
    <w:p w:rsidR="00B80457" w:rsidRPr="008C2832" w:rsidRDefault="003C57D5" w:rsidP="00B80457">
      <w:pPr>
        <w:pStyle w:val="FootnoteText"/>
        <w:ind w:left="142" w:hanging="142"/>
        <w:rPr>
          <w:rFonts w:cs="Tahoma"/>
        </w:rPr>
      </w:pPr>
      <w:r w:rsidRPr="008C2832">
        <w:rPr>
          <w:rStyle w:val="FootnoteReference"/>
          <w:rFonts w:cs="Tahoma"/>
        </w:rPr>
        <w:footnoteRef/>
      </w:r>
      <w:r w:rsidRPr="008C2832">
        <w:rPr>
          <w:rFonts w:cs="Tahoma"/>
        </w:rPr>
        <w:t xml:space="preserve"> Diese Stellenausschreibung wurde aus dem englis</w:t>
      </w:r>
      <w:r w:rsidRPr="008C2832">
        <w:rPr>
          <w:rFonts w:cs="Tahoma"/>
        </w:rPr>
        <w:t>chen Original in alle 24 EU-Amtssprachen übersetzt. Da beim ECDC in der Regel Englisch als Arbeitssprache verwendet wird, zieht es das Zentrum vor, Bewerbungen in englischer Sprache entgegenzunehmen.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8074C6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F1AC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E6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6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86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C9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2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49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80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EB8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A0DA5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EF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6A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A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A0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0E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E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A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A4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F4B43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EB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9A1E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36E2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ACE4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5CD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8261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1A05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1E7D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ACD863A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C5412CC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1F87114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D5ED07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D786E11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DE169D3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E94A716E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A8B4E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466E8F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DD18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C29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A3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E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8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9EB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EC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6D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81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7A3A6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F00A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2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AA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C3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0C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D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F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CA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24B46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AC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D3CAA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B29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CE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9E69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E7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CB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E43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9B78C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2E9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0C2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67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A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82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C9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E47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968C01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E6C0FB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3A6A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9CCE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4024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9659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5C9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5848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3A30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2D5464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968B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285F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441F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3879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8B6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DC33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E242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7851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09F9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57D5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074C6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C2832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1FA8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378D8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de-DE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de-DE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de-DE" w:eastAsia="de-DE" w:bidi="de-DE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DE/TXT/PDF/?uri=CELEX:01962R0031-20160910&amp;amp;qid=1477295701335&amp;amp;from=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1A0C-2DA6-4944-988E-94D6A2C0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6540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2019-02-21T11:43:00Z</dcterms:created>
  <dcterms:modified xsi:type="dcterms:W3CDTF">2019-02-21T11:43:00Z</dcterms:modified>
</cp:coreProperties>
</file>