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F41BB0" w:rsidRDefault="00DB778D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F41BB0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BB0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F41BB0" w:rsidRDefault="00DB778D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F41BB0">
        <w:rPr>
          <w:rFonts w:ascii="Tahoma" w:hAnsi="Tahoma"/>
          <w:b/>
          <w:color w:val="FFFFFF"/>
          <w:sz w:val="28"/>
        </w:rPr>
        <w:t>Ledig stilling: Økonomiassistent</w:t>
      </w:r>
    </w:p>
    <w:p w:rsidR="00FE2E07" w:rsidRPr="00F41BB0" w:rsidRDefault="00DB778D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F41BB0">
        <w:rPr>
          <w:rFonts w:ascii="Tahoma" w:hAnsi="Tahoma"/>
          <w:b/>
          <w:color w:val="FFFFFF"/>
          <w:sz w:val="28"/>
        </w:rPr>
        <w:t>Enhed: Ressourcestyring og koordinering</w:t>
      </w:r>
    </w:p>
    <w:p w:rsidR="00F02854" w:rsidRPr="00F41BB0" w:rsidRDefault="00DB778D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Reference: ECDC/FGIII/2019</w:t>
      </w:r>
      <w:bookmarkStart w:id="0" w:name="_GoBack"/>
      <w:bookmarkEnd w:id="0"/>
      <w:r w:rsidRPr="00F41BB0">
        <w:rPr>
          <w:rFonts w:ascii="Tahoma" w:hAnsi="Tahoma"/>
          <w:b/>
          <w:color w:val="FFFFFF"/>
          <w:sz w:val="28"/>
        </w:rPr>
        <w:t>/RMC-FA</w:t>
      </w:r>
    </w:p>
    <w:p w:rsidR="00276937" w:rsidRPr="00F41BB0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F41BB0" w:rsidRDefault="00DB778D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41BB0">
        <w:rPr>
          <w:rFonts w:ascii="Tahoma" w:hAnsi="Tahoma"/>
          <w:sz w:val="22"/>
        </w:rPr>
        <w:t xml:space="preserve">Interesserede opfordres til at søge ovennævnte stilling som kontraktansat hos Det Europæiske Center for Forebyggelse af og Kontrol med Sygdomme </w:t>
      </w:r>
      <w:r w:rsidRPr="00F41BB0">
        <w:rPr>
          <w:rFonts w:ascii="Tahoma" w:hAnsi="Tahoma"/>
          <w:sz w:val="22"/>
        </w:rPr>
        <w:t>(ECDC).</w:t>
      </w:r>
    </w:p>
    <w:p w:rsidR="00880A76" w:rsidRPr="00F41BB0" w:rsidRDefault="00DB778D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F41BB0">
        <w:rPr>
          <w:rFonts w:ascii="Tahoma" w:hAnsi="Tahoma"/>
          <w:b/>
          <w:color w:val="69AE23"/>
          <w:sz w:val="28"/>
        </w:rPr>
        <w:t>Jobbeskrivelse</w:t>
      </w:r>
    </w:p>
    <w:p w:rsidR="003C3DD1" w:rsidRPr="00F41BB0" w:rsidRDefault="00DB778D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F41BB0">
        <w:rPr>
          <w:rFonts w:ascii="Tahoma" w:hAnsi="Tahoma"/>
          <w:sz w:val="22"/>
        </w:rPr>
        <w:t>Medarbejderen skal arbejde i afdelingen for finans og regnskab og vil få ansvar for nedenstående opgaver, afhængigt af gruppen. Den pågældende rapporterer til den relevante gruppeleder.</w:t>
      </w:r>
    </w:p>
    <w:p w:rsidR="003C3DD1" w:rsidRPr="00F41BB0" w:rsidRDefault="00DB778D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F41BB0">
        <w:rPr>
          <w:rFonts w:ascii="Tahoma" w:hAnsi="Tahoma"/>
          <w:sz w:val="22"/>
        </w:rPr>
        <w:t>Den pågældende vil navnlig få ansvaret for følg</w:t>
      </w:r>
      <w:r w:rsidRPr="00F41BB0">
        <w:rPr>
          <w:rFonts w:ascii="Tahoma" w:hAnsi="Tahoma"/>
          <w:sz w:val="22"/>
        </w:rPr>
        <w:t>ende arbejdsområder: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initiere finansielle transaktioner vedrørende betalings- og forpligtelsesbevillinger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bistå de operationelle enheder med forberedelse, kvalitetskontrol og udarbejdelse af finansielle dossierer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sørge for nøje gennemførelse af ECDC's</w:t>
      </w:r>
      <w:r w:rsidRPr="00F41BB0">
        <w:rPr>
          <w:rFonts w:ascii="Tahoma" w:hAnsi="Tahoma"/>
          <w:color w:val="000000"/>
          <w:sz w:val="22"/>
        </w:rPr>
        <w:t xml:space="preserve"> finansforordning og procedurer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bistå med udarbejdelsen af ECDC's budget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oprette registre over juridiske personer og bankkonti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bistå med udstedelse af indtægtsordrer og budgetoverførsler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følge op på budgetgennemførelsen, fremlægge rapporter og afstemninger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yde bistand i forbindelse med finansielle spørgsmål i hele centret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bistå med ajourføringer af finansielle procedurer og tjeklister vedrørende centrets finansielle arbejdsgange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yde generel administrativ støtte og kontorbistand, herunder dokumentarkivering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udføre backup- og støttefunktion for de tilknyttede kolleger i sektionen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udføre alle andre opgaver, som tildeles af gruppelederen eller sektionslederen.</w:t>
      </w:r>
    </w:p>
    <w:p w:rsidR="00B57790" w:rsidRPr="00F41BB0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F41BB0" w:rsidRDefault="00DB778D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F41BB0">
        <w:rPr>
          <w:rFonts w:ascii="Tahoma" w:hAnsi="Tahoma"/>
          <w:b/>
          <w:color w:val="69AE23"/>
          <w:sz w:val="28"/>
        </w:rPr>
        <w:t>Nødvendige kvalifikationer og erfaringer</w:t>
      </w:r>
    </w:p>
    <w:p w:rsidR="005D23DC" w:rsidRPr="00F41BB0" w:rsidRDefault="00DB778D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F41BB0">
        <w:rPr>
          <w:rFonts w:ascii="Tahoma" w:hAnsi="Tahoma"/>
        </w:rPr>
        <w:t>Formelle krav</w:t>
      </w:r>
    </w:p>
    <w:p w:rsidR="00A76ADE" w:rsidRPr="00F41BB0" w:rsidRDefault="00DB778D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 xml:space="preserve">For at ansøgeren kan anses for kvalificeret, </w:t>
      </w:r>
      <w:r w:rsidRPr="00F41BB0">
        <w:rPr>
          <w:rFonts w:ascii="Tahoma" w:hAnsi="Tahoma"/>
          <w:color w:val="000000"/>
          <w:sz w:val="22"/>
        </w:rPr>
        <w:t>skal en række formelle krav være opfyldt. Ansøgeren skal:</w:t>
      </w:r>
    </w:p>
    <w:p w:rsidR="003C3DD1" w:rsidRPr="00F41BB0" w:rsidRDefault="00DB778D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F41BB0">
        <w:rPr>
          <w:rFonts w:ascii="Tahoma" w:hAnsi="Tahoma"/>
          <w:sz w:val="22"/>
        </w:rPr>
        <w:t>have en videregående uddannelse attesteret ved et eksamensbevis eller en uddannelse på gymnasieniveau attesteret ved et eksamensbevis, der giver adgang til videregående uddannelse, og tre års releva</w:t>
      </w:r>
      <w:r w:rsidRPr="00F41BB0">
        <w:rPr>
          <w:rFonts w:ascii="Tahoma" w:hAnsi="Tahoma"/>
          <w:sz w:val="22"/>
        </w:rPr>
        <w:t>nt erhvervserfaring</w:t>
      </w:r>
      <w:r>
        <w:rPr>
          <w:rFonts w:ascii="Tahoma" w:hAnsi="Tahoma"/>
          <w:sz w:val="22"/>
          <w:vertAlign w:val="superscript"/>
        </w:rPr>
        <w:footnoteReference w:id="1"/>
      </w:r>
    </w:p>
    <w:p w:rsidR="0041298D" w:rsidRPr="00F41BB0" w:rsidRDefault="00DB778D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lastRenderedPageBreak/>
        <w:t>have et indgående kendskab til et af EU's officielle sprog og et tilfredsstillende kendskab til et andet af disse sprog i det omfang, dette er nødvendigt for at kunne udføre arbejdsopgaverne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</w:p>
    <w:p w:rsidR="0041298D" w:rsidRPr="00F41BB0" w:rsidRDefault="00DB778D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være</w:t>
      </w:r>
      <w:r w:rsidRPr="00F41BB0">
        <w:rPr>
          <w:rFonts w:ascii="Tahoma" w:hAnsi="Tahoma"/>
          <w:color w:val="000000"/>
          <w:sz w:val="22"/>
        </w:rPr>
        <w:t xml:space="preserve"> statsborger i en af EU-medlemsstaterne eller i Norge, Island eller Liechtenstein</w:t>
      </w:r>
    </w:p>
    <w:p w:rsidR="0041298D" w:rsidRPr="00F41BB0" w:rsidRDefault="00DB778D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være i besiddelse af sine borgerlige rettigheder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</w:p>
    <w:p w:rsidR="0041298D" w:rsidRPr="00F41BB0" w:rsidRDefault="00DB778D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have opfyldt sine forpligtelser i henhold til de gældende love om værnepligt</w:t>
      </w:r>
    </w:p>
    <w:p w:rsidR="0041298D" w:rsidRPr="00F41BB0" w:rsidRDefault="00DB778D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opfylde de vandelskrav, der stilles for at udfø</w:t>
      </w:r>
      <w:r w:rsidRPr="00F41BB0">
        <w:rPr>
          <w:rFonts w:ascii="Tahoma" w:hAnsi="Tahoma"/>
          <w:color w:val="000000"/>
          <w:sz w:val="22"/>
        </w:rPr>
        <w:t>re de pågældende opgaver</w:t>
      </w:r>
    </w:p>
    <w:p w:rsidR="00E6511F" w:rsidRPr="00F41BB0" w:rsidRDefault="00DB778D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opfylde de for hvervet nødvendige fysiske krav.</w:t>
      </w:r>
    </w:p>
    <w:p w:rsidR="00224C0A" w:rsidRPr="00F41BB0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F41BB0" w:rsidRDefault="00DB778D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F41BB0">
        <w:rPr>
          <w:rFonts w:ascii="Tahoma" w:hAnsi="Tahoma"/>
        </w:rPr>
        <w:t>Udvælgelseskriterier</w:t>
      </w:r>
    </w:p>
    <w:p w:rsidR="00880A76" w:rsidRPr="00F41BB0" w:rsidRDefault="00DB778D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F41BB0">
        <w:rPr>
          <w:rFonts w:ascii="Tahoma" w:hAnsi="Tahoma"/>
          <w:color w:val="000000"/>
          <w:sz w:val="22"/>
        </w:rPr>
        <w:t xml:space="preserve">Vi har fastlagt </w:t>
      </w:r>
      <w:r w:rsidRPr="00F41BB0">
        <w:rPr>
          <w:rFonts w:ascii="Tahoma" w:hAnsi="Tahoma"/>
          <w:b/>
          <w:color w:val="000000"/>
          <w:sz w:val="22"/>
        </w:rPr>
        <w:t>væsentlige kriterier</w:t>
      </w:r>
      <w:r w:rsidRPr="00F41BB0">
        <w:rPr>
          <w:rFonts w:ascii="Tahoma" w:hAnsi="Tahoma"/>
          <w:color w:val="000000"/>
          <w:sz w:val="22"/>
        </w:rPr>
        <w:t xml:space="preserve"> med hensyn til erhvervserfaring/faglig viden og personlige egenskaber/sociale kompetencer, som skal være opfyldt for at komm</w:t>
      </w:r>
      <w:r w:rsidRPr="00F41BB0">
        <w:rPr>
          <w:rFonts w:ascii="Tahoma" w:hAnsi="Tahoma"/>
          <w:color w:val="000000"/>
          <w:sz w:val="22"/>
        </w:rPr>
        <w:t>e i betragtning til denne stilling.</w:t>
      </w:r>
    </w:p>
    <w:p w:rsidR="00880A76" w:rsidRPr="00F41BB0" w:rsidRDefault="00DB778D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F41BB0">
        <w:rPr>
          <w:rFonts w:ascii="Tahoma" w:hAnsi="Tahoma"/>
          <w:i/>
          <w:color w:val="000000"/>
          <w:sz w:val="22"/>
        </w:rPr>
        <w:t>Erhvervserfaring/faglig viden:</w:t>
      </w:r>
    </w:p>
    <w:p w:rsidR="00B57790" w:rsidRPr="00F41BB0" w:rsidRDefault="00DB778D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mindst 3 års erhvervserfaring efter den afsluttende eksamen i stillinger i relation til de arbejdsopgaver, der fremgår af jobbeskrivelsen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erfaring</w:t>
      </w:r>
      <w:r w:rsidRPr="00F41BB0">
        <w:rPr>
          <w:rFonts w:ascii="Tahoma" w:hAnsi="Tahoma"/>
          <w:color w:val="000000"/>
          <w:sz w:val="22"/>
        </w:rPr>
        <w:t xml:space="preserve"> med at anvende finansielle procedurer og regler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erfaring med at behandle finansielle transaktioner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kompetent bruger af Excel, regnskabs- og finanssoftwarepakker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særdeles god beherskelse af engelsk, både skriftligt og mundtligt.</w:t>
      </w:r>
    </w:p>
    <w:p w:rsidR="00880A76" w:rsidRPr="00F41BB0" w:rsidRDefault="00DB778D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F41BB0">
        <w:rPr>
          <w:rFonts w:ascii="Tahoma" w:hAnsi="Tahoma"/>
          <w:i/>
          <w:color w:val="000000"/>
          <w:sz w:val="22"/>
        </w:rPr>
        <w:t>Personlige egenskaber/socia</w:t>
      </w:r>
      <w:r w:rsidRPr="00F41BB0">
        <w:rPr>
          <w:rFonts w:ascii="Tahoma" w:hAnsi="Tahoma"/>
          <w:i/>
          <w:color w:val="000000"/>
          <w:sz w:val="22"/>
        </w:rPr>
        <w:t>le kompetencer:</w:t>
      </w:r>
    </w:p>
    <w:p w:rsidR="003C3DD1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kvalitetsdrevet og serviceminded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særdeles gode kommunikationsevner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kvalitetsdrevet, stor omhyggelighed og sans for detaljer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særdeles gode talmæssige evner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servicemindedhed på højt niveau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stærke sociale kompetencer og evne til at arbejde god</w:t>
      </w:r>
      <w:r w:rsidRPr="00F41BB0">
        <w:rPr>
          <w:rFonts w:ascii="Tahoma" w:hAnsi="Tahoma"/>
          <w:color w:val="000000"/>
          <w:sz w:val="22"/>
        </w:rPr>
        <w:t>t i et team</w:t>
      </w:r>
    </w:p>
    <w:p w:rsidR="00224C0A" w:rsidRPr="00F41BB0" w:rsidRDefault="00DB778D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evne til at arbejde under pres og inden for stramme frister.</w:t>
      </w:r>
    </w:p>
    <w:p w:rsidR="00880A76" w:rsidRPr="00F41BB0" w:rsidRDefault="00DB778D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F41BB0">
        <w:rPr>
          <w:rFonts w:ascii="Tahoma" w:hAnsi="Tahoma"/>
          <w:i/>
          <w:color w:val="000000"/>
          <w:sz w:val="22"/>
        </w:rPr>
        <w:t>Vi har også identificeret erfaringer og kvalifikationer, som er fordelagtige for denne stilling. Disse er følgende:</w:t>
      </w:r>
    </w:p>
    <w:p w:rsidR="00224C0A" w:rsidRPr="00F41BB0" w:rsidRDefault="00DB778D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F41BB0">
        <w:rPr>
          <w:rFonts w:ascii="Tahoma" w:hAnsi="Tahoma"/>
          <w:sz w:val="22"/>
        </w:rPr>
        <w:t>specifik uddannelse inden for finans og regnskab.</w:t>
      </w:r>
    </w:p>
    <w:p w:rsidR="00C82970" w:rsidRPr="00F41BB0" w:rsidRDefault="00C82970" w:rsidP="00C82970">
      <w:pPr>
        <w:spacing w:after="120"/>
        <w:ind w:left="720"/>
        <w:rPr>
          <w:rFonts w:ascii="Tahoma" w:hAnsi="Tahoma" w:cs="Tahoma"/>
          <w:sz w:val="22"/>
          <w:szCs w:val="22"/>
        </w:rPr>
      </w:pPr>
    </w:p>
    <w:p w:rsidR="001336A2" w:rsidRPr="00F41BB0" w:rsidRDefault="00DB778D" w:rsidP="001336A2">
      <w:pPr>
        <w:spacing w:after="120"/>
        <w:rPr>
          <w:rFonts w:ascii="Tahoma" w:hAnsi="Tahoma" w:cs="Tahoma"/>
          <w:sz w:val="22"/>
          <w:szCs w:val="22"/>
        </w:rPr>
      </w:pPr>
      <w:r w:rsidRPr="00F41BB0">
        <w:rPr>
          <w:rFonts w:ascii="Tahoma" w:hAnsi="Tahoma"/>
          <w:sz w:val="22"/>
        </w:rPr>
        <w:t xml:space="preserve">Afhængigt af </w:t>
      </w:r>
      <w:r w:rsidRPr="00F41BB0">
        <w:rPr>
          <w:rFonts w:ascii="Tahoma" w:hAnsi="Tahoma"/>
          <w:sz w:val="22"/>
        </w:rPr>
        <w:t>antallet af modtagne ansøgninger kan udvælgelseskomitéen opstille strengere krav inden for de ovennævnte udvælgelseskriteriers områder eller anvende et af de anførte fordelagtige kriterier.</w:t>
      </w:r>
    </w:p>
    <w:p w:rsidR="005D23DC" w:rsidRPr="00F41BB0" w:rsidRDefault="00DB778D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F41BB0">
        <w:rPr>
          <w:rFonts w:ascii="Tahoma" w:hAnsi="Tahoma"/>
          <w:b/>
          <w:color w:val="69AE23"/>
          <w:sz w:val="28"/>
        </w:rPr>
        <w:t>Ansættelse og ansættelsesvilkår</w:t>
      </w:r>
    </w:p>
    <w:p w:rsidR="0041298D" w:rsidRPr="00F41BB0" w:rsidRDefault="00DB778D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41BB0">
        <w:rPr>
          <w:rFonts w:ascii="Tahoma" w:hAnsi="Tahoma"/>
          <w:sz w:val="22"/>
        </w:rPr>
        <w:t>Medarbejderen udnævnes på grundlag</w:t>
      </w:r>
      <w:r w:rsidRPr="00F41BB0">
        <w:rPr>
          <w:rFonts w:ascii="Tahoma" w:hAnsi="Tahoma"/>
          <w:sz w:val="22"/>
        </w:rPr>
        <w:t xml:space="preserve"> af en liste, der opstilles af udvælgelseskomitéen og fremsendes til direktøren. Dette stillingsopslag danner grundlag for udvælgelseskomitéens opstilling af listen. Ansøgerne kan blive anmodet om at deltage i skriftlige prøver.</w:t>
      </w:r>
      <w:r w:rsidRPr="00F41BB0">
        <w:rPr>
          <w:rFonts w:ascii="Tahoma" w:hAnsi="Tahoma"/>
        </w:rPr>
        <w:t xml:space="preserve"> </w:t>
      </w:r>
      <w:r w:rsidRPr="00F41BB0">
        <w:rPr>
          <w:rFonts w:ascii="Tahoma" w:hAnsi="Tahoma"/>
          <w:sz w:val="22"/>
        </w:rPr>
        <w:t>Ansøgerne bedes bemærke, at</w:t>
      </w:r>
      <w:r w:rsidRPr="00F41BB0">
        <w:rPr>
          <w:rFonts w:ascii="Tahoma" w:hAnsi="Tahoma"/>
          <w:sz w:val="22"/>
        </w:rPr>
        <w:t xml:space="preserve"> listen kan blive offentliggjort, og at opførelse på listen ikke er en garanti for ansættelse. Listen over ansøgere udarbejdes på grundlag af en åben udvælgelsesprocedure.</w:t>
      </w:r>
    </w:p>
    <w:p w:rsidR="0041298D" w:rsidRPr="00F41BB0" w:rsidRDefault="00DB778D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41BB0">
        <w:rPr>
          <w:rFonts w:ascii="Tahoma" w:hAnsi="Tahoma"/>
          <w:sz w:val="22"/>
        </w:rPr>
        <w:t>Den udvalgte ansøger ansættes som kontraktansat i henhold til artikel 3a i ansættels</w:t>
      </w:r>
      <w:r w:rsidRPr="00F41BB0">
        <w:rPr>
          <w:rFonts w:ascii="Tahoma" w:hAnsi="Tahoma"/>
          <w:sz w:val="22"/>
        </w:rPr>
        <w:t xml:space="preserve">esvilkårene for de øvrige ansatte i Den Europæiske Union for en periode på fem år. Kontrakten kan forlænges. Ansættelsen vil være i </w:t>
      </w:r>
      <w:r w:rsidRPr="00F41BB0">
        <w:rPr>
          <w:rFonts w:ascii="Tahoma" w:hAnsi="Tahoma"/>
          <w:b/>
          <w:sz w:val="22"/>
        </w:rPr>
        <w:t>ansættelsesgruppe III.</w:t>
      </w:r>
      <w:r w:rsidRPr="00F41BB0">
        <w:rPr>
          <w:rFonts w:ascii="Tahoma" w:hAnsi="Tahoma"/>
          <w:color w:val="FF0000"/>
          <w:sz w:val="22"/>
        </w:rPr>
        <w:t xml:space="preserve"> </w:t>
      </w:r>
      <w:r w:rsidRPr="00F41BB0">
        <w:rPr>
          <w:rFonts w:ascii="Tahoma" w:hAnsi="Tahoma"/>
          <w:sz w:val="22"/>
        </w:rPr>
        <w:t>Ansøgerne bør bemærke kravet i EU's personalevedtægt om, at alle nye medarbejdere skal gennemgå en pr</w:t>
      </w:r>
      <w:r w:rsidRPr="00F41BB0">
        <w:rPr>
          <w:rFonts w:ascii="Tahoma" w:hAnsi="Tahoma"/>
          <w:sz w:val="22"/>
        </w:rPr>
        <w:t>øvetid.</w:t>
      </w:r>
    </w:p>
    <w:p w:rsidR="0041298D" w:rsidRPr="00F41BB0" w:rsidRDefault="00DB778D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Yderligere oplysninger om kontrakt- og arbejdsvilkår findes i ansættelsesvilkårene for de øvrige ansatte i Den Europæiske Union, som findes under følgende link:</w:t>
      </w:r>
    </w:p>
    <w:p w:rsidR="00626750" w:rsidRPr="00F41BB0" w:rsidRDefault="00DB778D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F974DD" w:rsidRPr="00F41BB0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F41BB0" w:rsidRDefault="00DB778D" w:rsidP="0041298D">
      <w:pPr>
        <w:rPr>
          <w:rFonts w:ascii="Tahoma" w:hAnsi="Tahoma" w:cs="Tahoma"/>
          <w:sz w:val="22"/>
          <w:szCs w:val="22"/>
        </w:rPr>
      </w:pPr>
      <w:r w:rsidRPr="00F41BB0">
        <w:rPr>
          <w:rFonts w:ascii="Tahoma" w:hAnsi="Tahoma"/>
          <w:sz w:val="22"/>
        </w:rPr>
        <w:t>Tjenestestedet er Stockholm, hvor centret har sine aktiviteter.</w:t>
      </w:r>
    </w:p>
    <w:p w:rsidR="005D23DC" w:rsidRPr="00F41BB0" w:rsidRDefault="00DB778D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F41BB0">
        <w:rPr>
          <w:rFonts w:ascii="Tahoma" w:hAnsi="Tahoma"/>
          <w:b/>
          <w:color w:val="69AE23"/>
          <w:sz w:val="28"/>
        </w:rPr>
        <w:t>Reserveliste</w:t>
      </w:r>
    </w:p>
    <w:p w:rsidR="0098219F" w:rsidRPr="00F41BB0" w:rsidRDefault="00DB778D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F41BB0">
        <w:rPr>
          <w:rFonts w:ascii="Tahoma" w:hAnsi="Tahoma"/>
          <w:sz w:val="22"/>
        </w:rPr>
        <w:t xml:space="preserve">En </w:t>
      </w:r>
      <w:r w:rsidRPr="00F41BB0">
        <w:rPr>
          <w:rFonts w:ascii="Tahoma" w:hAnsi="Tahoma"/>
          <w:sz w:val="22"/>
        </w:rPr>
        <w:t>reserveliste kan blive oprettet og anvendt med henblik på ansættelse, såfremt lignende stillinger skulle blive ledige. Den vil være gyldig frem til den 31. december i det samme år som ansøgningsfristen og kan forlænges.</w:t>
      </w:r>
    </w:p>
    <w:p w:rsidR="005D23DC" w:rsidRPr="00F41BB0" w:rsidRDefault="00DB778D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F41BB0">
        <w:rPr>
          <w:rFonts w:ascii="Tahoma" w:hAnsi="Tahoma"/>
          <w:b/>
          <w:color w:val="69AE23"/>
          <w:sz w:val="28"/>
        </w:rPr>
        <w:t>Ansøgningsprocedure</w:t>
      </w:r>
    </w:p>
    <w:p w:rsidR="00B768AB" w:rsidRPr="00F41BB0" w:rsidRDefault="00DB778D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F41BB0">
        <w:rPr>
          <w:rFonts w:ascii="Tahoma" w:hAnsi="Tahoma"/>
          <w:b/>
          <w:color w:val="000000"/>
          <w:sz w:val="22"/>
        </w:rPr>
        <w:t>Ansøgeren skal i</w:t>
      </w:r>
      <w:r w:rsidRPr="00F41BB0">
        <w:rPr>
          <w:rFonts w:ascii="Tahoma" w:hAnsi="Tahoma"/>
          <w:b/>
          <w:color w:val="000000"/>
          <w:sz w:val="22"/>
        </w:rPr>
        <w:t xml:space="preserve">ndsende en fuldstændig ansøgning til </w:t>
      </w:r>
      <w:hyperlink r:id="rId11" w:history="1">
        <w:r w:rsidRPr="00F41BB0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F41BB0">
        <w:rPr>
          <w:rFonts w:ascii="Tahoma" w:hAnsi="Tahoma"/>
          <w:b/>
          <w:color w:val="000000"/>
          <w:sz w:val="22"/>
        </w:rPr>
        <w:t xml:space="preserve"> med tydelig angivelse af referencen for stillingsopslaget og ansøgerens efternavn i e-mailens emnefelt.</w:t>
      </w:r>
    </w:p>
    <w:p w:rsidR="00B80457" w:rsidRPr="00F41BB0" w:rsidRDefault="00DB778D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F41BB0">
        <w:rPr>
          <w:rFonts w:ascii="Tahoma" w:hAnsi="Tahoma"/>
          <w:b/>
          <w:color w:val="000000"/>
          <w:sz w:val="22"/>
        </w:rPr>
        <w:t>For at ansøgningen er gyldig, skal ans</w:t>
      </w:r>
      <w:r w:rsidRPr="00F41BB0">
        <w:rPr>
          <w:rFonts w:ascii="Tahoma" w:hAnsi="Tahoma"/>
          <w:b/>
          <w:color w:val="000000"/>
          <w:sz w:val="22"/>
        </w:rPr>
        <w:t>øgeren udfylde alle krævede afsnit i ansøgningsskemaet, som skal fremsendes i Word- eller PDF-format og helst på engelsk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F41BB0">
        <w:rPr>
          <w:rFonts w:ascii="Tahoma" w:hAnsi="Tahoma"/>
          <w:b/>
          <w:color w:val="000000"/>
          <w:sz w:val="22"/>
        </w:rPr>
        <w:t>. Ufuldstændige ansøgninger vil blive anset for at være ugyldige.</w:t>
      </w:r>
    </w:p>
    <w:p w:rsidR="00B768AB" w:rsidRPr="00F41BB0" w:rsidRDefault="00DB778D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F41BB0">
        <w:rPr>
          <w:rFonts w:ascii="Tahoma" w:hAnsi="Tahoma"/>
          <w:b/>
          <w:color w:val="000000"/>
          <w:sz w:val="22"/>
        </w:rPr>
        <w:t>ECDC's ansøgningsskema findes på vores websted:</w:t>
      </w:r>
    </w:p>
    <w:p w:rsidR="009A2309" w:rsidRPr="00F41BB0" w:rsidRDefault="00DB778D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F974DD" w:rsidRPr="00F41BB0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F41BB0" w:rsidRDefault="00DB778D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F41BB0">
        <w:rPr>
          <w:rFonts w:ascii="Tahoma" w:hAnsi="Tahoma"/>
          <w:sz w:val="22"/>
        </w:rPr>
        <w:lastRenderedPageBreak/>
        <w:t xml:space="preserve">Fristen for indsendelse af ansøgninger og yderligere oplysninger om status for denne udvælgelsesprocedure samt vigtige oplysninger om </w:t>
      </w:r>
      <w:r w:rsidRPr="00F41BB0">
        <w:rPr>
          <w:rFonts w:ascii="Tahoma" w:hAnsi="Tahoma"/>
          <w:sz w:val="22"/>
        </w:rPr>
        <w:t>ansættelsesproceduren fremgår af vores websted og findes på ovennævnte link.</w:t>
      </w:r>
    </w:p>
    <w:p w:rsidR="00B768AB" w:rsidRPr="00F41BB0" w:rsidRDefault="00DB778D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F41BB0">
        <w:rPr>
          <w:rFonts w:ascii="Tahoma" w:hAnsi="Tahoma"/>
          <w:color w:val="000000"/>
          <w:sz w:val="22"/>
        </w:rPr>
        <w:t>På grund af det store antal ansøgninger, der modtages, vil kun ansøgere, der indkaldes til samtale, blive kontaktet.</w:t>
      </w:r>
    </w:p>
    <w:sectPr w:rsidR="00B768AB" w:rsidRPr="00F41BB0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778D">
      <w:pPr>
        <w:spacing w:after="0"/>
      </w:pPr>
      <w:r>
        <w:separator/>
      </w:r>
    </w:p>
  </w:endnote>
  <w:endnote w:type="continuationSeparator" w:id="0">
    <w:p w:rsidR="00000000" w:rsidRDefault="00DB7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F41BB0" w:rsidRDefault="00DB778D">
    <w:pPr>
      <w:pStyle w:val="Footer"/>
      <w:framePr w:wrap="around" w:vAnchor="text" w:hAnchor="margin" w:xAlign="center" w:y="1"/>
      <w:rPr>
        <w:rStyle w:val="PageNumber"/>
      </w:rPr>
    </w:pPr>
    <w:r w:rsidRPr="00F41BB0">
      <w:rPr>
        <w:rStyle w:val="PageNumber"/>
      </w:rPr>
      <w:fldChar w:fldCharType="begin"/>
    </w:r>
    <w:r w:rsidRPr="00F41BB0">
      <w:rPr>
        <w:rStyle w:val="PageNumber"/>
      </w:rPr>
      <w:instrText xml:space="preserve">PAGE  </w:instrText>
    </w:r>
    <w:r w:rsidRPr="00F41BB0">
      <w:rPr>
        <w:rStyle w:val="PageNumber"/>
      </w:rPr>
      <w:fldChar w:fldCharType="separate"/>
    </w:r>
    <w:r>
      <w:rPr>
        <w:rStyle w:val="PageNumber"/>
        <w:noProof/>
      </w:rPr>
      <w:t>1</w:t>
    </w:r>
    <w:r w:rsidRPr="00F41BB0">
      <w:rPr>
        <w:rStyle w:val="PageNumber"/>
      </w:rPr>
      <w:fldChar w:fldCharType="end"/>
    </w:r>
  </w:p>
  <w:p w:rsidR="00682C0C" w:rsidRPr="00F41BB0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98" w:rsidRPr="00F41BB0" w:rsidRDefault="00DB778D">
      <w:r w:rsidRPr="00F41BB0">
        <w:separator/>
      </w:r>
    </w:p>
  </w:footnote>
  <w:footnote w:type="continuationSeparator" w:id="0">
    <w:p w:rsidR="00283398" w:rsidRPr="00F41BB0" w:rsidRDefault="00DB778D">
      <w:r w:rsidRPr="00F41BB0">
        <w:continuationSeparator/>
      </w:r>
    </w:p>
  </w:footnote>
  <w:footnote w:id="1">
    <w:p w:rsidR="00D732F8" w:rsidRPr="00010937" w:rsidRDefault="00DB778D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sv-SE"/>
        </w:rPr>
      </w:pPr>
      <w:r w:rsidRPr="00010937">
        <w:rPr>
          <w:rStyle w:val="FootnoteReference"/>
          <w:rFonts w:ascii="Tahoma" w:hAnsi="Tahoma" w:cs="Tahoma"/>
        </w:rPr>
        <w:footnoteRef/>
      </w:r>
      <w:r w:rsidRPr="00010937">
        <w:rPr>
          <w:rFonts w:ascii="Tahoma" w:hAnsi="Tahoma" w:cs="Tahoma"/>
          <w:vertAlign w:val="superscript"/>
        </w:rPr>
        <w:t xml:space="preserve"> </w:t>
      </w:r>
      <w:r w:rsidRPr="00010937">
        <w:rPr>
          <w:rFonts w:ascii="Tahoma" w:hAnsi="Tahoma" w:cs="Tahoma"/>
          <w:sz w:val="20"/>
        </w:rPr>
        <w:t>Kun eksamensbeviser, der er udstedt i EU-medlemsstater eller anerkendt af myndighederne i de pågældende medlemsstater som værende på tilsvarende niveau, tages i betragtning.</w:t>
      </w:r>
    </w:p>
  </w:footnote>
  <w:footnote w:id="2">
    <w:p w:rsidR="00682C0C" w:rsidRPr="00010937" w:rsidRDefault="00DB778D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010937">
        <w:rPr>
          <w:rStyle w:val="FootnoteReference"/>
          <w:rFonts w:ascii="Tahoma" w:hAnsi="Tahoma" w:cs="Tahoma"/>
        </w:rPr>
        <w:footnoteRef/>
      </w:r>
      <w:r w:rsidRPr="00010937">
        <w:rPr>
          <w:rStyle w:val="FootnoteReference"/>
          <w:rFonts w:ascii="Tahoma" w:hAnsi="Tahoma" w:cs="Tahoma"/>
        </w:rPr>
        <w:t xml:space="preserve"> </w:t>
      </w:r>
      <w:r w:rsidRPr="00010937">
        <w:rPr>
          <w:rFonts w:ascii="Tahoma" w:hAnsi="Tahoma" w:cs="Tahoma"/>
          <w:sz w:val="20"/>
        </w:rPr>
        <w:t xml:space="preserve">For at være kvalificeret til forfremmelse som led i </w:t>
      </w:r>
      <w:r w:rsidRPr="00010937">
        <w:rPr>
          <w:rFonts w:ascii="Tahoma" w:hAnsi="Tahoma" w:cs="Tahoma"/>
          <w:sz w:val="20"/>
        </w:rPr>
        <w:t>en årlig forfremmelsesprocedure skal de ansatte endvidere beherske et tredje EU-sprog som arbejdssprog, jf. den gældende personalevedtægt og gennemførelsesbestemmelserne hertil.</w:t>
      </w:r>
    </w:p>
  </w:footnote>
  <w:footnote w:id="3">
    <w:p w:rsidR="00682C0C" w:rsidRPr="00010937" w:rsidRDefault="00DB778D" w:rsidP="0041298D">
      <w:pPr>
        <w:autoSpaceDE w:val="0"/>
        <w:autoSpaceDN w:val="0"/>
        <w:adjustRightInd w:val="0"/>
        <w:rPr>
          <w:rFonts w:ascii="Tahoma" w:hAnsi="Tahoma" w:cs="Tahoma"/>
          <w:sz w:val="20"/>
          <w:lang w:val="sv-SE"/>
        </w:rPr>
      </w:pPr>
      <w:r w:rsidRPr="00010937">
        <w:rPr>
          <w:rStyle w:val="FootnoteReference"/>
          <w:rFonts w:ascii="Tahoma" w:hAnsi="Tahoma" w:cs="Tahoma"/>
          <w:sz w:val="20"/>
        </w:rPr>
        <w:footnoteRef/>
      </w:r>
      <w:r w:rsidRPr="00010937">
        <w:rPr>
          <w:rFonts w:ascii="Tahoma" w:hAnsi="Tahoma" w:cs="Tahoma"/>
          <w:sz w:val="20"/>
        </w:rPr>
        <w:t xml:space="preserve"> Inden ansættelsen vil den udvalgte ansøger blive anmodet om at fremlægge en </w:t>
      </w:r>
      <w:r w:rsidRPr="00010937">
        <w:rPr>
          <w:rFonts w:ascii="Tahoma" w:hAnsi="Tahoma" w:cs="Tahoma"/>
          <w:sz w:val="20"/>
        </w:rPr>
        <w:t>ren straffeattest.</w:t>
      </w:r>
    </w:p>
  </w:footnote>
  <w:footnote w:id="4">
    <w:p w:rsidR="00B80457" w:rsidRPr="00010937" w:rsidRDefault="00DB778D" w:rsidP="00B80457">
      <w:pPr>
        <w:pStyle w:val="FootnoteText"/>
        <w:ind w:left="142" w:hanging="142"/>
        <w:rPr>
          <w:rFonts w:cs="Tahoma"/>
        </w:rPr>
      </w:pPr>
      <w:r w:rsidRPr="00010937">
        <w:rPr>
          <w:rStyle w:val="FootnoteReference"/>
          <w:rFonts w:cs="Tahoma"/>
        </w:rPr>
        <w:footnoteRef/>
      </w:r>
      <w:r w:rsidRPr="00010937">
        <w:rPr>
          <w:rFonts w:cs="Tahoma"/>
        </w:rPr>
        <w:t xml:space="preserve"> Dette stillingsopslag er oversat til alle 24 officielle EU-sprog fra den engelske originalversion. Da sproget i forbindelse med agenturets daglige aktiviteter generelt er engelsk, foretrækker ECDC at modtage ansøgningen på engelsk.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F41BB0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F7EA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0D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20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26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22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C29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A1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45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A0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3FAAD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60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E69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49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4D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48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85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B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04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07C8E1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0812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2CE7A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00D1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FAB9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7216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EE2C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7639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6A67B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44A022B0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2A6AB3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561AB360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DFCEDA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1FBA622E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D900924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346A107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9D7C211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7CF8D98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F1BA1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EB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1E5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62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21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F49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E9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689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22D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00E252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06CF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C0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F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6E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A1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2A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21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5E8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0E24D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0D4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8D987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78B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88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1A03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2B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26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CC00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CA18A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09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645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D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4B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52B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CC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2F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F2B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7F28B51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21CE24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B409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8C91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CC2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7836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0687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964B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AC11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9272BF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844B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94B3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1EAB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70C4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06DA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1230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52BD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42E1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0937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3398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B778D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1BB0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974DD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CD8B8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da-D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da-DK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da-DK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da-DK" w:eastAsia="da-DK" w:bidi="da-DK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87EF-031E-4622-AE36-6A490737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2019-02-21T11:42:00Z</dcterms:created>
  <dcterms:modified xsi:type="dcterms:W3CDTF">2019-02-21T11:42:00Z</dcterms:modified>
</cp:coreProperties>
</file>