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40C1" w14:textId="2333BD31" w:rsidR="00D822A0" w:rsidRDefault="00410938" w:rsidP="072082D8">
      <w:pPr>
        <w:spacing w:line="276" w:lineRule="auto"/>
        <w:jc w:val="center"/>
        <w:rPr>
          <w:b/>
          <w:bCs/>
          <w:sz w:val="48"/>
          <w:szCs w:val="48"/>
        </w:rPr>
      </w:pPr>
      <w:r w:rsidRPr="072082D8">
        <w:rPr>
          <w:b/>
          <w:bCs/>
          <w:sz w:val="48"/>
          <w:szCs w:val="48"/>
        </w:rPr>
        <w:t>Data sharing agreement for TESSy data</w:t>
      </w:r>
    </w:p>
    <w:p w14:paraId="195AE5BB" w14:textId="77777777" w:rsidR="00B020D6" w:rsidRDefault="00B020D6" w:rsidP="00700486">
      <w:pPr>
        <w:spacing w:line="276" w:lineRule="auto"/>
        <w:rPr>
          <w:b/>
          <w:bCs/>
          <w:sz w:val="28"/>
          <w:szCs w:val="28"/>
        </w:rPr>
      </w:pPr>
    </w:p>
    <w:p w14:paraId="6CC1061D" w14:textId="2EE81ADA" w:rsidR="005E21AB" w:rsidRPr="005E21AB" w:rsidRDefault="00785705" w:rsidP="0070048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</w:t>
      </w:r>
      <w:r w:rsidR="00214FDF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er 1: </w:t>
      </w:r>
      <w:r w:rsidR="005E21AB" w:rsidRPr="005E21AB">
        <w:rPr>
          <w:b/>
          <w:bCs/>
          <w:sz w:val="28"/>
          <w:szCs w:val="28"/>
        </w:rPr>
        <w:t>Purpose of the agreement</w:t>
      </w:r>
    </w:p>
    <w:p w14:paraId="07A444DE" w14:textId="366D4B1B" w:rsidR="00E961AB" w:rsidRDefault="00E961AB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This Data Sharing Agreement ("Agreement") is </w:t>
      </w:r>
      <w:r w:rsidR="00BE6D7F">
        <w:t xml:space="preserve">concluded </w:t>
      </w:r>
      <w:r>
        <w:t xml:space="preserve">between the European Centre for Disease Prevention and Control ("ECDC"), acting as the data controller under </w:t>
      </w:r>
      <w:r w:rsidR="00855E37">
        <w:t xml:space="preserve">Regulation </w:t>
      </w:r>
      <w:r w:rsidR="00C204CA">
        <w:t>2018/1725 (“EUDPR”) and</w:t>
      </w:r>
      <w:r w:rsidR="00412639" w:rsidRPr="00FD010B">
        <w:rPr>
          <w:b/>
          <w:bCs/>
          <w:color w:val="FF0000"/>
        </w:rPr>
        <w:t xml:space="preserve"> </w:t>
      </w:r>
      <w:r w:rsidR="00150E22" w:rsidRPr="00FD010B">
        <w:rPr>
          <w:b/>
          <w:bCs/>
          <w:color w:val="FF0000"/>
        </w:rPr>
        <w:t>(name of the</w:t>
      </w:r>
      <w:r w:rsidR="0038184F">
        <w:rPr>
          <w:b/>
          <w:bCs/>
          <w:color w:val="FF0000"/>
        </w:rPr>
        <w:t xml:space="preserve"> entity entering into the agreement</w:t>
      </w:r>
      <w:r w:rsidR="00FD0309">
        <w:rPr>
          <w:b/>
          <w:bCs/>
          <w:color w:val="FF0000"/>
        </w:rPr>
        <w:t>), here represented by</w:t>
      </w:r>
      <w:r w:rsidR="00150E22" w:rsidRPr="00FD010B">
        <w:rPr>
          <w:b/>
          <w:bCs/>
          <w:color w:val="FF0000"/>
        </w:rPr>
        <w:t xml:space="preserve"> </w:t>
      </w:r>
      <w:r w:rsidR="00FD0309">
        <w:rPr>
          <w:b/>
          <w:bCs/>
          <w:color w:val="FF0000"/>
        </w:rPr>
        <w:t>(name of the person</w:t>
      </w:r>
      <w:r w:rsidR="00150E22" w:rsidRPr="00FD010B">
        <w:rPr>
          <w:b/>
          <w:bCs/>
          <w:color w:val="FF0000"/>
        </w:rPr>
        <w:t xml:space="preserve"> signing the agreement)</w:t>
      </w:r>
      <w:r w:rsidR="00EA4C39">
        <w:rPr>
          <w:rStyle w:val="FootnoteReference"/>
          <w:b/>
          <w:bCs/>
          <w:color w:val="FF0000"/>
        </w:rPr>
        <w:footnoteReference w:id="1"/>
      </w:r>
      <w:r w:rsidR="00412639">
        <w:t>,  (“</w:t>
      </w:r>
      <w:r w:rsidR="00C204CA" w:rsidRPr="00284C73">
        <w:t>Data recipient</w:t>
      </w:r>
      <w:r w:rsidR="00412639">
        <w:t>”)</w:t>
      </w:r>
      <w:r w:rsidR="00C204CA">
        <w:t>, acting as a separate data controller for the purpose of receiving personal data</w:t>
      </w:r>
      <w:r w:rsidR="00027BAA">
        <w:t xml:space="preserve"> and </w:t>
      </w:r>
      <w:r w:rsidR="005D5644">
        <w:t>processing it</w:t>
      </w:r>
      <w:r w:rsidR="0026263F">
        <w:t xml:space="preserve"> for</w:t>
      </w:r>
      <w:r w:rsidR="006E201E" w:rsidRPr="006E201E">
        <w:t xml:space="preserve"> reasons of public interest in the area of public health</w:t>
      </w:r>
      <w:r w:rsidR="005D5644">
        <w:t xml:space="preserve"> in accordance with the re</w:t>
      </w:r>
      <w:r w:rsidR="006F69E4">
        <w:t>quest submitted to ECDC on [</w:t>
      </w:r>
      <w:r w:rsidR="006F69E4" w:rsidRPr="00932B65">
        <w:rPr>
          <w:i/>
          <w:iCs/>
        </w:rPr>
        <w:t xml:space="preserve">date </w:t>
      </w:r>
      <w:r w:rsidR="006F69E4">
        <w:rPr>
          <w:i/>
          <w:iCs/>
        </w:rPr>
        <w:t>o</w:t>
      </w:r>
      <w:r w:rsidR="006F69E4" w:rsidRPr="00932B65">
        <w:rPr>
          <w:i/>
          <w:iCs/>
        </w:rPr>
        <w:t>f receipt of the request</w:t>
      </w:r>
      <w:r w:rsidR="006F69E4">
        <w:t xml:space="preserve">] and as reviewed by ECDC (“the Request”) </w:t>
      </w:r>
      <w:r w:rsidR="00C204CA">
        <w:t>.</w:t>
      </w:r>
    </w:p>
    <w:p w14:paraId="0F2B5039" w14:textId="77777777" w:rsidR="008003B7" w:rsidRDefault="008003B7" w:rsidP="00700486">
      <w:pPr>
        <w:pStyle w:val="ListParagraph"/>
        <w:spacing w:line="276" w:lineRule="auto"/>
        <w:jc w:val="both"/>
      </w:pPr>
    </w:p>
    <w:p w14:paraId="35E0A9F4" w14:textId="427A48AF" w:rsidR="0008167D" w:rsidRDefault="00FA4A46" w:rsidP="0008167D">
      <w:pPr>
        <w:pStyle w:val="ListParagraph"/>
        <w:numPr>
          <w:ilvl w:val="0"/>
          <w:numId w:val="13"/>
        </w:numPr>
        <w:spacing w:line="276" w:lineRule="auto"/>
        <w:jc w:val="both"/>
      </w:pPr>
      <w:r>
        <w:t>In virtue of the Agreement, ECDC make</w:t>
      </w:r>
      <w:r w:rsidR="00781424">
        <w:t>s</w:t>
      </w:r>
      <w:r>
        <w:t xml:space="preserve"> available pseudonymised personal data from The European Surveillance System (TESSy) </w:t>
      </w:r>
      <w:r w:rsidR="00C8588F">
        <w:t>to the Data recipient</w:t>
      </w:r>
      <w:r w:rsidR="0008167D">
        <w:t>.</w:t>
      </w:r>
    </w:p>
    <w:p w14:paraId="57DC34C1" w14:textId="77777777" w:rsidR="0008167D" w:rsidRDefault="0008167D" w:rsidP="0008167D">
      <w:pPr>
        <w:pStyle w:val="ListParagraph"/>
        <w:spacing w:line="276" w:lineRule="auto"/>
        <w:jc w:val="both"/>
      </w:pPr>
    </w:p>
    <w:p w14:paraId="1A01B53C" w14:textId="611EA1E5" w:rsidR="00C62E8F" w:rsidRDefault="00DA5317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recipient shall </w:t>
      </w:r>
      <w:r w:rsidR="004E537B">
        <w:t xml:space="preserve">act as data controller with respect to </w:t>
      </w:r>
      <w:r w:rsidR="005663BD">
        <w:t xml:space="preserve">any processing operation on </w:t>
      </w:r>
      <w:r w:rsidR="004E537B">
        <w:t>the personal data</w:t>
      </w:r>
      <w:r w:rsidR="00681473">
        <w:t xml:space="preserve"> that</w:t>
      </w:r>
      <w:r w:rsidR="004E537B">
        <w:t xml:space="preserve"> it receives from ECDC</w:t>
      </w:r>
      <w:r w:rsidR="00173F9A">
        <w:t xml:space="preserve"> (“the TESSy data”)</w:t>
      </w:r>
      <w:r w:rsidR="004E537B">
        <w:t>.</w:t>
      </w:r>
    </w:p>
    <w:p w14:paraId="12C99A6E" w14:textId="77777777" w:rsidR="008343F8" w:rsidRDefault="008343F8" w:rsidP="00297957">
      <w:pPr>
        <w:pStyle w:val="ListParagraph"/>
      </w:pPr>
    </w:p>
    <w:p w14:paraId="50D1918C" w14:textId="0592924F" w:rsidR="008343F8" w:rsidRDefault="008343F8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</w:t>
      </w:r>
      <w:r w:rsidR="00F26AE7">
        <w:t>transfer of the TESSy data is subject to the Data recipient’s commitment to the</w:t>
      </w:r>
      <w:r w:rsidR="00785705">
        <w:t xml:space="preserve"> obligations set out in Chapter 2 of this Data Sharing Agreement. </w:t>
      </w:r>
    </w:p>
    <w:p w14:paraId="28D24039" w14:textId="77777777" w:rsidR="00B020D6" w:rsidRDefault="00B020D6" w:rsidP="00700486">
      <w:pPr>
        <w:spacing w:line="276" w:lineRule="auto"/>
        <w:rPr>
          <w:b/>
          <w:bCs/>
          <w:sz w:val="28"/>
          <w:szCs w:val="28"/>
        </w:rPr>
      </w:pPr>
    </w:p>
    <w:p w14:paraId="799B168A" w14:textId="77162D3C" w:rsidR="00C62E8F" w:rsidRPr="00C62E8F" w:rsidRDefault="00785705" w:rsidP="0070048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2: </w:t>
      </w:r>
      <w:r w:rsidR="00C62E8F" w:rsidRPr="00C62E8F">
        <w:rPr>
          <w:b/>
          <w:bCs/>
          <w:sz w:val="28"/>
          <w:szCs w:val="28"/>
        </w:rPr>
        <w:t>Obligations of the Data recipient</w:t>
      </w:r>
    </w:p>
    <w:p w14:paraId="4DBC9D20" w14:textId="77777777" w:rsidR="00C62E8F" w:rsidRDefault="00C62E8F" w:rsidP="00700486">
      <w:pPr>
        <w:pStyle w:val="ListParagraph"/>
        <w:spacing w:line="276" w:lineRule="auto"/>
      </w:pPr>
    </w:p>
    <w:p w14:paraId="5F4BDE8A" w14:textId="45EA9389" w:rsidR="00284C73" w:rsidRDefault="004E537B" w:rsidP="00362715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 </w:t>
      </w:r>
      <w:r w:rsidR="00770239" w:rsidRPr="00A80619">
        <w:rPr>
          <w:i/>
          <w:iCs/>
          <w:color w:val="00B0F0"/>
        </w:rPr>
        <w:t xml:space="preserve">Option 1: </w:t>
      </w:r>
      <w:r w:rsidR="009A5672" w:rsidRPr="00A80619">
        <w:rPr>
          <w:i/>
          <w:iCs/>
          <w:color w:val="00B0F0"/>
        </w:rPr>
        <w:t>The Data recipient is based in the EU/EEA</w:t>
      </w:r>
      <w:r w:rsidR="008B26F9">
        <w:rPr>
          <w:rStyle w:val="FootnoteReference"/>
          <w:i/>
          <w:iCs/>
          <w:color w:val="00B0F0"/>
        </w:rPr>
        <w:footnoteReference w:id="2"/>
      </w:r>
      <w:r w:rsidR="009A5672" w:rsidRPr="00A80619">
        <w:rPr>
          <w:i/>
          <w:iCs/>
          <w:color w:val="00B0F0"/>
        </w:rPr>
        <w:t>:</w:t>
      </w:r>
      <w:r w:rsidR="009A5672">
        <w:t xml:space="preserve"> </w:t>
      </w:r>
      <w:r w:rsidR="00C62E8F">
        <w:t xml:space="preserve">The TESSy data </w:t>
      </w:r>
      <w:r>
        <w:t xml:space="preserve">shall be processed in compliance with the </w:t>
      </w:r>
      <w:r w:rsidRPr="00284C73">
        <w:t>General Data Protection Regulation</w:t>
      </w:r>
      <w:r w:rsidR="00FA4583" w:rsidRPr="00284C73">
        <w:t xml:space="preserve"> </w:t>
      </w:r>
      <w:r w:rsidR="00F50530" w:rsidRPr="00284C73">
        <w:t xml:space="preserve">(Regulation </w:t>
      </w:r>
      <w:r w:rsidR="006F74D7" w:rsidRPr="00284C73">
        <w:t xml:space="preserve">(EU) 2016/679) </w:t>
      </w:r>
      <w:r w:rsidR="004A7548" w:rsidRPr="00284C73">
        <w:t>and</w:t>
      </w:r>
      <w:r w:rsidR="000B74AA" w:rsidRPr="00284C73">
        <w:t xml:space="preserve"> wi</w:t>
      </w:r>
      <w:r w:rsidR="00362715" w:rsidRPr="00284C73">
        <w:t>th</w:t>
      </w:r>
      <w:r w:rsidR="00CA3CA5" w:rsidRPr="00284C73">
        <w:t xml:space="preserve"> the applicable Member State</w:t>
      </w:r>
      <w:r w:rsidR="00283808" w:rsidRPr="00284C73">
        <w:t xml:space="preserve"> law.</w:t>
      </w:r>
    </w:p>
    <w:p w14:paraId="319F9BC8" w14:textId="77777777" w:rsidR="00D76839" w:rsidRDefault="00D76839" w:rsidP="00D76839">
      <w:pPr>
        <w:pStyle w:val="ListParagraph"/>
        <w:spacing w:line="276" w:lineRule="auto"/>
        <w:jc w:val="both"/>
      </w:pPr>
    </w:p>
    <w:p w14:paraId="1A01EB75" w14:textId="442C7741" w:rsidR="00C358D3" w:rsidRDefault="00870DB0" w:rsidP="00D76839">
      <w:pPr>
        <w:pStyle w:val="ListParagraph"/>
        <w:spacing w:line="276" w:lineRule="auto"/>
        <w:ind w:left="714"/>
        <w:jc w:val="both"/>
      </w:pPr>
      <w:r w:rsidRPr="00FD5B06">
        <w:rPr>
          <w:i/>
          <w:iCs/>
          <w:color w:val="00B0F0"/>
        </w:rPr>
        <w:t xml:space="preserve">Option 2: The Data recipient </w:t>
      </w:r>
      <w:bookmarkStart w:id="0" w:name="_Hlk151658754"/>
      <w:r w:rsidRPr="00FD5B06">
        <w:rPr>
          <w:i/>
          <w:iCs/>
          <w:color w:val="00B0F0"/>
        </w:rPr>
        <w:t>is based in a third country for which the Commission has issued an adequacy decision</w:t>
      </w:r>
      <w:bookmarkEnd w:id="0"/>
      <w:r w:rsidR="00800DAE">
        <w:rPr>
          <w:rStyle w:val="FootnoteReference"/>
          <w:i/>
          <w:iCs/>
          <w:color w:val="00B0F0"/>
        </w:rPr>
        <w:footnoteReference w:id="3"/>
      </w:r>
      <w:r w:rsidRPr="00FD5B06">
        <w:rPr>
          <w:i/>
          <w:iCs/>
          <w:color w:val="00B0F0"/>
        </w:rPr>
        <w:t>:</w:t>
      </w:r>
      <w:r>
        <w:t xml:space="preserve"> The TESSy data shall be processed in compliance with the national </w:t>
      </w:r>
      <w:r w:rsidR="00100300">
        <w:t xml:space="preserve">legislation applicable to the Data recipient </w:t>
      </w:r>
      <w:r w:rsidR="007F5397">
        <w:t xml:space="preserve">that is </w:t>
      </w:r>
      <w:r w:rsidR="00FC5B9A">
        <w:t xml:space="preserve">reflected </w:t>
      </w:r>
      <w:r w:rsidR="000B74AA">
        <w:t>in the relevant adequacy decision</w:t>
      </w:r>
      <w:r w:rsidR="00433945">
        <w:t xml:space="preserve"> issued by the European Commission</w:t>
      </w:r>
      <w:r w:rsidR="000B74AA">
        <w:t>.</w:t>
      </w:r>
    </w:p>
    <w:p w14:paraId="5EBC068D" w14:textId="77777777" w:rsidR="00601B0F" w:rsidRDefault="00601B0F" w:rsidP="00297957">
      <w:pPr>
        <w:pStyle w:val="ListParagraph"/>
        <w:spacing w:line="276" w:lineRule="auto"/>
        <w:ind w:left="714"/>
        <w:jc w:val="both"/>
      </w:pPr>
    </w:p>
    <w:p w14:paraId="1F496BDF" w14:textId="029D83CA" w:rsidR="00601B0F" w:rsidRDefault="00173F9A" w:rsidP="00297957">
      <w:pPr>
        <w:pStyle w:val="ListParagraph"/>
        <w:numPr>
          <w:ilvl w:val="0"/>
          <w:numId w:val="13"/>
        </w:numPr>
        <w:spacing w:line="276" w:lineRule="auto"/>
        <w:ind w:left="714" w:hanging="357"/>
        <w:jc w:val="both"/>
      </w:pPr>
      <w:r>
        <w:t xml:space="preserve">The Data recipient shall process the TESSy data </w:t>
      </w:r>
      <w:r w:rsidR="00B03074">
        <w:t xml:space="preserve">solely for the purposes described </w:t>
      </w:r>
      <w:r w:rsidR="004F24A5">
        <w:t>in the Request.</w:t>
      </w:r>
    </w:p>
    <w:p w14:paraId="41592B27" w14:textId="77777777" w:rsidR="004F24A5" w:rsidRDefault="004F24A5" w:rsidP="00700486">
      <w:pPr>
        <w:pStyle w:val="ListParagraph"/>
        <w:spacing w:line="276" w:lineRule="auto"/>
      </w:pPr>
    </w:p>
    <w:p w14:paraId="3E7E8D40" w14:textId="1681DD2F" w:rsidR="00E961AB" w:rsidRDefault="004F24A5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</w:t>
      </w:r>
      <w:r w:rsidR="005E7D72">
        <w:t xml:space="preserve">recipient shall </w:t>
      </w:r>
      <w:r w:rsidR="00E961AB">
        <w:t>take appropriate technical and organisational measures to ensure the security</w:t>
      </w:r>
      <w:r w:rsidR="0003503E">
        <w:t>, confidentiality and integrity</w:t>
      </w:r>
      <w:r w:rsidR="00E961AB">
        <w:t xml:space="preserve"> of the </w:t>
      </w:r>
      <w:r w:rsidR="00F03117">
        <w:t>TESSy data</w:t>
      </w:r>
      <w:r w:rsidR="00460CF9">
        <w:t xml:space="preserve">. </w:t>
      </w:r>
    </w:p>
    <w:p w14:paraId="070EF8B9" w14:textId="77777777" w:rsidR="00732A94" w:rsidRDefault="00732A94" w:rsidP="00700486">
      <w:pPr>
        <w:pStyle w:val="ListParagraph"/>
        <w:spacing w:line="276" w:lineRule="auto"/>
      </w:pPr>
    </w:p>
    <w:p w14:paraId="54A63368" w14:textId="68C180D9" w:rsidR="00732A94" w:rsidRDefault="00732A94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recipient </w:t>
      </w:r>
      <w:r w:rsidRPr="00732A94">
        <w:t>shall ensure that</w:t>
      </w:r>
      <w:r w:rsidR="008C5C5D">
        <w:t xml:space="preserve"> any</w:t>
      </w:r>
      <w:r w:rsidRPr="00732A94">
        <w:t xml:space="preserve"> person</w:t>
      </w:r>
      <w:r w:rsidR="008C5C5D">
        <w:t>s</w:t>
      </w:r>
      <w:r w:rsidRPr="00732A94">
        <w:t xml:space="preserve"> authorised to process the</w:t>
      </w:r>
      <w:r>
        <w:t xml:space="preserve"> TESSy data on the Data recipient’s behalf</w:t>
      </w:r>
      <w:r w:rsidRPr="00732A94">
        <w:t xml:space="preserve"> have committed themselves to confidentiality or are under an appropriate statutory obligation of </w:t>
      </w:r>
      <w:r w:rsidR="00560256" w:rsidRPr="00732A94">
        <w:t>confidentiality.</w:t>
      </w:r>
    </w:p>
    <w:p w14:paraId="1BC085DE" w14:textId="77777777" w:rsidR="00856007" w:rsidRDefault="00856007" w:rsidP="00856007">
      <w:pPr>
        <w:pStyle w:val="ListParagraph"/>
      </w:pPr>
    </w:p>
    <w:p w14:paraId="63505457" w14:textId="7C914B3D" w:rsidR="00856007" w:rsidRDefault="00856007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recipient shall ensure that </w:t>
      </w:r>
      <w:r w:rsidR="000E6EB7">
        <w:t xml:space="preserve">any </w:t>
      </w:r>
      <w:r w:rsidRPr="00732A94">
        <w:t>person</w:t>
      </w:r>
      <w:r w:rsidR="008C5C5D">
        <w:t>s</w:t>
      </w:r>
      <w:r w:rsidRPr="00732A94">
        <w:t xml:space="preserve"> authorised to process the</w:t>
      </w:r>
      <w:r>
        <w:t xml:space="preserve"> TESSy data on the Data recipient’s behalf</w:t>
      </w:r>
      <w:r>
        <w:t xml:space="preserve"> shall </w:t>
      </w:r>
      <w:r w:rsidR="00132979">
        <w:t>not attempt to reidentify the data subjects whose pseudonymised data are processed.</w:t>
      </w:r>
    </w:p>
    <w:p w14:paraId="6CB9F0FF" w14:textId="77777777" w:rsidR="00BA69ED" w:rsidRDefault="00BA69ED" w:rsidP="00700486">
      <w:pPr>
        <w:pStyle w:val="ListParagraph"/>
        <w:spacing w:line="276" w:lineRule="auto"/>
      </w:pPr>
    </w:p>
    <w:p w14:paraId="22ECAD1D" w14:textId="750F3098" w:rsidR="00BA69ED" w:rsidRDefault="00AF061B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When </w:t>
      </w:r>
      <w:r w:rsidR="00FB23CF">
        <w:t xml:space="preserve">entrusting processing operation on the TESSy data to a processor, the Data recipient shall </w:t>
      </w:r>
      <w:r w:rsidR="00FA29EF">
        <w:t xml:space="preserve">ensure </w:t>
      </w:r>
      <w:r w:rsidR="007F3820">
        <w:t>that the processor acts in accordance with the requirements of Chapter IV of the GDPR.</w:t>
      </w:r>
    </w:p>
    <w:p w14:paraId="27A94B39" w14:textId="77777777" w:rsidR="00F66D07" w:rsidRDefault="00F66D07" w:rsidP="00700486">
      <w:pPr>
        <w:pStyle w:val="ListParagraph"/>
        <w:spacing w:line="276" w:lineRule="auto"/>
      </w:pPr>
    </w:p>
    <w:p w14:paraId="4AD6A5F3" w14:textId="69D8A28B" w:rsidR="00F66D07" w:rsidRDefault="00F66D07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recipient shall not carry out any onward transfer to </w:t>
      </w:r>
      <w:r w:rsidR="00573ADF">
        <w:t>additional</w:t>
      </w:r>
      <w:r>
        <w:t xml:space="preserve"> recipients located in third countries</w:t>
      </w:r>
      <w:r w:rsidR="00DB162B">
        <w:t xml:space="preserve"> unless the Data recipient, as data controller, determines that </w:t>
      </w:r>
      <w:r w:rsidR="0084701F">
        <w:t xml:space="preserve">the </w:t>
      </w:r>
      <w:r w:rsidR="009352A6">
        <w:t>legislation in</w:t>
      </w:r>
      <w:r w:rsidR="0084701F">
        <w:t xml:space="preserve"> the third country where the </w:t>
      </w:r>
      <w:r w:rsidR="000E146D">
        <w:t xml:space="preserve">further </w:t>
      </w:r>
      <w:r w:rsidR="0084701F">
        <w:t>recipient is located</w:t>
      </w:r>
      <w:r w:rsidR="009352A6">
        <w:t xml:space="preserve"> offers a level of protection of personal data that is equivalent with the level of protection provided by the GDPR.</w:t>
      </w:r>
    </w:p>
    <w:p w14:paraId="5050E834" w14:textId="77777777" w:rsidR="0067451E" w:rsidRDefault="0067451E" w:rsidP="00700486">
      <w:pPr>
        <w:pStyle w:val="ListParagraph"/>
        <w:spacing w:line="276" w:lineRule="auto"/>
      </w:pPr>
    </w:p>
    <w:p w14:paraId="6BC06E35" w14:textId="75F1338B" w:rsidR="0067451E" w:rsidRDefault="00D71F44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>I</w:t>
      </w:r>
      <w:r w:rsidR="00BB437C">
        <w:t>n the event of a personal data breach affecting the TESSy data</w:t>
      </w:r>
      <w:r>
        <w:t xml:space="preserve">, the Data recipient shall inform ECDC </w:t>
      </w:r>
      <w:r w:rsidR="00520AC1">
        <w:t>within 36 hours from the discovery of the breach</w:t>
      </w:r>
      <w:r>
        <w:t xml:space="preserve">. </w:t>
      </w:r>
      <w:r w:rsidR="005C0D18">
        <w:t xml:space="preserve">The Data recipient shall also be responsible </w:t>
      </w:r>
      <w:r w:rsidR="002E030C">
        <w:t xml:space="preserve">for </w:t>
      </w:r>
      <w:r w:rsidR="005C0D18">
        <w:t>inform</w:t>
      </w:r>
      <w:r w:rsidR="002E030C">
        <w:t>ing</w:t>
      </w:r>
      <w:r w:rsidR="005C0D18">
        <w:t xml:space="preserve"> the data subjects and its supervis</w:t>
      </w:r>
      <w:r w:rsidR="002E030C">
        <w:t>ory</w:t>
      </w:r>
      <w:r w:rsidR="005C0D18">
        <w:t xml:space="preserve"> authority in accordance with the applicable legislation.</w:t>
      </w:r>
    </w:p>
    <w:p w14:paraId="3F498A3D" w14:textId="77777777" w:rsidR="00E630A2" w:rsidRDefault="00E630A2" w:rsidP="00700486">
      <w:pPr>
        <w:pStyle w:val="ListParagraph"/>
        <w:spacing w:line="276" w:lineRule="auto"/>
      </w:pPr>
    </w:p>
    <w:p w14:paraId="217276F0" w14:textId="41535D6C" w:rsidR="00E630A2" w:rsidRDefault="00C609FD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</w:t>
      </w:r>
      <w:r w:rsidR="00F461BB">
        <w:t>Data recipient shall ensure that data subjects are informed of the processing operations carried out by the Data recipient</w:t>
      </w:r>
      <w:r w:rsidR="006D04E6">
        <w:t xml:space="preserve"> and of the</w:t>
      </w:r>
      <w:r w:rsidR="00503113">
        <w:t xml:space="preserve"> data subjects’ rights ac</w:t>
      </w:r>
      <w:r w:rsidR="001D24CF">
        <w:t xml:space="preserve">cording to the </w:t>
      </w:r>
      <w:r w:rsidR="001D24CF" w:rsidRPr="00B87C01">
        <w:t xml:space="preserve">applicable </w:t>
      </w:r>
      <w:r w:rsidR="00B87C01" w:rsidRPr="00A80619">
        <w:t>data protection legislation.</w:t>
      </w:r>
    </w:p>
    <w:p w14:paraId="01035C3E" w14:textId="77777777" w:rsidR="00726818" w:rsidRDefault="00726818" w:rsidP="00700486">
      <w:pPr>
        <w:pStyle w:val="ListParagraph"/>
        <w:spacing w:line="276" w:lineRule="auto"/>
      </w:pPr>
    </w:p>
    <w:p w14:paraId="2BE2C932" w14:textId="077ECD7A" w:rsidR="00E961AB" w:rsidRDefault="00726818" w:rsidP="00700486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recipient shall assist ECDC </w:t>
      </w:r>
      <w:r w:rsidR="0011568C">
        <w:t>to fulfil its legal obligations under Regulation 2018/17</w:t>
      </w:r>
      <w:r w:rsidR="006E7414">
        <w:t>25.</w:t>
      </w:r>
    </w:p>
    <w:p w14:paraId="34631843" w14:textId="77777777" w:rsidR="006E7414" w:rsidRDefault="006E7414" w:rsidP="000E146D">
      <w:pPr>
        <w:pStyle w:val="ListParagraph"/>
        <w:spacing w:line="276" w:lineRule="auto"/>
        <w:jc w:val="both"/>
      </w:pPr>
    </w:p>
    <w:p w14:paraId="4D554ACF" w14:textId="794FEF92" w:rsidR="00E961AB" w:rsidRDefault="006E7414" w:rsidP="000E146D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Data recipient </w:t>
      </w:r>
      <w:r w:rsidR="00E961AB">
        <w:t xml:space="preserve">shall be liable for </w:t>
      </w:r>
      <w:r>
        <w:t>its</w:t>
      </w:r>
      <w:r w:rsidR="00E961AB">
        <w:t xml:space="preserve"> own actions and any failure to comply with the obligations set out in this Agreement</w:t>
      </w:r>
      <w:r>
        <w:t xml:space="preserve">, as well as for any </w:t>
      </w:r>
      <w:r w:rsidR="001045E8">
        <w:t>failure to comply with the applicable data protection legislation</w:t>
      </w:r>
      <w:r w:rsidR="00E961AB">
        <w:t>.</w:t>
      </w:r>
    </w:p>
    <w:p w14:paraId="229AFCFC" w14:textId="77777777" w:rsidR="00B020D6" w:rsidRDefault="00B020D6" w:rsidP="000E146D">
      <w:pPr>
        <w:spacing w:line="276" w:lineRule="auto"/>
        <w:jc w:val="both"/>
        <w:rPr>
          <w:b/>
          <w:bCs/>
          <w:sz w:val="28"/>
          <w:szCs w:val="28"/>
        </w:rPr>
      </w:pPr>
    </w:p>
    <w:p w14:paraId="64AA69B0" w14:textId="24F69410" w:rsidR="00587BDF" w:rsidRPr="00587BDF" w:rsidRDefault="00785705" w:rsidP="000E146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3: </w:t>
      </w:r>
      <w:r w:rsidR="00587BDF" w:rsidRPr="00587BDF">
        <w:rPr>
          <w:b/>
          <w:bCs/>
          <w:sz w:val="28"/>
          <w:szCs w:val="28"/>
        </w:rPr>
        <w:t>Entry into force, applicable law</w:t>
      </w:r>
    </w:p>
    <w:p w14:paraId="40E4D4F8" w14:textId="77777777" w:rsidR="001045E8" w:rsidRDefault="001045E8" w:rsidP="000E146D">
      <w:pPr>
        <w:pStyle w:val="ListParagraph"/>
        <w:spacing w:line="276" w:lineRule="auto"/>
        <w:jc w:val="both"/>
      </w:pPr>
    </w:p>
    <w:p w14:paraId="12DC8D9C" w14:textId="117C5219" w:rsidR="001045E8" w:rsidRDefault="001045E8" w:rsidP="000E146D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This Agreement </w:t>
      </w:r>
      <w:r w:rsidR="008E35B4">
        <w:t>enter</w:t>
      </w:r>
      <w:r w:rsidR="009105E7">
        <w:t>s</w:t>
      </w:r>
      <w:r w:rsidR="008E35B4">
        <w:t xml:space="preserve"> into force </w:t>
      </w:r>
      <w:r w:rsidR="00275482">
        <w:t xml:space="preserve">with the signature of the Data recipient and </w:t>
      </w:r>
      <w:r w:rsidR="00D87138">
        <w:t>once ECDC has made the TESSy data available. It</w:t>
      </w:r>
      <w:r w:rsidR="00275482">
        <w:t xml:space="preserve"> </w:t>
      </w:r>
      <w:r>
        <w:t>shall remain in force for the duration of sharing personal data between the parties.</w:t>
      </w:r>
      <w:r w:rsidR="003626A0">
        <w:t xml:space="preserve"> </w:t>
      </w:r>
      <w:r w:rsidR="00A648EE">
        <w:t xml:space="preserve">ECDC may terminate this Agreement immediately in writing if the Data recipient is in breach of any of its obligations under this Agreement. </w:t>
      </w:r>
      <w:r w:rsidR="003626A0">
        <w:t xml:space="preserve">In any case, the Data </w:t>
      </w:r>
      <w:r w:rsidR="003626A0">
        <w:lastRenderedPageBreak/>
        <w:t>recipient shall delete the TESSy data a</w:t>
      </w:r>
      <w:r w:rsidR="00A648EE">
        <w:t>t the expiration of the period indicated in the request for access.</w:t>
      </w:r>
    </w:p>
    <w:p w14:paraId="72F7372A" w14:textId="77777777" w:rsidR="00A648EE" w:rsidRDefault="00A648EE" w:rsidP="000E146D">
      <w:pPr>
        <w:pStyle w:val="ListParagraph"/>
        <w:spacing w:line="276" w:lineRule="auto"/>
        <w:jc w:val="both"/>
      </w:pPr>
    </w:p>
    <w:p w14:paraId="5ABAD3EC" w14:textId="5D62E68A" w:rsidR="00131647" w:rsidRDefault="008F6D56" w:rsidP="000E146D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The courts of Stockholm shall have </w:t>
      </w:r>
      <w:r w:rsidR="0045181F">
        <w:t xml:space="preserve">exclusive </w:t>
      </w:r>
      <w:r>
        <w:t>jurisdiction o</w:t>
      </w:r>
      <w:r w:rsidR="00D53C56">
        <w:t>ver</w:t>
      </w:r>
      <w:r>
        <w:t xml:space="preserve"> </w:t>
      </w:r>
      <w:r w:rsidR="000B4C6B">
        <w:t xml:space="preserve">any </w:t>
      </w:r>
      <w:r w:rsidR="00D53C56">
        <w:t xml:space="preserve">dispute </w:t>
      </w:r>
      <w:r w:rsidR="001A3CAA">
        <w:t xml:space="preserve">regarding the interpretation, application or validity </w:t>
      </w:r>
      <w:r w:rsidR="000B4C6B">
        <w:t>of the Agreement.</w:t>
      </w:r>
      <w:r w:rsidR="00692280">
        <w:t xml:space="preserve"> E</w:t>
      </w:r>
      <w:r w:rsidR="0008054A">
        <w:t xml:space="preserve">uropean Union law, complemented </w:t>
      </w:r>
      <w:r w:rsidR="004B1D4F">
        <w:t>where necessary by Swedish</w:t>
      </w:r>
      <w:r>
        <w:t xml:space="preserve"> substantive law shall apply. </w:t>
      </w:r>
    </w:p>
    <w:p w14:paraId="6400B310" w14:textId="5C6BC1E6" w:rsidR="00E961AB" w:rsidRPr="00214FDF" w:rsidRDefault="00E961AB" w:rsidP="00700486">
      <w:pPr>
        <w:spacing w:line="276" w:lineRule="auto"/>
        <w:rPr>
          <w:color w:val="FF0000"/>
        </w:rPr>
      </w:pPr>
      <w:r w:rsidRPr="00214FDF">
        <w:rPr>
          <w:color w:val="FF0000"/>
        </w:rPr>
        <w:t>[Data recipient</w:t>
      </w:r>
      <w:r w:rsidR="002C0834" w:rsidRPr="00214FDF">
        <w:rPr>
          <w:rStyle w:val="FootnoteReference"/>
          <w:color w:val="FF0000"/>
        </w:rPr>
        <w:footnoteReference w:id="4"/>
      </w:r>
      <w:r w:rsidRPr="00214FDF">
        <w:rPr>
          <w:color w:val="FF0000"/>
        </w:rPr>
        <w:t>]:</w:t>
      </w:r>
    </w:p>
    <w:p w14:paraId="115C942B" w14:textId="3C462A61" w:rsidR="00410938" w:rsidRPr="00214FDF" w:rsidRDefault="00E961AB" w:rsidP="00700486">
      <w:pPr>
        <w:spacing w:line="276" w:lineRule="auto"/>
        <w:rPr>
          <w:color w:val="FF0000"/>
        </w:rPr>
      </w:pPr>
      <w:r w:rsidRPr="00214FDF">
        <w:rPr>
          <w:color w:val="FF0000"/>
        </w:rPr>
        <w:t>[Insert name</w:t>
      </w:r>
      <w:r w:rsidR="00DE1E7F">
        <w:rPr>
          <w:color w:val="FF0000"/>
        </w:rPr>
        <w:t xml:space="preserve">, </w:t>
      </w:r>
      <w:r w:rsidRPr="00214FDF">
        <w:rPr>
          <w:color w:val="FF0000"/>
        </w:rPr>
        <w:t>signature</w:t>
      </w:r>
      <w:r w:rsidR="00DE1E7F">
        <w:rPr>
          <w:color w:val="FF0000"/>
        </w:rPr>
        <w:t xml:space="preserve"> and date</w:t>
      </w:r>
      <w:r w:rsidRPr="00214FDF">
        <w:rPr>
          <w:color w:val="FF0000"/>
        </w:rPr>
        <w:t>]</w:t>
      </w:r>
    </w:p>
    <w:p w14:paraId="1592D133" w14:textId="24AEB424" w:rsidR="00B70739" w:rsidRDefault="00B70739" w:rsidP="00700486">
      <w:pPr>
        <w:spacing w:line="276" w:lineRule="auto"/>
      </w:pPr>
    </w:p>
    <w:p w14:paraId="5BDC108B" w14:textId="77777777" w:rsidR="00410938" w:rsidRDefault="00410938" w:rsidP="00700486">
      <w:pPr>
        <w:spacing w:line="276" w:lineRule="auto"/>
      </w:pPr>
    </w:p>
    <w:sectPr w:rsidR="0041093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0892" w14:textId="77777777" w:rsidR="00802C5D" w:rsidRDefault="00802C5D" w:rsidP="00410938">
      <w:pPr>
        <w:spacing w:after="0" w:line="240" w:lineRule="auto"/>
      </w:pPr>
      <w:r>
        <w:separator/>
      </w:r>
    </w:p>
  </w:endnote>
  <w:endnote w:type="continuationSeparator" w:id="0">
    <w:p w14:paraId="3F2F8BD1" w14:textId="77777777" w:rsidR="00802C5D" w:rsidRDefault="00802C5D" w:rsidP="0041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9797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2230A" w14:textId="1849DC56" w:rsidR="00506847" w:rsidRDefault="005068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ED652" w14:textId="77777777" w:rsidR="0043162E" w:rsidRDefault="0043162E" w:rsidP="004316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E9B7" w14:textId="77777777" w:rsidR="00802C5D" w:rsidRDefault="00802C5D" w:rsidP="00410938">
      <w:pPr>
        <w:spacing w:after="0" w:line="240" w:lineRule="auto"/>
      </w:pPr>
      <w:r>
        <w:separator/>
      </w:r>
    </w:p>
  </w:footnote>
  <w:footnote w:type="continuationSeparator" w:id="0">
    <w:p w14:paraId="28FD4AB4" w14:textId="77777777" w:rsidR="00802C5D" w:rsidRDefault="00802C5D" w:rsidP="00410938">
      <w:pPr>
        <w:spacing w:after="0" w:line="240" w:lineRule="auto"/>
      </w:pPr>
      <w:r>
        <w:continuationSeparator/>
      </w:r>
    </w:p>
  </w:footnote>
  <w:footnote w:id="1">
    <w:p w14:paraId="45E2643A" w14:textId="50735CCF" w:rsidR="00EA4C39" w:rsidRPr="00B24CB2" w:rsidRDefault="00EA4C39" w:rsidP="0012350A">
      <w:pPr>
        <w:pStyle w:val="FootnoteText"/>
        <w:jc w:val="both"/>
        <w:rPr>
          <w:sz w:val="16"/>
          <w:szCs w:val="16"/>
        </w:rPr>
      </w:pPr>
      <w:r w:rsidRPr="00B24CB2">
        <w:rPr>
          <w:rStyle w:val="FootnoteReference"/>
          <w:sz w:val="16"/>
          <w:szCs w:val="16"/>
        </w:rPr>
        <w:footnoteRef/>
      </w:r>
      <w:r w:rsidRPr="00B24CB2">
        <w:rPr>
          <w:sz w:val="16"/>
          <w:szCs w:val="16"/>
        </w:rPr>
        <w:t xml:space="preserve"> Please </w:t>
      </w:r>
      <w:r w:rsidR="00993F8D" w:rsidRPr="00B24CB2">
        <w:rPr>
          <w:sz w:val="16"/>
          <w:szCs w:val="16"/>
        </w:rPr>
        <w:t>include the name of the</w:t>
      </w:r>
      <w:r w:rsidR="00012BE0">
        <w:rPr>
          <w:sz w:val="16"/>
          <w:szCs w:val="16"/>
        </w:rPr>
        <w:t xml:space="preserve"> legal entity that enters into the agreement, and of the individual that signs on behalf of the entity</w:t>
      </w:r>
      <w:r w:rsidR="00D3419F" w:rsidRPr="00B24CB2">
        <w:rPr>
          <w:sz w:val="16"/>
          <w:szCs w:val="16"/>
        </w:rPr>
        <w:t>. Please note that the</w:t>
      </w:r>
      <w:r w:rsidRPr="00B24CB2">
        <w:rPr>
          <w:sz w:val="16"/>
          <w:szCs w:val="16"/>
        </w:rPr>
        <w:t xml:space="preserve"> Data sharing agreement </w:t>
      </w:r>
      <w:r w:rsidR="008D68EB" w:rsidRPr="00B24CB2">
        <w:rPr>
          <w:sz w:val="16"/>
          <w:szCs w:val="16"/>
        </w:rPr>
        <w:t>must</w:t>
      </w:r>
      <w:r w:rsidRPr="00B24CB2">
        <w:rPr>
          <w:sz w:val="16"/>
          <w:szCs w:val="16"/>
        </w:rPr>
        <w:t xml:space="preserve"> be signed </w:t>
      </w:r>
      <w:r w:rsidR="00FD010B" w:rsidRPr="00B24CB2">
        <w:rPr>
          <w:sz w:val="16"/>
          <w:szCs w:val="16"/>
        </w:rPr>
        <w:t>on behalf of the</w:t>
      </w:r>
      <w:r w:rsidR="00270BC4" w:rsidRPr="00B24CB2">
        <w:rPr>
          <w:sz w:val="16"/>
          <w:szCs w:val="16"/>
        </w:rPr>
        <w:t xml:space="preserve"> legal entity</w:t>
      </w:r>
      <w:r w:rsidR="0012350A" w:rsidRPr="00B24CB2">
        <w:rPr>
          <w:sz w:val="16"/>
          <w:szCs w:val="16"/>
        </w:rPr>
        <w:t xml:space="preserve"> </w:t>
      </w:r>
      <w:r w:rsidR="00FD010B" w:rsidRPr="00B24CB2">
        <w:rPr>
          <w:sz w:val="16"/>
          <w:szCs w:val="16"/>
        </w:rPr>
        <w:t>that becomes separate data controller</w:t>
      </w:r>
      <w:r w:rsidR="0012350A" w:rsidRPr="00B24CB2">
        <w:rPr>
          <w:sz w:val="16"/>
          <w:szCs w:val="16"/>
        </w:rPr>
        <w:t xml:space="preserve"> (the Data recipient)</w:t>
      </w:r>
      <w:r w:rsidR="00FD010B" w:rsidRPr="00B24CB2">
        <w:rPr>
          <w:sz w:val="16"/>
          <w:szCs w:val="16"/>
        </w:rPr>
        <w:t xml:space="preserve">. It cannot be signed by </w:t>
      </w:r>
      <w:r w:rsidR="00270BC4" w:rsidRPr="00B24CB2">
        <w:rPr>
          <w:sz w:val="16"/>
          <w:szCs w:val="16"/>
        </w:rPr>
        <w:t>individual</w:t>
      </w:r>
      <w:r w:rsidR="00B2549D">
        <w:rPr>
          <w:sz w:val="16"/>
          <w:szCs w:val="16"/>
        </w:rPr>
        <w:t>s</w:t>
      </w:r>
      <w:r w:rsidR="00211CF9" w:rsidRPr="00B24CB2">
        <w:rPr>
          <w:sz w:val="16"/>
          <w:szCs w:val="16"/>
        </w:rPr>
        <w:t xml:space="preserve"> in </w:t>
      </w:r>
      <w:r w:rsidR="00B2549D">
        <w:rPr>
          <w:sz w:val="16"/>
          <w:szCs w:val="16"/>
        </w:rPr>
        <w:t>their personal</w:t>
      </w:r>
      <w:r w:rsidR="00211CF9" w:rsidRPr="00B24CB2">
        <w:rPr>
          <w:sz w:val="16"/>
          <w:szCs w:val="16"/>
        </w:rPr>
        <w:t xml:space="preserve"> capacity. The signatory of the Data sharing agreement must have the power to sign the agreement on behalf of the </w:t>
      </w:r>
      <w:r w:rsidR="0012350A" w:rsidRPr="00B24CB2">
        <w:rPr>
          <w:sz w:val="16"/>
          <w:szCs w:val="16"/>
        </w:rPr>
        <w:t>Data recipient</w:t>
      </w:r>
      <w:r w:rsidR="005E33CE" w:rsidRPr="00B24CB2">
        <w:rPr>
          <w:sz w:val="16"/>
          <w:szCs w:val="16"/>
        </w:rPr>
        <w:t>.</w:t>
      </w:r>
    </w:p>
  </w:footnote>
  <w:footnote w:id="2">
    <w:p w14:paraId="2886530A" w14:textId="68826B4B" w:rsidR="00800DAE" w:rsidRPr="00B24CB2" w:rsidRDefault="008B26F9">
      <w:pPr>
        <w:pStyle w:val="FootnoteText"/>
        <w:rPr>
          <w:sz w:val="16"/>
          <w:szCs w:val="16"/>
        </w:rPr>
      </w:pPr>
      <w:r w:rsidRPr="00B24CB2">
        <w:rPr>
          <w:rStyle w:val="FootnoteReference"/>
          <w:sz w:val="16"/>
          <w:szCs w:val="16"/>
        </w:rPr>
        <w:footnoteRef/>
      </w:r>
      <w:r w:rsidRPr="00B24CB2">
        <w:rPr>
          <w:sz w:val="16"/>
          <w:szCs w:val="16"/>
        </w:rPr>
        <w:t xml:space="preserve"> </w:t>
      </w:r>
      <w:r w:rsidR="00BF6FBE" w:rsidRPr="00B24CB2">
        <w:rPr>
          <w:sz w:val="16"/>
          <w:szCs w:val="16"/>
        </w:rPr>
        <w:t xml:space="preserve">If the Data recipient is based in the EU/EEA, delete the part in blue </w:t>
      </w:r>
      <w:r w:rsidR="000D78F1" w:rsidRPr="00B24CB2">
        <w:rPr>
          <w:sz w:val="16"/>
          <w:szCs w:val="16"/>
        </w:rPr>
        <w:t>and</w:t>
      </w:r>
      <w:r w:rsidR="00B24CB2">
        <w:rPr>
          <w:sz w:val="16"/>
          <w:szCs w:val="16"/>
        </w:rPr>
        <w:t xml:space="preserve"> then</w:t>
      </w:r>
      <w:r w:rsidR="000D78F1" w:rsidRPr="00B24CB2">
        <w:rPr>
          <w:sz w:val="16"/>
          <w:szCs w:val="16"/>
        </w:rPr>
        <w:t xml:space="preserve"> delete </w:t>
      </w:r>
      <w:r w:rsidR="00800DAE" w:rsidRPr="00B24CB2">
        <w:rPr>
          <w:sz w:val="16"/>
          <w:szCs w:val="16"/>
        </w:rPr>
        <w:t>all the text in the paragraph below (“Option</w:t>
      </w:r>
      <w:r w:rsidR="00B24CB2">
        <w:rPr>
          <w:sz w:val="16"/>
          <w:szCs w:val="16"/>
        </w:rPr>
        <w:t xml:space="preserve"> </w:t>
      </w:r>
      <w:r w:rsidR="00800DAE" w:rsidRPr="00B24CB2">
        <w:rPr>
          <w:sz w:val="16"/>
          <w:szCs w:val="16"/>
        </w:rPr>
        <w:t>2….European Commission”).</w:t>
      </w:r>
    </w:p>
  </w:footnote>
  <w:footnote w:id="3">
    <w:p w14:paraId="78E7E388" w14:textId="0ECE8365" w:rsidR="00800DAE" w:rsidRPr="00800DAE" w:rsidRDefault="00800DAE">
      <w:pPr>
        <w:pStyle w:val="FootnoteText"/>
      </w:pPr>
      <w:r w:rsidRPr="00B24CB2">
        <w:rPr>
          <w:rStyle w:val="FootnoteReference"/>
          <w:sz w:val="16"/>
          <w:szCs w:val="16"/>
        </w:rPr>
        <w:footnoteRef/>
      </w:r>
      <w:r w:rsidRPr="00B24CB2">
        <w:rPr>
          <w:sz w:val="16"/>
          <w:szCs w:val="16"/>
        </w:rPr>
        <w:t xml:space="preserve"> If the data recipient is based in a third country for which the Commission has issued an adequacy decision, delete the part in blue and</w:t>
      </w:r>
      <w:r w:rsidR="00B24CB2">
        <w:rPr>
          <w:sz w:val="16"/>
          <w:szCs w:val="16"/>
        </w:rPr>
        <w:t xml:space="preserve"> then</w:t>
      </w:r>
      <w:r w:rsidRPr="00B24CB2">
        <w:rPr>
          <w:sz w:val="16"/>
          <w:szCs w:val="16"/>
        </w:rPr>
        <w:t xml:space="preserve"> delete the paragraph above  (“Option 1</w:t>
      </w:r>
      <w:r w:rsidR="00413AA2" w:rsidRPr="00B24CB2">
        <w:rPr>
          <w:sz w:val="16"/>
          <w:szCs w:val="16"/>
        </w:rPr>
        <w:t>…Member State law”)</w:t>
      </w:r>
    </w:p>
  </w:footnote>
  <w:footnote w:id="4">
    <w:p w14:paraId="2CFA8459" w14:textId="337BCD8F" w:rsidR="002C0834" w:rsidRPr="002C0834" w:rsidRDefault="002C08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0834">
        <w:t xml:space="preserve">Insert the name of the </w:t>
      </w:r>
      <w:r>
        <w:t xml:space="preserve">legal </w:t>
      </w:r>
      <w:r w:rsidRPr="002C0834">
        <w:t>e</w:t>
      </w:r>
      <w:r>
        <w:t xml:space="preserve">ntity entering into the agreement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AAAB" w14:textId="46D00CCB" w:rsidR="00410938" w:rsidRDefault="004109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8792D3" wp14:editId="6778DF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2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8DB97" w14:textId="2B0CD878" w:rsidR="00410938" w:rsidRPr="00410938" w:rsidRDefault="00410938" w:rsidP="004109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9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79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9F8DB97" w14:textId="2B0CD878" w:rsidR="00410938" w:rsidRPr="00410938" w:rsidRDefault="00410938" w:rsidP="004109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9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69C" w14:textId="6E852390" w:rsidR="00410938" w:rsidRDefault="004109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B23F28" wp14:editId="38868B1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3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0F780" w14:textId="05B3E210" w:rsidR="00410938" w:rsidRPr="00410938" w:rsidRDefault="00410938" w:rsidP="004109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9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23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D0F780" w14:textId="05B3E210" w:rsidR="00410938" w:rsidRPr="00410938" w:rsidRDefault="00410938" w:rsidP="004109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9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5453" w14:textId="3E0D444C" w:rsidR="00410938" w:rsidRDefault="004109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01F87E" wp14:editId="6B54E4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73DE9" w14:textId="06FEC746" w:rsidR="00410938" w:rsidRPr="00410938" w:rsidRDefault="00410938" w:rsidP="004109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9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1F8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CA73DE9" w14:textId="06FEC746" w:rsidR="00410938" w:rsidRPr="00410938" w:rsidRDefault="00410938" w:rsidP="004109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9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C78B8"/>
    <w:multiLevelType w:val="multilevel"/>
    <w:tmpl w:val="E4961562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Roman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 w15:restartNumberingAfterBreak="0">
    <w:nsid w:val="2A134A83"/>
    <w:multiLevelType w:val="hybridMultilevel"/>
    <w:tmpl w:val="6478E1C0"/>
    <w:lvl w:ilvl="0" w:tplc="254AD2BE">
      <w:start w:val="1"/>
      <w:numFmt w:val="lowerRoman"/>
      <w:lvlText w:val="(%1)"/>
      <w:lvlJc w:val="left"/>
      <w:pPr>
        <w:ind w:left="1211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C04654"/>
    <w:multiLevelType w:val="hybridMultilevel"/>
    <w:tmpl w:val="E87C75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7FEE"/>
    <w:multiLevelType w:val="hybridMultilevel"/>
    <w:tmpl w:val="9AB0D8E2"/>
    <w:lvl w:ilvl="0" w:tplc="BB4C0622">
      <w:start w:val="1"/>
      <w:numFmt w:val="lowerRoman"/>
      <w:lvlText w:val="(%1)"/>
      <w:lvlJc w:val="left"/>
      <w:pPr>
        <w:ind w:left="1691" w:hanging="8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BA5B5E"/>
    <w:multiLevelType w:val="multilevel"/>
    <w:tmpl w:val="03D2F956"/>
    <w:lvl w:ilvl="0">
      <w:start w:val="1"/>
      <w:numFmt w:val="upperRoman"/>
      <w:lvlText w:val="ANNEX %1"/>
      <w:lvlJc w:val="left"/>
      <w:pPr>
        <w:ind w:left="1418" w:hanging="1418"/>
      </w:pPr>
      <w:rPr>
        <w:rFonts w:hint="default"/>
      </w:rPr>
    </w:lvl>
    <w:lvl w:ilvl="1">
      <w:start w:val="1"/>
      <w:numFmt w:val="none"/>
      <w:pStyle w:val="LawAnnexHead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awAnnex1Heading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LawAnnex11Heading"/>
      <w:lvlText w:val="%3.%4"/>
      <w:lvlJc w:val="left"/>
      <w:pPr>
        <w:ind w:left="709" w:hanging="709"/>
      </w:pPr>
      <w:rPr>
        <w:rFonts w:ascii="Calibri" w:hAnsi="Calibri" w:cs="Calibri" w:hint="default"/>
        <w:b w:val="0"/>
      </w:rPr>
    </w:lvl>
    <w:lvl w:ilvl="4">
      <w:start w:val="1"/>
      <w:numFmt w:val="decimal"/>
      <w:pStyle w:val="LawAnnex111Heading"/>
      <w:lvlText w:val="%4.%3.%5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9142D45"/>
    <w:multiLevelType w:val="hybridMultilevel"/>
    <w:tmpl w:val="6478E1C0"/>
    <w:lvl w:ilvl="0" w:tplc="254AD2BE">
      <w:start w:val="1"/>
      <w:numFmt w:val="lowerRoman"/>
      <w:lvlText w:val="(%1)"/>
      <w:lvlJc w:val="left"/>
      <w:pPr>
        <w:ind w:left="1211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3B3605"/>
    <w:multiLevelType w:val="multilevel"/>
    <w:tmpl w:val="C142A12A"/>
    <w:lvl w:ilvl="0">
      <w:start w:val="1"/>
      <w:numFmt w:val="decimal"/>
      <w:lvlText w:val="%1."/>
      <w:lvlJc w:val="left"/>
      <w:pPr>
        <w:ind w:left="77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left"/>
      <w:pPr>
        <w:ind w:left="1571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2.4.1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4" w:hanging="1440"/>
      </w:pPr>
      <w:rPr>
        <w:rFonts w:hint="default"/>
      </w:rPr>
    </w:lvl>
  </w:abstractNum>
  <w:abstractNum w:abstractNumId="7" w15:restartNumberingAfterBreak="0">
    <w:nsid w:val="68B662F8"/>
    <w:multiLevelType w:val="hybridMultilevel"/>
    <w:tmpl w:val="E87C75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53886"/>
    <w:multiLevelType w:val="hybridMultilevel"/>
    <w:tmpl w:val="6478E1C0"/>
    <w:lvl w:ilvl="0" w:tplc="254AD2B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3540"/>
    <w:multiLevelType w:val="hybridMultilevel"/>
    <w:tmpl w:val="16841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742A9"/>
    <w:multiLevelType w:val="multilevel"/>
    <w:tmpl w:val="DA58FA3C"/>
    <w:lvl w:ilvl="0">
      <w:start w:val="1"/>
      <w:numFmt w:val="decimal"/>
      <w:pStyle w:val="H1-Agreement"/>
      <w:lvlText w:val="%1."/>
      <w:lvlJc w:val="left"/>
      <w:pPr>
        <w:ind w:left="77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Heading3"/>
      <w:lvlText w:val="2.4.1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4" w:hanging="1440"/>
      </w:pPr>
      <w:rPr>
        <w:rFonts w:hint="default"/>
      </w:rPr>
    </w:lvl>
  </w:abstractNum>
  <w:num w:numId="1" w16cid:durableId="516425704">
    <w:abstractNumId w:val="10"/>
  </w:num>
  <w:num w:numId="2" w16cid:durableId="39480120">
    <w:abstractNumId w:val="4"/>
  </w:num>
  <w:num w:numId="3" w16cid:durableId="447549284">
    <w:abstractNumId w:val="7"/>
  </w:num>
  <w:num w:numId="4" w16cid:durableId="287401342">
    <w:abstractNumId w:val="3"/>
  </w:num>
  <w:num w:numId="5" w16cid:durableId="1420635686">
    <w:abstractNumId w:val="6"/>
  </w:num>
  <w:num w:numId="6" w16cid:durableId="657617479">
    <w:abstractNumId w:val="8"/>
  </w:num>
  <w:num w:numId="7" w16cid:durableId="1731537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297965">
    <w:abstractNumId w:val="0"/>
  </w:num>
  <w:num w:numId="9" w16cid:durableId="188929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628697">
    <w:abstractNumId w:val="1"/>
  </w:num>
  <w:num w:numId="11" w16cid:durableId="740369060">
    <w:abstractNumId w:val="5"/>
  </w:num>
  <w:num w:numId="12" w16cid:durableId="761074994">
    <w:abstractNumId w:val="2"/>
  </w:num>
  <w:num w:numId="13" w16cid:durableId="330983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38"/>
    <w:rsid w:val="0000553B"/>
    <w:rsid w:val="0001121D"/>
    <w:rsid w:val="00012BE0"/>
    <w:rsid w:val="00027BAA"/>
    <w:rsid w:val="0003503E"/>
    <w:rsid w:val="0008054A"/>
    <w:rsid w:val="0008167D"/>
    <w:rsid w:val="00082443"/>
    <w:rsid w:val="000B4C6B"/>
    <w:rsid w:val="000B74AA"/>
    <w:rsid w:val="000C5710"/>
    <w:rsid w:val="000D78F1"/>
    <w:rsid w:val="000E146D"/>
    <w:rsid w:val="000E6EB7"/>
    <w:rsid w:val="00100300"/>
    <w:rsid w:val="00103B01"/>
    <w:rsid w:val="001045E8"/>
    <w:rsid w:val="001072B6"/>
    <w:rsid w:val="0011568C"/>
    <w:rsid w:val="0012350A"/>
    <w:rsid w:val="00131647"/>
    <w:rsid w:val="00132979"/>
    <w:rsid w:val="00150E22"/>
    <w:rsid w:val="00173F9A"/>
    <w:rsid w:val="001A3CAA"/>
    <w:rsid w:val="001A46F3"/>
    <w:rsid w:val="001D24CF"/>
    <w:rsid w:val="001E63FA"/>
    <w:rsid w:val="00211CF9"/>
    <w:rsid w:val="00214FDF"/>
    <w:rsid w:val="002439F0"/>
    <w:rsid w:val="0026263F"/>
    <w:rsid w:val="00267519"/>
    <w:rsid w:val="00270BC4"/>
    <w:rsid w:val="00272B37"/>
    <w:rsid w:val="00275482"/>
    <w:rsid w:val="0028006A"/>
    <w:rsid w:val="00283808"/>
    <w:rsid w:val="00284C73"/>
    <w:rsid w:val="002915F7"/>
    <w:rsid w:val="00297957"/>
    <w:rsid w:val="002A09D9"/>
    <w:rsid w:val="002C0834"/>
    <w:rsid w:val="002E030C"/>
    <w:rsid w:val="002F10B5"/>
    <w:rsid w:val="003626A0"/>
    <w:rsid w:val="00362715"/>
    <w:rsid w:val="0038184F"/>
    <w:rsid w:val="00390C32"/>
    <w:rsid w:val="003D7E17"/>
    <w:rsid w:val="003F3586"/>
    <w:rsid w:val="003F514F"/>
    <w:rsid w:val="00410938"/>
    <w:rsid w:val="00412639"/>
    <w:rsid w:val="00413AA2"/>
    <w:rsid w:val="004307DD"/>
    <w:rsid w:val="0043162E"/>
    <w:rsid w:val="00433945"/>
    <w:rsid w:val="00443A36"/>
    <w:rsid w:val="0045181F"/>
    <w:rsid w:val="00460CF9"/>
    <w:rsid w:val="00467CBE"/>
    <w:rsid w:val="00480859"/>
    <w:rsid w:val="004A7548"/>
    <w:rsid w:val="004B0C13"/>
    <w:rsid w:val="004B1D4F"/>
    <w:rsid w:val="004E537B"/>
    <w:rsid w:val="004F24A5"/>
    <w:rsid w:val="00503113"/>
    <w:rsid w:val="00506847"/>
    <w:rsid w:val="005140A8"/>
    <w:rsid w:val="00520AC1"/>
    <w:rsid w:val="005411EE"/>
    <w:rsid w:val="00551E6E"/>
    <w:rsid w:val="00560256"/>
    <w:rsid w:val="005663BD"/>
    <w:rsid w:val="00573ADF"/>
    <w:rsid w:val="00587BDF"/>
    <w:rsid w:val="005B18A8"/>
    <w:rsid w:val="005C0D18"/>
    <w:rsid w:val="005D5644"/>
    <w:rsid w:val="005E21AB"/>
    <w:rsid w:val="005E220F"/>
    <w:rsid w:val="005E33CE"/>
    <w:rsid w:val="005E7D72"/>
    <w:rsid w:val="005F2EBF"/>
    <w:rsid w:val="00601B0F"/>
    <w:rsid w:val="0067451E"/>
    <w:rsid w:val="00681473"/>
    <w:rsid w:val="00692280"/>
    <w:rsid w:val="00696708"/>
    <w:rsid w:val="006D04E6"/>
    <w:rsid w:val="006D0EA0"/>
    <w:rsid w:val="006E201E"/>
    <w:rsid w:val="006E2A67"/>
    <w:rsid w:val="006E7414"/>
    <w:rsid w:val="006F0DEB"/>
    <w:rsid w:val="006F69E4"/>
    <w:rsid w:val="006F74D7"/>
    <w:rsid w:val="00700486"/>
    <w:rsid w:val="00726818"/>
    <w:rsid w:val="00732A94"/>
    <w:rsid w:val="00740ABF"/>
    <w:rsid w:val="00770239"/>
    <w:rsid w:val="00781424"/>
    <w:rsid w:val="00785705"/>
    <w:rsid w:val="007C0662"/>
    <w:rsid w:val="007F3820"/>
    <w:rsid w:val="007F5397"/>
    <w:rsid w:val="007F6E24"/>
    <w:rsid w:val="008003B7"/>
    <w:rsid w:val="00800DAE"/>
    <w:rsid w:val="00802C5D"/>
    <w:rsid w:val="008343F8"/>
    <w:rsid w:val="0084701F"/>
    <w:rsid w:val="00855E37"/>
    <w:rsid w:val="00856007"/>
    <w:rsid w:val="00864189"/>
    <w:rsid w:val="0086535F"/>
    <w:rsid w:val="00870DB0"/>
    <w:rsid w:val="008B26F9"/>
    <w:rsid w:val="008C5C5D"/>
    <w:rsid w:val="008D68EB"/>
    <w:rsid w:val="008E35B4"/>
    <w:rsid w:val="008F6D56"/>
    <w:rsid w:val="009105E7"/>
    <w:rsid w:val="0092643E"/>
    <w:rsid w:val="009352A6"/>
    <w:rsid w:val="0095094E"/>
    <w:rsid w:val="00993F8D"/>
    <w:rsid w:val="00996A69"/>
    <w:rsid w:val="009A5672"/>
    <w:rsid w:val="009B33FA"/>
    <w:rsid w:val="00A03E8D"/>
    <w:rsid w:val="00A136DC"/>
    <w:rsid w:val="00A302E0"/>
    <w:rsid w:val="00A55782"/>
    <w:rsid w:val="00A648EE"/>
    <w:rsid w:val="00A80619"/>
    <w:rsid w:val="00AC45DE"/>
    <w:rsid w:val="00AF061B"/>
    <w:rsid w:val="00B020D6"/>
    <w:rsid w:val="00B03074"/>
    <w:rsid w:val="00B24CB2"/>
    <w:rsid w:val="00B2549D"/>
    <w:rsid w:val="00B5503D"/>
    <w:rsid w:val="00B70739"/>
    <w:rsid w:val="00B736BE"/>
    <w:rsid w:val="00B87C01"/>
    <w:rsid w:val="00B90B5B"/>
    <w:rsid w:val="00BA69ED"/>
    <w:rsid w:val="00BB437C"/>
    <w:rsid w:val="00BB6DB8"/>
    <w:rsid w:val="00BD6B03"/>
    <w:rsid w:val="00BE6D7F"/>
    <w:rsid w:val="00BF6FBE"/>
    <w:rsid w:val="00C204CA"/>
    <w:rsid w:val="00C358D3"/>
    <w:rsid w:val="00C609FD"/>
    <w:rsid w:val="00C62E8F"/>
    <w:rsid w:val="00C8588F"/>
    <w:rsid w:val="00C93BDD"/>
    <w:rsid w:val="00CA3CA5"/>
    <w:rsid w:val="00CB046A"/>
    <w:rsid w:val="00CF78DB"/>
    <w:rsid w:val="00D044F8"/>
    <w:rsid w:val="00D3419F"/>
    <w:rsid w:val="00D53C56"/>
    <w:rsid w:val="00D613E7"/>
    <w:rsid w:val="00D67EC5"/>
    <w:rsid w:val="00D70448"/>
    <w:rsid w:val="00D71F44"/>
    <w:rsid w:val="00D76839"/>
    <w:rsid w:val="00D822A0"/>
    <w:rsid w:val="00D87138"/>
    <w:rsid w:val="00DA5317"/>
    <w:rsid w:val="00DB162B"/>
    <w:rsid w:val="00DD0EB8"/>
    <w:rsid w:val="00DE1E7F"/>
    <w:rsid w:val="00E33083"/>
    <w:rsid w:val="00E630A2"/>
    <w:rsid w:val="00E961AB"/>
    <w:rsid w:val="00EA0D5F"/>
    <w:rsid w:val="00EA4C39"/>
    <w:rsid w:val="00EA4F98"/>
    <w:rsid w:val="00F00791"/>
    <w:rsid w:val="00F03117"/>
    <w:rsid w:val="00F26AE7"/>
    <w:rsid w:val="00F26E1C"/>
    <w:rsid w:val="00F461BB"/>
    <w:rsid w:val="00F50530"/>
    <w:rsid w:val="00F66D07"/>
    <w:rsid w:val="00FA29EF"/>
    <w:rsid w:val="00FA4583"/>
    <w:rsid w:val="00FA4A46"/>
    <w:rsid w:val="00FB23CF"/>
    <w:rsid w:val="00FC5B9A"/>
    <w:rsid w:val="00FD010B"/>
    <w:rsid w:val="00FD0309"/>
    <w:rsid w:val="00FD5B06"/>
    <w:rsid w:val="00FE2137"/>
    <w:rsid w:val="07208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15286"/>
  <w15:chartTrackingRefBased/>
  <w15:docId w15:val="{65F97295-170F-43C7-BDD2-4AC1F79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1-Agreement"/>
    <w:next w:val="Normal"/>
    <w:link w:val="Heading1Char"/>
    <w:qFormat/>
    <w:rsid w:val="00410938"/>
    <w:pPr>
      <w:spacing w:after="0" w:line="288" w:lineRule="auto"/>
      <w:ind w:left="851" w:hanging="851"/>
      <w:jc w:val="both"/>
      <w:outlineLvl w:val="0"/>
    </w:pPr>
    <w:rPr>
      <w:rFonts w:asciiTheme="minorHAnsi" w:hAnsiTheme="minorHAnsi" w:cstheme="minorHAnsi"/>
      <w:caps w:val="0"/>
      <w:sz w:val="20"/>
      <w:szCs w:val="20"/>
    </w:rPr>
  </w:style>
  <w:style w:type="paragraph" w:styleId="Heading2">
    <w:name w:val="heading 2"/>
    <w:basedOn w:val="NoSpacing"/>
    <w:next w:val="Normal"/>
    <w:link w:val="Heading2Char"/>
    <w:qFormat/>
    <w:rsid w:val="00410938"/>
    <w:pPr>
      <w:numPr>
        <w:ilvl w:val="1"/>
        <w:numId w:val="1"/>
      </w:numPr>
      <w:spacing w:line="276" w:lineRule="auto"/>
      <w:jc w:val="both"/>
      <w:outlineLvl w:val="1"/>
    </w:pPr>
    <w:rPr>
      <w:rFonts w:cstheme="minorHAnsi"/>
      <w:sz w:val="21"/>
      <w:szCs w:val="21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10938"/>
    <w:pPr>
      <w:numPr>
        <w:ilvl w:val="2"/>
      </w:numPr>
      <w:ind w:left="851" w:hanging="85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938"/>
    <w:rPr>
      <w:rFonts w:cstheme="minorHAnsi"/>
      <w:b/>
      <w:kern w:val="0"/>
      <w:sz w:val="20"/>
      <w:szCs w:val="20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410938"/>
    <w:rPr>
      <w:rFonts w:cstheme="minorHAnsi"/>
      <w:kern w:val="0"/>
      <w:sz w:val="21"/>
      <w:szCs w:val="21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10938"/>
    <w:rPr>
      <w:rFonts w:cstheme="minorHAnsi"/>
      <w:kern w:val="0"/>
      <w:sz w:val="21"/>
      <w:szCs w:val="21"/>
      <w:lang w:val="en-AU"/>
      <w14:ligatures w14:val="none"/>
    </w:rPr>
  </w:style>
  <w:style w:type="paragraph" w:customStyle="1" w:styleId="H1-Agreement">
    <w:name w:val="H1 - Agreement"/>
    <w:basedOn w:val="ListParagraph"/>
    <w:autoRedefine/>
    <w:qFormat/>
    <w:rsid w:val="00410938"/>
    <w:pPr>
      <w:numPr>
        <w:numId w:val="1"/>
      </w:numPr>
      <w:spacing w:after="200" w:line="276" w:lineRule="auto"/>
    </w:pPr>
    <w:rPr>
      <w:rFonts w:ascii="Arial" w:hAnsi="Arial" w:cs="Arial"/>
      <w:b/>
      <w:caps/>
      <w:kern w:val="0"/>
      <w:sz w:val="28"/>
      <w:lang w:val="en-AU"/>
      <w14:ligatures w14:val="none"/>
    </w:rPr>
  </w:style>
  <w:style w:type="paragraph" w:styleId="NoSpacing">
    <w:name w:val="No Spacing"/>
    <w:uiPriority w:val="1"/>
    <w:qFormat/>
    <w:rsid w:val="00410938"/>
    <w:pPr>
      <w:spacing w:after="0" w:line="240" w:lineRule="auto"/>
    </w:pPr>
    <w:rPr>
      <w:kern w:val="0"/>
      <w:lang w:val="en-AU"/>
      <w14:ligatures w14:val="none"/>
    </w:rPr>
  </w:style>
  <w:style w:type="paragraph" w:customStyle="1" w:styleId="LawAnnexHeading">
    <w:name w:val="Law Annex Heading"/>
    <w:basedOn w:val="Normal"/>
    <w:qFormat/>
    <w:rsid w:val="00410938"/>
    <w:pPr>
      <w:numPr>
        <w:ilvl w:val="1"/>
        <w:numId w:val="2"/>
      </w:numPr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 w:cs="Times New Roman"/>
      <w:b/>
      <w:kern w:val="0"/>
      <w:sz w:val="20"/>
      <w:szCs w:val="20"/>
      <w:lang w:eastAsia="de-DE"/>
      <w14:ligatures w14:val="none"/>
    </w:rPr>
  </w:style>
  <w:style w:type="paragraph" w:customStyle="1" w:styleId="LawAnnex1Heading">
    <w:name w:val="Law Annex 1. Heading"/>
    <w:basedOn w:val="Normal"/>
    <w:qFormat/>
    <w:rsid w:val="00410938"/>
    <w:pPr>
      <w:numPr>
        <w:ilvl w:val="2"/>
        <w:numId w:val="2"/>
      </w:numPr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 w:cs="Times New Roman"/>
      <w:b/>
      <w:caps/>
      <w:kern w:val="0"/>
      <w:sz w:val="20"/>
      <w:szCs w:val="20"/>
      <w:lang w:eastAsia="de-DE"/>
      <w14:ligatures w14:val="none"/>
    </w:rPr>
  </w:style>
  <w:style w:type="paragraph" w:customStyle="1" w:styleId="LawAnnex11Heading">
    <w:name w:val="Law Annex 1.1 Heading"/>
    <w:basedOn w:val="Normal"/>
    <w:qFormat/>
    <w:rsid w:val="00410938"/>
    <w:pPr>
      <w:numPr>
        <w:ilvl w:val="3"/>
        <w:numId w:val="2"/>
      </w:numPr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 w:cs="Times New Roman"/>
      <w:b/>
      <w:caps/>
      <w:kern w:val="0"/>
      <w:sz w:val="20"/>
      <w:szCs w:val="20"/>
      <w:lang w:eastAsia="de-DE"/>
      <w14:ligatures w14:val="none"/>
    </w:rPr>
  </w:style>
  <w:style w:type="paragraph" w:customStyle="1" w:styleId="LawAnnex111Heading">
    <w:name w:val="Law Annex 1.1.1 Heading"/>
    <w:basedOn w:val="Normal"/>
    <w:qFormat/>
    <w:rsid w:val="00410938"/>
    <w:pPr>
      <w:numPr>
        <w:ilvl w:val="4"/>
        <w:numId w:val="2"/>
      </w:numPr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 w:cs="Times New Roman"/>
      <w:b/>
      <w:caps/>
      <w:kern w:val="0"/>
      <w:sz w:val="20"/>
      <w:szCs w:val="20"/>
      <w:lang w:eastAsia="de-DE"/>
      <w14:ligatures w14:val="none"/>
    </w:rPr>
  </w:style>
  <w:style w:type="paragraph" w:customStyle="1" w:styleId="Point0number">
    <w:name w:val="Point 0 (number)"/>
    <w:basedOn w:val="Normal"/>
    <w:rsid w:val="0041093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1number">
    <w:name w:val="Point 1 (number)"/>
    <w:basedOn w:val="Normal"/>
    <w:rsid w:val="0041093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2number">
    <w:name w:val="Point 2 (number)"/>
    <w:basedOn w:val="Normal"/>
    <w:rsid w:val="00410938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3number">
    <w:name w:val="Point 3 (number)"/>
    <w:basedOn w:val="Normal"/>
    <w:rsid w:val="00410938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0letter">
    <w:name w:val="Point 0 (letter)"/>
    <w:basedOn w:val="Normal"/>
    <w:rsid w:val="0041093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2letter">
    <w:name w:val="Point 2 (letter)"/>
    <w:basedOn w:val="Normal"/>
    <w:rsid w:val="00410938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3letter">
    <w:name w:val="Point 3 (letter)"/>
    <w:basedOn w:val="Normal"/>
    <w:rsid w:val="00410938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oint4letter">
    <w:name w:val="Point 4 (letter)"/>
    <w:basedOn w:val="Normal"/>
    <w:rsid w:val="00410938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10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38"/>
  </w:style>
  <w:style w:type="paragraph" w:styleId="Revision">
    <w:name w:val="Revision"/>
    <w:hidden/>
    <w:uiPriority w:val="99"/>
    <w:semiHidden/>
    <w:rsid w:val="00BE6D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9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C3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31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A57AA7D8F0303241B9D2EF4F7EA0678E" ma:contentTypeVersion="14" ma:contentTypeDescription="Create a new document." ma:contentTypeScope="" ma:versionID="b72047d41cfc750e4b75d92b7a1ffb49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b41e61d-5c9e-45fe-9fd9-c0fcfa543eb0" targetNamespace="http://schemas.microsoft.com/office/2006/metadata/properties" ma:root="true" ma:fieldsID="76ef0a81d7c29eb305cb7b562340f46f" ns2:_="" ns3:_="" ns4:_="">
    <xsd:import namespace="4240f11c-4df2-4a37-9be1-bdf0d4dfc218"/>
    <xsd:import namespace="fe73b3f6-a427-4a99-886e-da32c6de835d"/>
    <xsd:import namespace="ab41e61d-5c9e-45fe-9fd9-c0fcfa543eb0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5afb7bd-d283-4e55-adbb-3f18df95d8ed}" ma:internalName="TaxCatchAll" ma:showField="CatchAllData" ma:web="ab41e61d-5c9e-45fe-9fd9-c0fcfa543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5afb7bd-d283-4e55-adbb-3f18df95d8ed}" ma:internalName="TaxCatchAllLabel" ma:readOnly="true" ma:showField="CatchAllDataLabel" ma:web="ab41e61d-5c9e-45fe-9fd9-c0fcfa543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tru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e61d-5c9e-45fe-9fd9-c0fcfa543eb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b41e61d-5c9e-45fe-9fd9-c0fcfa543eb0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TaxCatchAll xmlns="fe73b3f6-a427-4a99-886e-da32c6de835d">
      <Value>2</Value>
      <Value>1</Value>
    </TaxCatchAll>
    <na274824997947589a1bfdfb0b645b50 xmlns="fe73b3f6-a427-4a99-886e-da32c6de835d">
      <Terms xmlns="http://schemas.microsoft.com/office/infopath/2007/PartnerControls"/>
    </na274824997947589a1bfdfb0b645b50>
    <ECMX_OPERATIONALID xmlns="4240f11c-4df2-4a37-9be1-bdf0d4dfc218" xsi:nil="true"/>
    <_dlc_DocId xmlns="ab41e61d-5c9e-45fe-9fd9-c0fcfa543eb0">IPRJDPO-838719222-1010</_dlc_DocId>
    <_dlc_DocIdUrl xmlns="ab41e61d-5c9e-45fe-9fd9-c0fcfa543eb0">
      <Url>https://ecdc365.sharepoint.com/teams/iprj_rms_dpo2/_layouts/15/DocIdRedir.aspx?ID=IPRJDPO-838719222-1010</Url>
      <Description>IPRJDPO-838719222-1010</Description>
    </_dlc_DocIdUrl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</documentManagement>
</p:properties>
</file>

<file path=customXml/itemProps1.xml><?xml version="1.0" encoding="utf-8"?>
<ds:datastoreItem xmlns:ds="http://schemas.openxmlformats.org/officeDocument/2006/customXml" ds:itemID="{9A507950-B80B-4047-8FA7-AC1EAFE80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E0359-B7B1-45D5-8EE3-F587134B1F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586E2F-1256-48B7-BA23-64B698D1BD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B4F549-3F28-49A2-93B8-C4AAFA3FF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b41e61d-5c9e-45fe-9fd9-c0fcfa54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84C46-B98A-46ED-A767-4B1C9B9363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857D23-3446-4C29-B76E-78448FF68A72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  <ds:schemaRef ds:uri="ab41e61d-5c9e-45fe-9fd9-c0fcfa543eb0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Malacalza</dc:creator>
  <cp:keywords/>
  <dc:description/>
  <cp:lastModifiedBy>Riccardo Malacalza</cp:lastModifiedBy>
  <cp:revision>5</cp:revision>
  <dcterms:created xsi:type="dcterms:W3CDTF">2024-09-20T09:19:00Z</dcterms:created>
  <dcterms:modified xsi:type="dcterms:W3CDTF">2024-09-20T09:23:00Z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0x010100EE95EE7DB3A482488E68FA4A7091999F00A57AA7D8F0303241B9D2EF4F7EA0678E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ECDC NORMAL</vt:lpwstr>
  </property>
  <property fmtid="{D5CDD505-2E9C-101B-9397-08002B2CF9AE}" pid="6" name="TaxKeyword">
    <vt:lpwstr/>
  </property>
  <property fmtid="{D5CDD505-2E9C-101B-9397-08002B2CF9AE}" pid="7" name="ECMX_ENTITY">
    <vt:lpwstr/>
  </property>
  <property fmtid="{D5CDD505-2E9C-101B-9397-08002B2CF9AE}" pid="8" name="ECMX_LIFECYCLE">
    <vt:lpwstr>2;#Active|50127695-0d4f-4ac1-ab93-ebc716c3e584</vt:lpwstr>
  </property>
  <property fmtid="{D5CDD505-2E9C-101B-9397-08002B2CF9AE}" pid="9" name="ECMX_DOCUMENTTYPE">
    <vt:lpwstr/>
  </property>
  <property fmtid="{D5CDD505-2E9C-101B-9397-08002B2CF9AE}" pid="10" name="ECMX_CATEGORYLABEL">
    <vt:lpwstr/>
  </property>
  <property fmtid="{D5CDD505-2E9C-101B-9397-08002B2CF9AE}" pid="11" name="ECMX_DOCUMENTSTATUS">
    <vt:lpwstr>1;#Draft|bed60e9a-f1b8-4691-a7e2-534f78067ff3</vt:lpwstr>
  </property>
  <property fmtid="{D5CDD505-2E9C-101B-9397-08002B2CF9AE}" pid="12" name="ECMX_DISEASEPATHOGEN">
    <vt:lpwstr/>
  </property>
  <property fmtid="{D5CDD505-2E9C-101B-9397-08002B2CF9AE}" pid="13" name="_dlc_DocIdItemGuid">
    <vt:lpwstr>05a6d04b-5709-4b0b-b17a-c7cef249b08e</vt:lpwstr>
  </property>
  <property fmtid="{D5CDD505-2E9C-101B-9397-08002B2CF9AE}" pid="14" name="SharedWithUsers">
    <vt:lpwstr>113;#Adrian Prodan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