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BE8DF" w14:textId="77777777" w:rsidR="00B53BEA" w:rsidRPr="002E583D" w:rsidRDefault="00B53BEA" w:rsidP="00B53BEA">
      <w:pPr>
        <w:pStyle w:val="ECDC-header"/>
        <w:tabs>
          <w:tab w:val="left" w:pos="1440"/>
        </w:tabs>
        <w:spacing w:line="276" w:lineRule="auto"/>
        <w:jc w:val="both"/>
        <w:rPr>
          <w:rFonts w:cs="Tahoma"/>
          <w:sz w:val="20"/>
          <w:szCs w:val="20"/>
          <w:lang w:eastAsia="en-US"/>
        </w:rPr>
      </w:pPr>
      <w:r w:rsidRPr="002E583D">
        <w:rPr>
          <w:rFonts w:cs="Tahoma"/>
          <w:noProof/>
          <w:sz w:val="20"/>
          <w:szCs w:val="20"/>
          <w:lang w:eastAsia="en-GB"/>
        </w:rPr>
        <w:drawing>
          <wp:inline distT="0" distB="0" distL="0" distR="0" wp14:anchorId="698A384C" wp14:editId="769EA88D">
            <wp:extent cx="1206500" cy="1066800"/>
            <wp:effectExtent l="19050" t="0" r="0" b="0"/>
            <wp:docPr id="1" name="Picture 1" descr="ECDC-Logo HealthInfo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DC-Logo HealthInfo 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193D2" w14:textId="77777777" w:rsidR="00B53BEA" w:rsidRPr="002E583D" w:rsidRDefault="00B53BEA" w:rsidP="00B53BEA">
      <w:pPr>
        <w:pStyle w:val="ECDC-header"/>
        <w:tabs>
          <w:tab w:val="left" w:pos="1440"/>
        </w:tabs>
        <w:spacing w:line="276" w:lineRule="auto"/>
        <w:jc w:val="both"/>
        <w:rPr>
          <w:rFonts w:cs="Tahoma"/>
          <w:sz w:val="20"/>
          <w:szCs w:val="20"/>
          <w:lang w:eastAsia="en-US"/>
        </w:rPr>
      </w:pPr>
    </w:p>
    <w:p w14:paraId="28C0ACD7" w14:textId="2A1BC67D" w:rsidR="00B53BEA" w:rsidRPr="002E583D" w:rsidRDefault="00487842" w:rsidP="00B53BEA">
      <w:pPr>
        <w:pStyle w:val="ECDC-header"/>
        <w:tabs>
          <w:tab w:val="left" w:pos="1440"/>
        </w:tabs>
        <w:spacing w:after="0" w:line="276" w:lineRule="auto"/>
        <w:jc w:val="right"/>
        <w:rPr>
          <w:rFonts w:cs="Tahoma"/>
          <w:sz w:val="24"/>
          <w:szCs w:val="20"/>
        </w:rPr>
      </w:pPr>
      <w:r>
        <w:rPr>
          <w:rFonts w:cs="Tahoma"/>
          <w:b/>
          <w:caps/>
          <w:color w:val="808080"/>
          <w:sz w:val="24"/>
          <w:szCs w:val="20"/>
        </w:rPr>
        <w:t>T</w:t>
      </w:r>
      <w:r w:rsidR="00B53BEA" w:rsidRPr="002E583D">
        <w:rPr>
          <w:rFonts w:cs="Tahoma"/>
          <w:b/>
          <w:caps/>
          <w:color w:val="808080"/>
          <w:sz w:val="24"/>
          <w:szCs w:val="20"/>
        </w:rPr>
        <w:t>erms of Reference</w:t>
      </w:r>
    </w:p>
    <w:p w14:paraId="02B38DE0" w14:textId="77777777" w:rsidR="00B53BEA" w:rsidRPr="002E583D" w:rsidRDefault="00B53BEA" w:rsidP="00B53BEA">
      <w:pPr>
        <w:pStyle w:val="EC-Para"/>
        <w:tabs>
          <w:tab w:val="left" w:pos="1440"/>
        </w:tabs>
        <w:spacing w:after="480" w:line="276" w:lineRule="auto"/>
        <w:ind w:left="-1418"/>
        <w:jc w:val="both"/>
        <w:rPr>
          <w:rFonts w:cs="Tahoma"/>
          <w:sz w:val="20"/>
          <w:szCs w:val="20"/>
          <w:lang w:eastAsia="en-US"/>
        </w:rPr>
      </w:pPr>
      <w:r w:rsidRPr="002E583D">
        <w:rPr>
          <w:rFonts w:cs="Tahom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2D79" wp14:editId="249E455D">
                <wp:simplePos x="0" y="0"/>
                <wp:positionH relativeFrom="column">
                  <wp:posOffset>0</wp:posOffset>
                </wp:positionH>
                <wp:positionV relativeFrom="paragraph">
                  <wp:posOffset>197815</wp:posOffset>
                </wp:positionV>
                <wp:extent cx="5915025" cy="1409065"/>
                <wp:effectExtent l="0" t="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FC807" w14:textId="01827AD0" w:rsidR="00B53BEA" w:rsidRPr="000A21D6" w:rsidRDefault="00B53BEA" w:rsidP="00B53BEA">
                            <w:pPr>
                              <w:spacing w:after="240" w:line="240" w:lineRule="auto"/>
                              <w:jc w:val="right"/>
                              <w:rPr>
                                <w:rFonts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A21D6">
                              <w:rPr>
                                <w:rFonts w:cs="Tahoma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Food and waterborne diseases and zoonoses </w:t>
                            </w:r>
                          </w:p>
                          <w:p w14:paraId="0C697F1A" w14:textId="123B14D0" w:rsidR="00B53BEA" w:rsidRPr="000A21D6" w:rsidRDefault="00B53BEA" w:rsidP="00B53BEA">
                            <w:pPr>
                              <w:spacing w:after="0" w:line="240" w:lineRule="auto"/>
                              <w:jc w:val="right"/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</w:pPr>
                            <w:r w:rsidRPr="000A21D6"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Ex</w:t>
                            </w:r>
                            <w:r w:rsidR="008C5806"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pert Exchange P</w:t>
                            </w:r>
                            <w:r w:rsidRPr="000A21D6"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rogramme</w:t>
                            </w:r>
                            <w:r w:rsidR="00050B6C"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 for public health experts</w:t>
                            </w:r>
                            <w:r w:rsidR="00684D74">
                              <w:rPr>
                                <w:rFonts w:cs="Tahoma"/>
                                <w:bCs/>
                                <w:color w:val="FFFFFF"/>
                                <w:sz w:val="34"/>
                                <w:szCs w:val="34"/>
                              </w:rPr>
                              <w:t xml:space="preserve"> (FWDEEP)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52D7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0;margin-top:15.6pt;width:465.75pt;height:1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Oytg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lNjyjIPOwOtuAD+zh3Nos6Oqh1tZfdNIyGVLxYZdKyXHltEa0gvtTf/s&#10;6oSjLch6/ChriEO3RjqgfaN6WzuoBgJ0aNPDqTU2lwoO4zSMgyjGqAJbSII0SGIXg2bH64PS5j2T&#10;PbKLHCvovYOnu1ttbDo0O7rYaEKWvOtc/zvx7AAcpxMIDletzabh2vmYBulqvpoTj0TJyiNBUXjX&#10;5ZJ4SRnO4uJdsVwW4U8bNyRZy+uaCRvmKK2Q/FnrDiKfRHESl5Ydry2cTUmrzXrZKbSjIO3SfYeC&#10;nLn5z9NwRQAuLyiFEQluotQrk/nMIyWJvXQWzL0gTG/SJCApKcrnlG65YP9OCY05TmNoqqPzW26B&#10;+15zo1nPDQyPjvc5np+caGY1uBK1a62hvJvWZ6Ww6T+VAtp9bLRTrBXpJFezX+8Bxcp4LesH0K6S&#10;oCwQKEw8WLRS/cBohOmRY/19SxXDqPsgQP9pSIgdN25D4lkEG3VuWZ9bqKgAKscGo2m5NNOI2g6K&#10;b1qINL04Ia/hzTTcqfkpq8NLgwnhSB2mmR1B53vn9TRzF78AAAD//wMAUEsDBBQABgAIAAAAIQBB&#10;OCQt3AAAAAcBAAAPAAAAZHJzL2Rvd25yZXYueG1sTI/NTsMwEITvSH0Haytxo3YSgmjIpqpAXEGU&#10;H4mbG2+TqPE6it0mvD3mRI+jGc18U25m24szjb5zjJCsFAji2pmOG4SP9+ebexA+aDa6d0wIP+Rh&#10;Uy2uSl0YN/EbnXehEbGEfaER2hCGQkpft2S1X7mBOHoHN1odohwbaUY9xXLby1SpO2l1x3Gh1QM9&#10;tlQfdyeL8Ply+P66Va/Nk82Hyc1Ksl1LxOvlvH0AEWgO/2H4w4/oUEWmvTux8aJHiEcCQpakIKK7&#10;zpIcxB4hzbMEZFXKS/7qFwAA//8DAFBLAQItABQABgAIAAAAIQC2gziS/gAAAOEBAAATAAAAAAAA&#10;AAAAAAAAAAAAAABbQ29udGVudF9UeXBlc10ueG1sUEsBAi0AFAAGAAgAAAAhADj9If/WAAAAlAEA&#10;AAsAAAAAAAAAAAAAAAAALwEAAF9yZWxzLy5yZWxzUEsBAi0AFAAGAAgAAAAhAC/kA7K2AgAAuwUA&#10;AA4AAAAAAAAAAAAAAAAALgIAAGRycy9lMm9Eb2MueG1sUEsBAi0AFAAGAAgAAAAhAEE4JC3cAAAA&#10;BwEAAA8AAAAAAAAAAAAAAAAAEAUAAGRycy9kb3ducmV2LnhtbFBLBQYAAAAABAAEAPMAAAAZBgAA&#10;AAA=&#10;" filled="f" stroked="f">
                <v:textbox>
                  <w:txbxContent>
                    <w:p w14:paraId="44BFC807" w14:textId="01827AD0" w:rsidR="00B53BEA" w:rsidRPr="000A21D6" w:rsidRDefault="00B53BEA" w:rsidP="00B53BEA">
                      <w:pPr>
                        <w:spacing w:after="240" w:line="240" w:lineRule="auto"/>
                        <w:jc w:val="right"/>
                        <w:rPr>
                          <w:rFonts w:cs="Tahoma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0A21D6">
                        <w:rPr>
                          <w:rFonts w:cs="Tahoma"/>
                          <w:bCs/>
                          <w:color w:val="FFFFFF"/>
                          <w:sz w:val="36"/>
                          <w:szCs w:val="36"/>
                        </w:rPr>
                        <w:t xml:space="preserve">Food and waterborne diseases and zoonoses </w:t>
                      </w:r>
                    </w:p>
                    <w:p w14:paraId="0C697F1A" w14:textId="123B14D0" w:rsidR="00B53BEA" w:rsidRPr="000A21D6" w:rsidRDefault="00B53BEA" w:rsidP="00B53BEA">
                      <w:pPr>
                        <w:spacing w:after="0" w:line="240" w:lineRule="auto"/>
                        <w:jc w:val="right"/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</w:pPr>
                      <w:r w:rsidRPr="000A21D6"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  <w:t>Ex</w:t>
                      </w:r>
                      <w:r w:rsidR="008C5806"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  <w:t>pert Exchange P</w:t>
                      </w:r>
                      <w:r w:rsidRPr="000A21D6"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  <w:t>rogramme</w:t>
                      </w:r>
                      <w:r w:rsidR="00050B6C"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  <w:t xml:space="preserve"> for public health experts</w:t>
                      </w:r>
                      <w:r w:rsidR="00684D74">
                        <w:rPr>
                          <w:rFonts w:cs="Tahoma"/>
                          <w:bCs/>
                          <w:color w:val="FFFFFF"/>
                          <w:sz w:val="34"/>
                          <w:szCs w:val="34"/>
                        </w:rPr>
                        <w:t xml:space="preserve"> (FWDEEP)</w:t>
                      </w:r>
                    </w:p>
                  </w:txbxContent>
                </v:textbox>
              </v:shape>
            </w:pict>
          </mc:Fallback>
        </mc:AlternateContent>
      </w:r>
      <w:r w:rsidRPr="002E583D">
        <w:rPr>
          <w:rFonts w:cs="Tahoma"/>
          <w:noProof/>
          <w:sz w:val="20"/>
          <w:szCs w:val="20"/>
          <w:lang w:eastAsia="en-GB"/>
        </w:rPr>
        <w:drawing>
          <wp:inline distT="0" distB="0" distL="0" distR="0" wp14:anchorId="66D7C26C" wp14:editId="7E4A8791">
            <wp:extent cx="7683500" cy="1384300"/>
            <wp:effectExtent l="19050" t="0" r="0" b="0"/>
            <wp:docPr id="2" name="Picture 2" descr="Joint_WH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int_WH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6" b="13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66EB7" w14:textId="158BA037" w:rsidR="00B53BEA" w:rsidRPr="00AC77F4" w:rsidRDefault="00B53BEA" w:rsidP="00B53BEA">
      <w:pPr>
        <w:pStyle w:val="EC-Title-4"/>
        <w:spacing w:line="276" w:lineRule="auto"/>
        <w:jc w:val="both"/>
        <w:rPr>
          <w:sz w:val="22"/>
          <w:szCs w:val="20"/>
          <w:lang w:val="en-US" w:bidi="en-US"/>
        </w:rPr>
      </w:pPr>
      <w:r w:rsidRPr="00AC77F4">
        <w:rPr>
          <w:sz w:val="22"/>
          <w:szCs w:val="20"/>
          <w:lang w:val="en-US" w:bidi="en-US"/>
        </w:rPr>
        <w:t>Overview</w:t>
      </w:r>
      <w:r w:rsidR="00050B6C" w:rsidRPr="00AC77F4">
        <w:rPr>
          <w:sz w:val="22"/>
          <w:szCs w:val="20"/>
          <w:lang w:val="en-US" w:bidi="en-US"/>
        </w:rPr>
        <w:t xml:space="preserve"> of </w:t>
      </w:r>
      <w:r w:rsidR="00F66F44">
        <w:rPr>
          <w:sz w:val="22"/>
          <w:szCs w:val="20"/>
          <w:lang w:val="en-US" w:bidi="en-US"/>
        </w:rPr>
        <w:t>Food</w:t>
      </w:r>
      <w:r w:rsidR="00A8637F">
        <w:rPr>
          <w:sz w:val="22"/>
          <w:szCs w:val="20"/>
          <w:lang w:val="en-US" w:bidi="en-US"/>
        </w:rPr>
        <w:t>-</w:t>
      </w:r>
      <w:r w:rsidR="00F66F44" w:rsidRPr="00F66F44">
        <w:rPr>
          <w:sz w:val="22"/>
          <w:szCs w:val="20"/>
          <w:lang w:val="en-US" w:bidi="en-US"/>
        </w:rPr>
        <w:t xml:space="preserve"> and waterborne diseases and zoonoses </w:t>
      </w:r>
      <w:r w:rsidR="00050B6C" w:rsidRPr="00AC77F4">
        <w:rPr>
          <w:sz w:val="22"/>
          <w:szCs w:val="20"/>
          <w:lang w:val="en-US" w:bidi="en-US"/>
        </w:rPr>
        <w:t>Expert Exchange Programme</w:t>
      </w:r>
    </w:p>
    <w:p w14:paraId="37E23FFE" w14:textId="2E718295" w:rsidR="00F06DB2" w:rsidRDefault="00B53BEA" w:rsidP="00AC77F4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  <w:lang w:val="en-US"/>
        </w:rPr>
        <w:t>One</w:t>
      </w:r>
      <w:r w:rsidRPr="00AC77F4">
        <w:rPr>
          <w:rFonts w:cs="Tahoma"/>
          <w:sz w:val="22"/>
          <w:szCs w:val="20"/>
        </w:rPr>
        <w:t xml:space="preserve"> of the key activities </w:t>
      </w:r>
      <w:r w:rsidR="00E4190A">
        <w:rPr>
          <w:rFonts w:cs="Tahoma"/>
          <w:sz w:val="22"/>
          <w:szCs w:val="20"/>
        </w:rPr>
        <w:t xml:space="preserve">at </w:t>
      </w:r>
      <w:r w:rsidRPr="00AC77F4">
        <w:rPr>
          <w:rFonts w:cs="Tahoma"/>
          <w:sz w:val="22"/>
          <w:szCs w:val="20"/>
        </w:rPr>
        <w:t xml:space="preserve">ECDC </w:t>
      </w:r>
      <w:r w:rsidR="00E4190A">
        <w:rPr>
          <w:rFonts w:cs="Tahoma"/>
          <w:sz w:val="22"/>
          <w:szCs w:val="20"/>
        </w:rPr>
        <w:t xml:space="preserve">in the area of </w:t>
      </w:r>
      <w:r w:rsidR="001A1028">
        <w:rPr>
          <w:rFonts w:cs="Tahoma"/>
          <w:sz w:val="22"/>
          <w:szCs w:val="20"/>
        </w:rPr>
        <w:t>f</w:t>
      </w:r>
      <w:r w:rsidRPr="00AC77F4">
        <w:rPr>
          <w:rFonts w:cs="Tahoma"/>
          <w:sz w:val="22"/>
          <w:szCs w:val="20"/>
        </w:rPr>
        <w:t>ood</w:t>
      </w:r>
      <w:r w:rsidR="00EE0315">
        <w:rPr>
          <w:rFonts w:cs="Tahoma"/>
          <w:sz w:val="22"/>
          <w:szCs w:val="20"/>
        </w:rPr>
        <w:t>-</w:t>
      </w:r>
      <w:r w:rsidRPr="00AC77F4">
        <w:rPr>
          <w:rFonts w:cs="Tahoma"/>
          <w:sz w:val="22"/>
          <w:szCs w:val="20"/>
        </w:rPr>
        <w:t xml:space="preserve"> and </w:t>
      </w:r>
      <w:r w:rsidR="001A1028">
        <w:rPr>
          <w:rFonts w:cs="Tahoma"/>
          <w:sz w:val="22"/>
          <w:szCs w:val="20"/>
        </w:rPr>
        <w:t>w</w:t>
      </w:r>
      <w:r w:rsidRPr="00AC77F4">
        <w:rPr>
          <w:rFonts w:cs="Tahoma"/>
          <w:sz w:val="22"/>
          <w:szCs w:val="20"/>
        </w:rPr>
        <w:t xml:space="preserve">aterborne </w:t>
      </w:r>
      <w:r w:rsidR="001A1028">
        <w:rPr>
          <w:rFonts w:cs="Tahoma"/>
          <w:sz w:val="22"/>
          <w:szCs w:val="20"/>
        </w:rPr>
        <w:t>d</w:t>
      </w:r>
      <w:r w:rsidRPr="00AC77F4">
        <w:rPr>
          <w:rFonts w:cs="Tahoma"/>
          <w:sz w:val="22"/>
          <w:szCs w:val="20"/>
        </w:rPr>
        <w:t xml:space="preserve">iseases and </w:t>
      </w:r>
      <w:r w:rsidR="001A1028">
        <w:rPr>
          <w:rFonts w:cs="Tahoma"/>
          <w:sz w:val="22"/>
          <w:szCs w:val="20"/>
        </w:rPr>
        <w:t>z</w:t>
      </w:r>
      <w:r w:rsidRPr="00AC77F4">
        <w:rPr>
          <w:rFonts w:cs="Tahoma"/>
          <w:sz w:val="22"/>
          <w:szCs w:val="20"/>
        </w:rPr>
        <w:t>oonoses is capa</w:t>
      </w:r>
      <w:r w:rsidR="00504624" w:rsidRPr="00AC77F4">
        <w:rPr>
          <w:rFonts w:cs="Tahoma"/>
          <w:sz w:val="22"/>
          <w:szCs w:val="20"/>
        </w:rPr>
        <w:t>city</w:t>
      </w:r>
      <w:r w:rsidRPr="00AC77F4">
        <w:rPr>
          <w:rFonts w:cs="Tahoma"/>
          <w:sz w:val="22"/>
          <w:szCs w:val="20"/>
        </w:rPr>
        <w:t xml:space="preserve"> building in the </w:t>
      </w:r>
      <w:r w:rsidR="00160189">
        <w:rPr>
          <w:rFonts w:cs="Tahoma"/>
          <w:sz w:val="22"/>
          <w:szCs w:val="20"/>
        </w:rPr>
        <w:t xml:space="preserve">countries, particularly in the </w:t>
      </w:r>
      <w:r w:rsidRPr="00AC77F4">
        <w:rPr>
          <w:rFonts w:cs="Tahoma"/>
          <w:sz w:val="22"/>
          <w:szCs w:val="20"/>
        </w:rPr>
        <w:t>national public health reference laboratories and</w:t>
      </w:r>
      <w:r w:rsidR="00EE0315">
        <w:rPr>
          <w:rFonts w:cs="Tahoma"/>
          <w:sz w:val="22"/>
          <w:szCs w:val="20"/>
        </w:rPr>
        <w:t xml:space="preserve"> public health</w:t>
      </w:r>
      <w:r w:rsidRPr="00AC77F4">
        <w:rPr>
          <w:rFonts w:cs="Tahoma"/>
          <w:sz w:val="22"/>
          <w:szCs w:val="20"/>
        </w:rPr>
        <w:t xml:space="preserve"> institutes</w:t>
      </w:r>
      <w:r w:rsidR="00504624" w:rsidRPr="00AC77F4">
        <w:rPr>
          <w:rFonts w:cs="Tahoma"/>
          <w:sz w:val="22"/>
          <w:szCs w:val="20"/>
        </w:rPr>
        <w:t xml:space="preserve"> in the EU/EEA</w:t>
      </w:r>
      <w:r w:rsidRPr="00AC77F4">
        <w:rPr>
          <w:rFonts w:cs="Tahoma"/>
          <w:sz w:val="22"/>
          <w:szCs w:val="20"/>
        </w:rPr>
        <w:t>.</w:t>
      </w:r>
      <w:r w:rsidR="00514F7F" w:rsidRPr="00AC77F4">
        <w:rPr>
          <w:rFonts w:cs="Tahoma"/>
          <w:sz w:val="22"/>
          <w:szCs w:val="20"/>
        </w:rPr>
        <w:t xml:space="preserve"> </w:t>
      </w:r>
      <w:r w:rsidR="00010A01">
        <w:rPr>
          <w:rFonts w:cs="Tahoma"/>
          <w:sz w:val="22"/>
          <w:szCs w:val="20"/>
        </w:rPr>
        <w:t>Since s</w:t>
      </w:r>
      <w:r w:rsidRPr="00AC77F4">
        <w:rPr>
          <w:rFonts w:cs="Tahoma"/>
          <w:sz w:val="22"/>
          <w:szCs w:val="20"/>
        </w:rPr>
        <w:t xml:space="preserve">tarting in 2015, the </w:t>
      </w:r>
      <w:r w:rsidR="00E4190A">
        <w:rPr>
          <w:rFonts w:cs="Tahoma"/>
          <w:sz w:val="22"/>
          <w:szCs w:val="20"/>
        </w:rPr>
        <w:t>Food</w:t>
      </w:r>
      <w:r w:rsidR="008B2C7C">
        <w:rPr>
          <w:rFonts w:cs="Tahoma"/>
          <w:sz w:val="22"/>
          <w:szCs w:val="20"/>
        </w:rPr>
        <w:t>-</w:t>
      </w:r>
      <w:r w:rsidR="00E4190A">
        <w:rPr>
          <w:rFonts w:cs="Tahoma"/>
          <w:sz w:val="22"/>
          <w:szCs w:val="20"/>
        </w:rPr>
        <w:t xml:space="preserve"> and Waterborne and Zoonoses </w:t>
      </w:r>
      <w:r w:rsidRPr="00AC77F4">
        <w:rPr>
          <w:rFonts w:cs="Tahoma"/>
          <w:bCs/>
          <w:color w:val="auto"/>
          <w:sz w:val="22"/>
          <w:szCs w:val="20"/>
        </w:rPr>
        <w:t>Expert Exchange Programme (</w:t>
      </w:r>
      <w:r w:rsidR="00010A01">
        <w:rPr>
          <w:rFonts w:cs="Tahoma"/>
          <w:bCs/>
          <w:color w:val="auto"/>
          <w:sz w:val="22"/>
          <w:szCs w:val="20"/>
        </w:rPr>
        <w:t>FWD</w:t>
      </w:r>
      <w:r w:rsidRPr="00AC77F4">
        <w:rPr>
          <w:rFonts w:cs="Tahoma"/>
          <w:bCs/>
          <w:color w:val="auto"/>
          <w:sz w:val="22"/>
          <w:szCs w:val="20"/>
        </w:rPr>
        <w:t xml:space="preserve">EEP) </w:t>
      </w:r>
      <w:r w:rsidR="00010A01">
        <w:rPr>
          <w:rFonts w:cs="Tahoma"/>
          <w:bCs/>
          <w:color w:val="auto"/>
          <w:sz w:val="22"/>
          <w:szCs w:val="20"/>
        </w:rPr>
        <w:t>has provided</w:t>
      </w:r>
      <w:r w:rsidRPr="00AC77F4">
        <w:rPr>
          <w:rFonts w:cs="Tahoma"/>
          <w:bCs/>
          <w:color w:val="auto"/>
          <w:sz w:val="22"/>
          <w:szCs w:val="20"/>
        </w:rPr>
        <w:t xml:space="preserve"> </w:t>
      </w:r>
      <w:r w:rsidR="00A33BAD">
        <w:rPr>
          <w:rFonts w:cs="Tahoma"/>
          <w:bCs/>
          <w:color w:val="auto"/>
          <w:sz w:val="22"/>
          <w:szCs w:val="20"/>
        </w:rPr>
        <w:t xml:space="preserve">a </w:t>
      </w:r>
      <w:r w:rsidRPr="00AC77F4">
        <w:rPr>
          <w:rFonts w:cs="Tahoma"/>
          <w:bCs/>
          <w:color w:val="auto"/>
          <w:sz w:val="22"/>
          <w:szCs w:val="20"/>
        </w:rPr>
        <w:t>flexible</w:t>
      </w:r>
      <w:r w:rsidR="00A33BAD">
        <w:rPr>
          <w:rFonts w:cs="Tahoma"/>
          <w:bCs/>
          <w:color w:val="auto"/>
          <w:sz w:val="22"/>
          <w:szCs w:val="20"/>
        </w:rPr>
        <w:t xml:space="preserve"> platform to support </w:t>
      </w:r>
      <w:r w:rsidR="00160189" w:rsidRPr="003C4E53">
        <w:rPr>
          <w:rFonts w:cs="Tahoma"/>
          <w:bCs/>
          <w:i/>
          <w:color w:val="auto"/>
          <w:sz w:val="22"/>
          <w:szCs w:val="20"/>
        </w:rPr>
        <w:t>ad hoc</w:t>
      </w:r>
      <w:r w:rsidR="00160189">
        <w:rPr>
          <w:rFonts w:cs="Tahoma"/>
          <w:bCs/>
          <w:color w:val="auto"/>
          <w:sz w:val="22"/>
          <w:szCs w:val="20"/>
        </w:rPr>
        <w:t xml:space="preserve"> </w:t>
      </w:r>
      <w:r w:rsidRPr="00AC77F4">
        <w:rPr>
          <w:rFonts w:cs="Tahoma"/>
          <w:bCs/>
          <w:color w:val="auto"/>
          <w:sz w:val="22"/>
          <w:szCs w:val="20"/>
        </w:rPr>
        <w:t xml:space="preserve">learning </w:t>
      </w:r>
      <w:r w:rsidR="004D657B" w:rsidRPr="00AC77F4">
        <w:rPr>
          <w:rFonts w:cs="Tahoma"/>
          <w:bCs/>
          <w:color w:val="auto"/>
          <w:sz w:val="22"/>
          <w:szCs w:val="20"/>
        </w:rPr>
        <w:t>opportunities</w:t>
      </w:r>
      <w:r w:rsidR="00514F7F" w:rsidRPr="00AC77F4">
        <w:rPr>
          <w:rFonts w:cs="Tahoma"/>
          <w:bCs/>
          <w:color w:val="auto"/>
          <w:sz w:val="22"/>
          <w:szCs w:val="20"/>
        </w:rPr>
        <w:t xml:space="preserve"> </w:t>
      </w:r>
      <w:r w:rsidR="00885F0D" w:rsidRPr="00AC77F4">
        <w:rPr>
          <w:rFonts w:cs="Tahoma"/>
          <w:bCs/>
          <w:color w:val="auto"/>
          <w:sz w:val="22"/>
          <w:szCs w:val="20"/>
        </w:rPr>
        <w:t>for public health experts</w:t>
      </w:r>
      <w:r w:rsidR="00885F0D">
        <w:rPr>
          <w:rFonts w:cs="Tahoma"/>
          <w:bCs/>
          <w:color w:val="auto"/>
          <w:sz w:val="22"/>
          <w:szCs w:val="20"/>
        </w:rPr>
        <w:t xml:space="preserve"> </w:t>
      </w:r>
      <w:r w:rsidRPr="00AC77F4">
        <w:rPr>
          <w:rFonts w:cs="Tahoma"/>
          <w:sz w:val="22"/>
          <w:szCs w:val="20"/>
        </w:rPr>
        <w:t xml:space="preserve">working with </w:t>
      </w:r>
      <w:r w:rsidR="001A1028">
        <w:rPr>
          <w:rFonts w:cs="Tahoma"/>
          <w:sz w:val="22"/>
          <w:szCs w:val="20"/>
        </w:rPr>
        <w:t>f</w:t>
      </w:r>
      <w:r w:rsidR="001A1028" w:rsidRPr="00AC77F4">
        <w:rPr>
          <w:rFonts w:cs="Tahoma"/>
          <w:sz w:val="22"/>
          <w:szCs w:val="20"/>
        </w:rPr>
        <w:t>ood</w:t>
      </w:r>
      <w:r w:rsidR="008B2C7C">
        <w:rPr>
          <w:rFonts w:cs="Tahoma"/>
          <w:sz w:val="22"/>
          <w:szCs w:val="20"/>
        </w:rPr>
        <w:t>-</w:t>
      </w:r>
      <w:r w:rsidR="001A1028" w:rsidRPr="00AC77F4">
        <w:rPr>
          <w:rFonts w:cs="Tahoma"/>
          <w:sz w:val="22"/>
          <w:szCs w:val="20"/>
        </w:rPr>
        <w:t xml:space="preserve"> and </w:t>
      </w:r>
      <w:r w:rsidR="001A1028">
        <w:rPr>
          <w:rFonts w:cs="Tahoma"/>
          <w:sz w:val="22"/>
          <w:szCs w:val="20"/>
        </w:rPr>
        <w:t>w</w:t>
      </w:r>
      <w:r w:rsidR="001A1028" w:rsidRPr="00AC77F4">
        <w:rPr>
          <w:rFonts w:cs="Tahoma"/>
          <w:sz w:val="22"/>
          <w:szCs w:val="20"/>
        </w:rPr>
        <w:t xml:space="preserve">aterborne </w:t>
      </w:r>
      <w:r w:rsidR="001A1028">
        <w:rPr>
          <w:rFonts w:cs="Tahoma"/>
          <w:sz w:val="22"/>
          <w:szCs w:val="20"/>
        </w:rPr>
        <w:t>d</w:t>
      </w:r>
      <w:r w:rsidR="001A1028" w:rsidRPr="00AC77F4">
        <w:rPr>
          <w:rFonts w:cs="Tahoma"/>
          <w:sz w:val="22"/>
          <w:szCs w:val="20"/>
        </w:rPr>
        <w:t xml:space="preserve">iseases and </w:t>
      </w:r>
      <w:r w:rsidR="001A1028">
        <w:rPr>
          <w:rFonts w:cs="Tahoma"/>
          <w:sz w:val="22"/>
          <w:szCs w:val="20"/>
        </w:rPr>
        <w:t>z</w:t>
      </w:r>
      <w:r w:rsidR="001A1028" w:rsidRPr="00AC77F4">
        <w:rPr>
          <w:rFonts w:cs="Tahoma"/>
          <w:sz w:val="22"/>
          <w:szCs w:val="20"/>
        </w:rPr>
        <w:t>oonoses</w:t>
      </w:r>
      <w:r w:rsidR="001A1028">
        <w:rPr>
          <w:rFonts w:cs="Tahoma"/>
          <w:sz w:val="22"/>
          <w:szCs w:val="20"/>
        </w:rPr>
        <w:t xml:space="preserve">, </w:t>
      </w:r>
      <w:r w:rsidR="001A1028" w:rsidRPr="001A1028">
        <w:rPr>
          <w:rFonts w:cs="Tahoma"/>
          <w:sz w:val="22"/>
          <w:szCs w:val="20"/>
        </w:rPr>
        <w:t xml:space="preserve">Creutzfeldt-Jakob disease </w:t>
      </w:r>
      <w:r w:rsidR="001A1028">
        <w:rPr>
          <w:rFonts w:cs="Tahoma"/>
          <w:sz w:val="22"/>
          <w:szCs w:val="20"/>
        </w:rPr>
        <w:t xml:space="preserve">and </w:t>
      </w:r>
      <w:r w:rsidRPr="00AC77F4">
        <w:rPr>
          <w:rFonts w:cs="Tahoma"/>
          <w:sz w:val="22"/>
          <w:szCs w:val="20"/>
        </w:rPr>
        <w:t xml:space="preserve">Legionnaires’ disease at the national, regional or local level. </w:t>
      </w:r>
      <w:r w:rsidR="00DE64BE" w:rsidRPr="00AC77F4">
        <w:rPr>
          <w:rFonts w:cs="Tahoma"/>
          <w:sz w:val="22"/>
          <w:szCs w:val="20"/>
        </w:rPr>
        <w:t>The</w:t>
      </w:r>
      <w:r w:rsidR="00F06DB2">
        <w:rPr>
          <w:rFonts w:cs="Tahoma"/>
          <w:sz w:val="22"/>
          <w:szCs w:val="20"/>
        </w:rPr>
        <w:t xml:space="preserve"> flexibility is </w:t>
      </w:r>
      <w:r w:rsidR="00885F0D">
        <w:rPr>
          <w:rFonts w:cs="Tahoma"/>
          <w:sz w:val="22"/>
          <w:szCs w:val="20"/>
        </w:rPr>
        <w:t xml:space="preserve">entailed in </w:t>
      </w:r>
      <w:r w:rsidR="00F06DB2">
        <w:rPr>
          <w:rFonts w:cs="Tahoma"/>
          <w:sz w:val="22"/>
          <w:szCs w:val="20"/>
        </w:rPr>
        <w:t>th</w:t>
      </w:r>
      <w:r w:rsidR="00885F0D">
        <w:rPr>
          <w:rFonts w:cs="Tahoma"/>
          <w:sz w:val="22"/>
          <w:szCs w:val="20"/>
        </w:rPr>
        <w:t xml:space="preserve">e applicant’s </w:t>
      </w:r>
      <w:r w:rsidR="00757CD0">
        <w:rPr>
          <w:rFonts w:cs="Tahoma"/>
          <w:sz w:val="22"/>
          <w:szCs w:val="20"/>
        </w:rPr>
        <w:t xml:space="preserve">responsibility </w:t>
      </w:r>
      <w:r w:rsidR="00885F0D">
        <w:rPr>
          <w:rFonts w:cs="Tahoma"/>
          <w:sz w:val="22"/>
          <w:szCs w:val="20"/>
        </w:rPr>
        <w:t xml:space="preserve">to </w:t>
      </w:r>
      <w:r w:rsidR="00F06DB2">
        <w:rPr>
          <w:rFonts w:cs="Tahoma"/>
          <w:sz w:val="22"/>
          <w:szCs w:val="20"/>
        </w:rPr>
        <w:t xml:space="preserve">identify the host institution </w:t>
      </w:r>
      <w:r w:rsidR="00885F0D">
        <w:rPr>
          <w:rFonts w:cs="Tahoma"/>
          <w:sz w:val="22"/>
          <w:szCs w:val="20"/>
        </w:rPr>
        <w:t xml:space="preserve">and </w:t>
      </w:r>
      <w:r w:rsidR="00757CD0">
        <w:rPr>
          <w:rFonts w:cs="Tahoma"/>
          <w:sz w:val="22"/>
          <w:szCs w:val="20"/>
        </w:rPr>
        <w:t xml:space="preserve">then </w:t>
      </w:r>
      <w:r w:rsidR="00885F0D">
        <w:rPr>
          <w:rFonts w:cs="Tahoma"/>
          <w:sz w:val="22"/>
          <w:szCs w:val="20"/>
        </w:rPr>
        <w:t xml:space="preserve">between </w:t>
      </w:r>
      <w:r w:rsidR="00F06DB2">
        <w:rPr>
          <w:rFonts w:cs="Tahoma"/>
          <w:sz w:val="22"/>
          <w:szCs w:val="20"/>
        </w:rPr>
        <w:t xml:space="preserve">themselves </w:t>
      </w:r>
      <w:r w:rsidR="00885F0D">
        <w:rPr>
          <w:rFonts w:cs="Tahoma"/>
          <w:sz w:val="22"/>
          <w:szCs w:val="20"/>
        </w:rPr>
        <w:t xml:space="preserve">to </w:t>
      </w:r>
      <w:r w:rsidR="00F06DB2">
        <w:rPr>
          <w:rFonts w:cs="Tahoma"/>
          <w:sz w:val="22"/>
          <w:szCs w:val="20"/>
        </w:rPr>
        <w:t>determine the</w:t>
      </w:r>
      <w:r w:rsidR="00885F0D">
        <w:rPr>
          <w:rFonts w:cs="Tahoma"/>
          <w:sz w:val="22"/>
          <w:szCs w:val="20"/>
        </w:rPr>
        <w:t xml:space="preserve"> </w:t>
      </w:r>
      <w:r w:rsidR="00757CD0">
        <w:rPr>
          <w:rFonts w:cs="Tahoma"/>
          <w:sz w:val="22"/>
          <w:szCs w:val="20"/>
        </w:rPr>
        <w:t xml:space="preserve">precise </w:t>
      </w:r>
      <w:r w:rsidR="00885F0D">
        <w:rPr>
          <w:rFonts w:cs="Tahoma"/>
          <w:sz w:val="22"/>
          <w:szCs w:val="20"/>
        </w:rPr>
        <w:t>topic</w:t>
      </w:r>
      <w:r w:rsidR="00757CD0">
        <w:rPr>
          <w:rFonts w:cs="Tahoma"/>
          <w:sz w:val="22"/>
          <w:szCs w:val="20"/>
        </w:rPr>
        <w:t xml:space="preserve">(s) and work </w:t>
      </w:r>
      <w:r w:rsidR="00885F0D">
        <w:rPr>
          <w:rFonts w:cs="Tahoma"/>
          <w:sz w:val="22"/>
          <w:szCs w:val="20"/>
        </w:rPr>
        <w:t>agenda</w:t>
      </w:r>
      <w:r w:rsidR="00F06DB2">
        <w:rPr>
          <w:rFonts w:cs="Tahoma"/>
          <w:sz w:val="22"/>
          <w:szCs w:val="20"/>
        </w:rPr>
        <w:t>.</w:t>
      </w:r>
      <w:r w:rsidR="00081C9E">
        <w:rPr>
          <w:rFonts w:cs="Tahoma"/>
          <w:sz w:val="22"/>
          <w:szCs w:val="20"/>
        </w:rPr>
        <w:t xml:space="preserve"> The applicant may be a trainer or </w:t>
      </w:r>
      <w:r w:rsidR="008B2C7C">
        <w:rPr>
          <w:rFonts w:cs="Tahoma"/>
          <w:sz w:val="22"/>
          <w:szCs w:val="20"/>
        </w:rPr>
        <w:t xml:space="preserve">a </w:t>
      </w:r>
      <w:r w:rsidR="00081C9E">
        <w:rPr>
          <w:rFonts w:cs="Tahoma"/>
          <w:sz w:val="22"/>
          <w:szCs w:val="20"/>
        </w:rPr>
        <w:t>trainee in respect to the exchange at the host institution.</w:t>
      </w:r>
      <w:r w:rsidR="00F06DB2">
        <w:rPr>
          <w:rFonts w:cs="Tahoma"/>
          <w:sz w:val="22"/>
          <w:szCs w:val="20"/>
        </w:rPr>
        <w:t xml:space="preserve"> As such, the FWDE</w:t>
      </w:r>
      <w:r w:rsidR="00885F0D">
        <w:rPr>
          <w:rFonts w:cs="Tahoma"/>
          <w:sz w:val="22"/>
          <w:szCs w:val="20"/>
        </w:rPr>
        <w:t>E</w:t>
      </w:r>
      <w:r w:rsidR="00F06DB2">
        <w:rPr>
          <w:rFonts w:cs="Tahoma"/>
          <w:sz w:val="22"/>
          <w:szCs w:val="20"/>
        </w:rPr>
        <w:t xml:space="preserve">P is </w:t>
      </w:r>
      <w:r w:rsidR="008E6C9A">
        <w:rPr>
          <w:rFonts w:cs="Tahoma"/>
          <w:sz w:val="22"/>
          <w:szCs w:val="20"/>
        </w:rPr>
        <w:t>continuous</w:t>
      </w:r>
      <w:r w:rsidR="00F06DB2">
        <w:rPr>
          <w:rFonts w:cs="Tahoma"/>
          <w:sz w:val="22"/>
          <w:szCs w:val="20"/>
        </w:rPr>
        <w:t xml:space="preserve">ly “open” to applications, with all information available on the ECDC </w:t>
      </w:r>
      <w:r w:rsidR="00757CD0">
        <w:rPr>
          <w:rFonts w:cs="Tahoma"/>
          <w:sz w:val="22"/>
          <w:szCs w:val="20"/>
        </w:rPr>
        <w:t>website</w:t>
      </w:r>
      <w:r w:rsidR="00F06DB2">
        <w:rPr>
          <w:rFonts w:cs="Tahoma"/>
          <w:sz w:val="22"/>
          <w:szCs w:val="20"/>
        </w:rPr>
        <w:t xml:space="preserve">.  </w:t>
      </w:r>
    </w:p>
    <w:p w14:paraId="77193031" w14:textId="5F05FDA1" w:rsidR="00504624" w:rsidRPr="00AC77F4" w:rsidRDefault="00B53BEA" w:rsidP="00AC77F4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</w:t>
      </w:r>
      <w:r w:rsidR="0086164F">
        <w:rPr>
          <w:rFonts w:cs="Tahoma"/>
          <w:sz w:val="22"/>
          <w:szCs w:val="20"/>
        </w:rPr>
        <w:t>FWD</w:t>
      </w:r>
      <w:r w:rsidRPr="00AC77F4">
        <w:rPr>
          <w:rFonts w:cs="Tahoma"/>
          <w:sz w:val="22"/>
          <w:szCs w:val="20"/>
        </w:rPr>
        <w:t>EEP entails a</w:t>
      </w:r>
      <w:r w:rsidR="0086164F">
        <w:rPr>
          <w:rFonts w:cs="Tahoma"/>
          <w:sz w:val="22"/>
          <w:szCs w:val="20"/>
        </w:rPr>
        <w:t xml:space="preserve">n exchange of expertise through the </w:t>
      </w:r>
      <w:r w:rsidR="009A72D2">
        <w:rPr>
          <w:rFonts w:cs="Tahoma"/>
          <w:sz w:val="22"/>
          <w:szCs w:val="20"/>
        </w:rPr>
        <w:t xml:space="preserve">placement </w:t>
      </w:r>
      <w:r w:rsidRPr="00AC77F4">
        <w:rPr>
          <w:rFonts w:cs="Tahoma"/>
          <w:sz w:val="22"/>
          <w:szCs w:val="20"/>
        </w:rPr>
        <w:t xml:space="preserve">of </w:t>
      </w:r>
      <w:r w:rsidR="006E1911">
        <w:rPr>
          <w:rFonts w:cs="Tahoma"/>
          <w:sz w:val="22"/>
          <w:szCs w:val="20"/>
        </w:rPr>
        <w:t xml:space="preserve">a </w:t>
      </w:r>
      <w:r w:rsidRPr="00AC77F4">
        <w:rPr>
          <w:rFonts w:cs="Tahoma"/>
          <w:sz w:val="22"/>
          <w:szCs w:val="20"/>
        </w:rPr>
        <w:t xml:space="preserve">professional </w:t>
      </w:r>
      <w:r w:rsidR="009A72D2">
        <w:rPr>
          <w:rFonts w:cs="Tahoma"/>
          <w:sz w:val="22"/>
          <w:szCs w:val="20"/>
        </w:rPr>
        <w:t xml:space="preserve">from one </w:t>
      </w:r>
      <w:r w:rsidR="005E5B39">
        <w:rPr>
          <w:rFonts w:cs="Tahoma"/>
          <w:sz w:val="22"/>
          <w:szCs w:val="20"/>
        </w:rPr>
        <w:t>public health</w:t>
      </w:r>
      <w:r w:rsidR="009A72D2">
        <w:rPr>
          <w:rFonts w:cs="Tahoma"/>
          <w:sz w:val="22"/>
          <w:szCs w:val="20"/>
        </w:rPr>
        <w:t xml:space="preserve"> laboratory or</w:t>
      </w:r>
      <w:r w:rsidR="003C4E53">
        <w:rPr>
          <w:rFonts w:cs="Tahoma"/>
          <w:sz w:val="22"/>
          <w:szCs w:val="20"/>
        </w:rPr>
        <w:t xml:space="preserve"> public health</w:t>
      </w:r>
      <w:r w:rsidR="009A72D2">
        <w:rPr>
          <w:rFonts w:cs="Tahoma"/>
          <w:sz w:val="22"/>
          <w:szCs w:val="20"/>
        </w:rPr>
        <w:t xml:space="preserve"> institute</w:t>
      </w:r>
      <w:r w:rsidR="005E5B39">
        <w:rPr>
          <w:rFonts w:cs="Tahoma"/>
          <w:sz w:val="22"/>
          <w:szCs w:val="20"/>
        </w:rPr>
        <w:t xml:space="preserve"> at national, regional or local level</w:t>
      </w:r>
      <w:r w:rsidR="009A72D2">
        <w:rPr>
          <w:rFonts w:cs="Tahoma"/>
          <w:sz w:val="22"/>
          <w:szCs w:val="20"/>
        </w:rPr>
        <w:t xml:space="preserve"> </w:t>
      </w:r>
      <w:r w:rsidR="006E1911">
        <w:rPr>
          <w:rFonts w:cs="Tahoma"/>
          <w:sz w:val="22"/>
          <w:szCs w:val="20"/>
        </w:rPr>
        <w:t xml:space="preserve">to another </w:t>
      </w:r>
      <w:r w:rsidR="00D62ACF">
        <w:rPr>
          <w:rFonts w:cs="Tahoma"/>
          <w:sz w:val="22"/>
          <w:szCs w:val="20"/>
        </w:rPr>
        <w:t>public health</w:t>
      </w:r>
      <w:r w:rsidR="006E1911">
        <w:rPr>
          <w:rFonts w:cs="Tahoma"/>
          <w:sz w:val="22"/>
          <w:szCs w:val="20"/>
        </w:rPr>
        <w:t xml:space="preserve"> laboratory or </w:t>
      </w:r>
      <w:r w:rsidR="003C4E53">
        <w:rPr>
          <w:rFonts w:cs="Tahoma"/>
          <w:sz w:val="22"/>
          <w:szCs w:val="20"/>
        </w:rPr>
        <w:t xml:space="preserve">public health </w:t>
      </w:r>
      <w:r w:rsidR="006E1911">
        <w:rPr>
          <w:rFonts w:cs="Tahoma"/>
          <w:sz w:val="22"/>
          <w:szCs w:val="20"/>
        </w:rPr>
        <w:t>institute</w:t>
      </w:r>
      <w:r w:rsidR="005E5B39">
        <w:rPr>
          <w:rFonts w:cs="Tahoma"/>
          <w:sz w:val="22"/>
          <w:szCs w:val="20"/>
        </w:rPr>
        <w:t xml:space="preserve"> </w:t>
      </w:r>
      <w:r w:rsidR="006E1911">
        <w:rPr>
          <w:rFonts w:cs="Tahoma"/>
          <w:sz w:val="22"/>
          <w:szCs w:val="20"/>
        </w:rPr>
        <w:t>in the EU/EEA</w:t>
      </w:r>
      <w:r w:rsidRPr="00AC77F4">
        <w:rPr>
          <w:rFonts w:cs="Tahoma"/>
          <w:sz w:val="22"/>
          <w:szCs w:val="20"/>
        </w:rPr>
        <w:t xml:space="preserve">. </w:t>
      </w:r>
      <w:r w:rsidR="006E1911">
        <w:rPr>
          <w:rFonts w:cs="Tahoma"/>
          <w:sz w:val="22"/>
          <w:szCs w:val="20"/>
        </w:rPr>
        <w:t xml:space="preserve">An </w:t>
      </w:r>
      <w:r w:rsidRPr="00AC77F4">
        <w:rPr>
          <w:rFonts w:cs="Tahoma"/>
          <w:sz w:val="22"/>
          <w:szCs w:val="20"/>
        </w:rPr>
        <w:t>expert spend</w:t>
      </w:r>
      <w:r w:rsidR="0086164F">
        <w:rPr>
          <w:rFonts w:cs="Tahoma"/>
          <w:sz w:val="22"/>
          <w:szCs w:val="20"/>
        </w:rPr>
        <w:t>s</w:t>
      </w:r>
      <w:r w:rsidRPr="00AC77F4">
        <w:rPr>
          <w:rFonts w:cs="Tahoma"/>
          <w:sz w:val="22"/>
          <w:szCs w:val="20"/>
        </w:rPr>
        <w:t xml:space="preserve"> a </w:t>
      </w:r>
      <w:r w:rsidR="0086164F">
        <w:rPr>
          <w:rFonts w:cs="Tahoma"/>
          <w:sz w:val="22"/>
          <w:szCs w:val="20"/>
        </w:rPr>
        <w:t>designated time period (</w:t>
      </w:r>
      <w:r w:rsidRPr="00AC77F4">
        <w:rPr>
          <w:rFonts w:cs="Tahoma"/>
          <w:sz w:val="22"/>
          <w:szCs w:val="20"/>
        </w:rPr>
        <w:t>two to five days</w:t>
      </w:r>
      <w:r w:rsidR="0086164F">
        <w:rPr>
          <w:rFonts w:cs="Tahoma"/>
          <w:sz w:val="22"/>
          <w:szCs w:val="20"/>
        </w:rPr>
        <w:t>)</w:t>
      </w:r>
      <w:r w:rsidRPr="00AC77F4">
        <w:rPr>
          <w:rFonts w:cs="Tahoma"/>
          <w:sz w:val="22"/>
          <w:szCs w:val="20"/>
        </w:rPr>
        <w:t xml:space="preserve"> </w:t>
      </w:r>
      <w:r w:rsidR="0086164F">
        <w:rPr>
          <w:rFonts w:cs="Tahoma"/>
          <w:sz w:val="22"/>
          <w:szCs w:val="20"/>
        </w:rPr>
        <w:t xml:space="preserve">at a </w:t>
      </w:r>
      <w:r w:rsidRPr="00AC77F4">
        <w:rPr>
          <w:rFonts w:cs="Tahoma"/>
          <w:sz w:val="22"/>
          <w:szCs w:val="20"/>
        </w:rPr>
        <w:t>selected hosting site</w:t>
      </w:r>
      <w:r w:rsidR="0086164F">
        <w:rPr>
          <w:rFonts w:cs="Tahoma"/>
          <w:sz w:val="22"/>
          <w:szCs w:val="20"/>
        </w:rPr>
        <w:t xml:space="preserve"> based on an integrated </w:t>
      </w:r>
      <w:r w:rsidRPr="00AC77F4">
        <w:rPr>
          <w:rFonts w:cs="Tahoma"/>
          <w:sz w:val="22"/>
          <w:szCs w:val="20"/>
        </w:rPr>
        <w:t xml:space="preserve">on-the-job training principle. </w:t>
      </w:r>
      <w:r w:rsidR="006E1911">
        <w:rPr>
          <w:rFonts w:cs="Tahoma"/>
          <w:sz w:val="22"/>
          <w:szCs w:val="20"/>
        </w:rPr>
        <w:t xml:space="preserve">The </w:t>
      </w:r>
      <w:r w:rsidR="0086164F">
        <w:rPr>
          <w:rFonts w:cs="Tahoma"/>
          <w:sz w:val="22"/>
          <w:szCs w:val="20"/>
        </w:rPr>
        <w:t>applicant</w:t>
      </w:r>
      <w:r w:rsidR="006E1911">
        <w:rPr>
          <w:rFonts w:cs="Tahoma"/>
          <w:sz w:val="22"/>
          <w:szCs w:val="20"/>
        </w:rPr>
        <w:t xml:space="preserve"> must </w:t>
      </w:r>
      <w:r w:rsidRPr="00AC77F4">
        <w:rPr>
          <w:rFonts w:cs="Tahoma"/>
          <w:sz w:val="22"/>
          <w:szCs w:val="20"/>
        </w:rPr>
        <w:t xml:space="preserve">provide written </w:t>
      </w:r>
      <w:r w:rsidR="006E1911">
        <w:rPr>
          <w:rFonts w:cs="Tahoma"/>
          <w:sz w:val="22"/>
          <w:szCs w:val="20"/>
        </w:rPr>
        <w:t>support from the relevant National Focal Point</w:t>
      </w:r>
      <w:r w:rsidR="002F07A2">
        <w:rPr>
          <w:rFonts w:cs="Tahoma"/>
          <w:sz w:val="22"/>
          <w:szCs w:val="20"/>
        </w:rPr>
        <w:t xml:space="preserve"> (NFP) or National Coordinator (NC)</w:t>
      </w:r>
      <w:r w:rsidR="006E1911">
        <w:rPr>
          <w:rFonts w:cs="Tahoma"/>
          <w:sz w:val="22"/>
          <w:szCs w:val="20"/>
        </w:rPr>
        <w:t xml:space="preserve"> of his/her country, as well as a formal </w:t>
      </w:r>
      <w:r w:rsidRPr="00AC77F4">
        <w:rPr>
          <w:rFonts w:cs="Tahoma"/>
          <w:sz w:val="22"/>
          <w:szCs w:val="20"/>
        </w:rPr>
        <w:t>acceptance by the hosting site.</w:t>
      </w:r>
      <w:r w:rsidR="00504624" w:rsidRPr="00AC77F4">
        <w:rPr>
          <w:rFonts w:cs="Tahoma"/>
          <w:sz w:val="22"/>
          <w:szCs w:val="20"/>
        </w:rPr>
        <w:t xml:space="preserve"> ECDC w</w:t>
      </w:r>
      <w:r w:rsidR="0086164F">
        <w:rPr>
          <w:rFonts w:cs="Tahoma"/>
          <w:sz w:val="22"/>
          <w:szCs w:val="20"/>
        </w:rPr>
        <w:t>ill</w:t>
      </w:r>
      <w:r w:rsidR="00504624" w:rsidRPr="00AC77F4">
        <w:rPr>
          <w:rFonts w:cs="Tahoma"/>
          <w:sz w:val="22"/>
          <w:szCs w:val="20"/>
        </w:rPr>
        <w:t xml:space="preserve"> </w:t>
      </w:r>
      <w:r w:rsidR="009A72D2">
        <w:rPr>
          <w:rFonts w:cs="Tahoma"/>
          <w:sz w:val="22"/>
          <w:szCs w:val="20"/>
        </w:rPr>
        <w:t xml:space="preserve">then </w:t>
      </w:r>
      <w:r w:rsidR="00504624" w:rsidRPr="00AC77F4">
        <w:rPr>
          <w:rFonts w:cs="Tahoma"/>
          <w:sz w:val="22"/>
          <w:szCs w:val="20"/>
        </w:rPr>
        <w:t xml:space="preserve">organise and cover the logistical costs of </w:t>
      </w:r>
      <w:r w:rsidR="006E1911">
        <w:rPr>
          <w:rFonts w:cs="Tahoma"/>
          <w:sz w:val="22"/>
          <w:szCs w:val="20"/>
        </w:rPr>
        <w:t>the visit</w:t>
      </w:r>
      <w:r w:rsidR="00504624" w:rsidRPr="00AC77F4">
        <w:rPr>
          <w:rFonts w:cs="Tahoma"/>
          <w:sz w:val="22"/>
          <w:szCs w:val="20"/>
        </w:rPr>
        <w:t xml:space="preserve">, as well as provide the </w:t>
      </w:r>
      <w:r w:rsidR="0086164F">
        <w:rPr>
          <w:rFonts w:cs="Tahoma"/>
          <w:sz w:val="22"/>
          <w:szCs w:val="20"/>
        </w:rPr>
        <w:t>applicant</w:t>
      </w:r>
      <w:r w:rsidR="00504624" w:rsidRPr="00AC77F4">
        <w:rPr>
          <w:rFonts w:cs="Tahoma"/>
          <w:sz w:val="22"/>
          <w:szCs w:val="20"/>
        </w:rPr>
        <w:t xml:space="preserve"> with a per diem, </w:t>
      </w:r>
      <w:r w:rsidR="006E1911">
        <w:rPr>
          <w:rFonts w:cs="Tahoma"/>
          <w:sz w:val="22"/>
          <w:szCs w:val="20"/>
        </w:rPr>
        <w:t xml:space="preserve">all </w:t>
      </w:r>
      <w:r w:rsidR="00504624" w:rsidRPr="00AC77F4">
        <w:rPr>
          <w:rFonts w:cs="Tahoma"/>
          <w:sz w:val="22"/>
          <w:szCs w:val="20"/>
        </w:rPr>
        <w:t xml:space="preserve">pending the </w:t>
      </w:r>
      <w:r w:rsidR="006E1911">
        <w:rPr>
          <w:rFonts w:cs="Tahoma"/>
          <w:sz w:val="22"/>
          <w:szCs w:val="20"/>
        </w:rPr>
        <w:t xml:space="preserve">success of the </w:t>
      </w:r>
      <w:r w:rsidR="00504624" w:rsidRPr="00AC77F4">
        <w:rPr>
          <w:rFonts w:cs="Tahoma"/>
          <w:sz w:val="22"/>
          <w:szCs w:val="20"/>
        </w:rPr>
        <w:t xml:space="preserve">application and </w:t>
      </w:r>
      <w:r w:rsidR="006E1911">
        <w:rPr>
          <w:rFonts w:cs="Tahoma"/>
          <w:sz w:val="22"/>
          <w:szCs w:val="20"/>
        </w:rPr>
        <w:t xml:space="preserve">subsequent </w:t>
      </w:r>
      <w:r w:rsidR="00504624" w:rsidRPr="00AC77F4">
        <w:rPr>
          <w:rFonts w:cs="Tahoma"/>
          <w:sz w:val="22"/>
          <w:szCs w:val="20"/>
        </w:rPr>
        <w:t xml:space="preserve">budgetary approval. No direct compensation </w:t>
      </w:r>
      <w:r w:rsidR="006E1911">
        <w:rPr>
          <w:rFonts w:cs="Tahoma"/>
          <w:sz w:val="22"/>
          <w:szCs w:val="20"/>
        </w:rPr>
        <w:t xml:space="preserve">will be given to </w:t>
      </w:r>
      <w:r w:rsidR="00504624" w:rsidRPr="00AC77F4">
        <w:rPr>
          <w:rFonts w:cs="Tahoma"/>
          <w:sz w:val="22"/>
          <w:szCs w:val="20"/>
        </w:rPr>
        <w:t>hosting sites</w:t>
      </w:r>
      <w:r w:rsidR="00D62ACF">
        <w:rPr>
          <w:rFonts w:cs="Tahoma"/>
          <w:sz w:val="22"/>
          <w:szCs w:val="20"/>
        </w:rPr>
        <w:t>.</w:t>
      </w:r>
    </w:p>
    <w:p w14:paraId="1C5ACFA6" w14:textId="6D5457A6" w:rsidR="00B53BEA" w:rsidRPr="00AC77F4" w:rsidRDefault="007B0D07" w:rsidP="00AC77F4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>
        <w:rPr>
          <w:rFonts w:cs="Tahoma"/>
          <w:sz w:val="22"/>
          <w:szCs w:val="20"/>
        </w:rPr>
        <w:t xml:space="preserve">Each visit should be </w:t>
      </w:r>
      <w:r w:rsidR="00B53BEA" w:rsidRPr="00AC77F4">
        <w:rPr>
          <w:rFonts w:cs="Tahoma"/>
          <w:sz w:val="22"/>
          <w:szCs w:val="20"/>
        </w:rPr>
        <w:t xml:space="preserve">organised around one or </w:t>
      </w:r>
      <w:r w:rsidR="00402905">
        <w:rPr>
          <w:rFonts w:cs="Tahoma"/>
          <w:sz w:val="22"/>
          <w:szCs w:val="20"/>
        </w:rPr>
        <w:t xml:space="preserve">a few </w:t>
      </w:r>
      <w:r w:rsidR="00B53BEA" w:rsidRPr="00AC77F4">
        <w:rPr>
          <w:rFonts w:cs="Tahoma"/>
          <w:sz w:val="22"/>
          <w:szCs w:val="20"/>
        </w:rPr>
        <w:t>specific topic</w:t>
      </w:r>
      <w:r w:rsidR="00CA1CE2">
        <w:rPr>
          <w:rFonts w:cs="Tahoma"/>
          <w:sz w:val="22"/>
          <w:szCs w:val="20"/>
        </w:rPr>
        <w:t>(</w:t>
      </w:r>
      <w:r w:rsidR="00B53BEA" w:rsidRPr="00AC77F4">
        <w:rPr>
          <w:rFonts w:cs="Tahoma"/>
          <w:sz w:val="22"/>
          <w:szCs w:val="20"/>
        </w:rPr>
        <w:t>s</w:t>
      </w:r>
      <w:r w:rsidR="00CA1CE2">
        <w:rPr>
          <w:rFonts w:cs="Tahoma"/>
          <w:sz w:val="22"/>
          <w:szCs w:val="20"/>
        </w:rPr>
        <w:t>)</w:t>
      </w:r>
      <w:r w:rsidR="00ED3328">
        <w:rPr>
          <w:rFonts w:cs="Tahoma"/>
          <w:sz w:val="22"/>
          <w:szCs w:val="20"/>
        </w:rPr>
        <w:t>,</w:t>
      </w:r>
      <w:r w:rsidR="00B53BEA" w:rsidRPr="00AC77F4">
        <w:rPr>
          <w:rFonts w:cs="Tahoma"/>
          <w:sz w:val="22"/>
          <w:szCs w:val="20"/>
        </w:rPr>
        <w:t xml:space="preserve"> </w:t>
      </w:r>
      <w:r w:rsidR="00CA1CE2">
        <w:rPr>
          <w:rFonts w:cs="Tahoma"/>
          <w:sz w:val="22"/>
          <w:szCs w:val="20"/>
        </w:rPr>
        <w:t>which are identifiable as gaps</w:t>
      </w:r>
      <w:r w:rsidR="00402905">
        <w:rPr>
          <w:rFonts w:cs="Tahoma"/>
          <w:sz w:val="22"/>
          <w:szCs w:val="20"/>
        </w:rPr>
        <w:t xml:space="preserve"> or problems</w:t>
      </w:r>
      <w:r w:rsidR="00CA1CE2">
        <w:rPr>
          <w:rFonts w:cs="Tahoma"/>
          <w:sz w:val="22"/>
          <w:szCs w:val="20"/>
        </w:rPr>
        <w:t xml:space="preserve"> in the applicant’s home country</w:t>
      </w:r>
      <w:r w:rsidR="00402905">
        <w:rPr>
          <w:rFonts w:cs="Tahoma"/>
          <w:sz w:val="22"/>
          <w:szCs w:val="20"/>
        </w:rPr>
        <w:t xml:space="preserve"> (trainee applicant) or at the host institution (trainer applicant)</w:t>
      </w:r>
      <w:r w:rsidR="00B53BEA" w:rsidRPr="00AC77F4">
        <w:rPr>
          <w:rFonts w:cs="Tahoma"/>
          <w:sz w:val="22"/>
          <w:szCs w:val="20"/>
        </w:rPr>
        <w:t xml:space="preserve">. The </w:t>
      </w:r>
      <w:r w:rsidR="00CA1CE2">
        <w:rPr>
          <w:rFonts w:cs="Tahoma"/>
          <w:sz w:val="22"/>
          <w:szCs w:val="20"/>
        </w:rPr>
        <w:t xml:space="preserve">successful </w:t>
      </w:r>
      <w:r w:rsidR="00402905">
        <w:rPr>
          <w:rFonts w:cs="Tahoma"/>
          <w:sz w:val="22"/>
          <w:szCs w:val="20"/>
        </w:rPr>
        <w:t>applicant and host institution</w:t>
      </w:r>
      <w:r w:rsidR="00D62ACF">
        <w:rPr>
          <w:rFonts w:cs="Tahoma"/>
          <w:sz w:val="22"/>
          <w:szCs w:val="20"/>
        </w:rPr>
        <w:t xml:space="preserve"> in case of trouble-shooting </w:t>
      </w:r>
      <w:r w:rsidR="00D62ACF">
        <w:rPr>
          <w:rFonts w:cs="Tahoma"/>
          <w:sz w:val="22"/>
          <w:szCs w:val="20"/>
        </w:rPr>
        <w:lastRenderedPageBreak/>
        <w:t>support</w:t>
      </w:r>
      <w:r w:rsidR="00CA1CE2">
        <w:rPr>
          <w:rFonts w:cs="Tahoma"/>
          <w:sz w:val="22"/>
          <w:szCs w:val="20"/>
        </w:rPr>
        <w:t xml:space="preserve"> </w:t>
      </w:r>
      <w:r w:rsidR="00402905">
        <w:rPr>
          <w:rFonts w:cs="Tahoma"/>
          <w:sz w:val="22"/>
          <w:szCs w:val="20"/>
        </w:rPr>
        <w:t>are</w:t>
      </w:r>
      <w:r w:rsidR="00B53BEA" w:rsidRPr="00AC77F4">
        <w:rPr>
          <w:rFonts w:cs="Tahoma"/>
          <w:sz w:val="22"/>
          <w:szCs w:val="20"/>
        </w:rPr>
        <w:t xml:space="preserve"> expected to cascade newly gained knowledge to </w:t>
      </w:r>
      <w:r w:rsidR="00402905">
        <w:rPr>
          <w:rFonts w:cs="Tahoma"/>
          <w:sz w:val="22"/>
          <w:szCs w:val="20"/>
        </w:rPr>
        <w:t>their</w:t>
      </w:r>
      <w:r w:rsidR="00B53BEA" w:rsidRPr="00AC77F4">
        <w:rPr>
          <w:rFonts w:cs="Tahoma"/>
          <w:sz w:val="22"/>
          <w:szCs w:val="20"/>
        </w:rPr>
        <w:t xml:space="preserve"> colleagues </w:t>
      </w:r>
      <w:r w:rsidR="00402905">
        <w:rPr>
          <w:rFonts w:cs="Tahoma"/>
          <w:sz w:val="22"/>
          <w:szCs w:val="20"/>
        </w:rPr>
        <w:t xml:space="preserve">with </w:t>
      </w:r>
      <w:r w:rsidR="00CA1CE2">
        <w:rPr>
          <w:rFonts w:cs="Tahoma"/>
          <w:sz w:val="22"/>
          <w:szCs w:val="20"/>
        </w:rPr>
        <w:t xml:space="preserve">the desired effect of </w:t>
      </w:r>
      <w:r w:rsidR="00B53BEA" w:rsidRPr="00AC77F4">
        <w:rPr>
          <w:rFonts w:cs="Tahoma"/>
          <w:sz w:val="22"/>
          <w:szCs w:val="20"/>
        </w:rPr>
        <w:t>significant</w:t>
      </w:r>
      <w:r w:rsidR="00CA1CE2">
        <w:rPr>
          <w:rFonts w:cs="Tahoma"/>
          <w:sz w:val="22"/>
          <w:szCs w:val="20"/>
        </w:rPr>
        <w:t>ly</w:t>
      </w:r>
      <w:r w:rsidR="00B53BEA" w:rsidRPr="00AC77F4">
        <w:rPr>
          <w:rFonts w:cs="Tahoma"/>
          <w:sz w:val="22"/>
          <w:szCs w:val="20"/>
        </w:rPr>
        <w:t xml:space="preserve"> improving </w:t>
      </w:r>
      <w:r w:rsidR="007B1520">
        <w:rPr>
          <w:rFonts w:cs="Tahoma"/>
          <w:sz w:val="22"/>
          <w:szCs w:val="20"/>
        </w:rPr>
        <w:t>c</w:t>
      </w:r>
      <w:r w:rsidR="00D62ACF">
        <w:rPr>
          <w:rFonts w:cs="Tahoma"/>
          <w:sz w:val="22"/>
          <w:szCs w:val="20"/>
        </w:rPr>
        <w:t>ompetence</w:t>
      </w:r>
      <w:r w:rsidR="003A0E8B">
        <w:rPr>
          <w:rFonts w:cs="Tahoma"/>
          <w:sz w:val="22"/>
          <w:szCs w:val="20"/>
        </w:rPr>
        <w:t xml:space="preserve"> in th</w:t>
      </w:r>
      <w:r w:rsidR="00402905">
        <w:rPr>
          <w:rFonts w:cs="Tahoma"/>
          <w:sz w:val="22"/>
          <w:szCs w:val="20"/>
        </w:rPr>
        <w:t xml:space="preserve">e topic </w:t>
      </w:r>
      <w:r w:rsidR="003A0E8B">
        <w:rPr>
          <w:rFonts w:cs="Tahoma"/>
          <w:sz w:val="22"/>
          <w:szCs w:val="20"/>
        </w:rPr>
        <w:t>area</w:t>
      </w:r>
      <w:r w:rsidR="00402905">
        <w:rPr>
          <w:rFonts w:cs="Tahoma"/>
          <w:sz w:val="22"/>
          <w:szCs w:val="20"/>
        </w:rPr>
        <w:t>s</w:t>
      </w:r>
      <w:r w:rsidR="003A0E8B">
        <w:rPr>
          <w:rFonts w:cs="Tahoma"/>
          <w:sz w:val="22"/>
          <w:szCs w:val="20"/>
        </w:rPr>
        <w:t>.</w:t>
      </w:r>
      <w:r w:rsidR="00B53BEA" w:rsidRPr="00AC77F4">
        <w:rPr>
          <w:rFonts w:cs="Tahoma"/>
          <w:sz w:val="22"/>
          <w:szCs w:val="20"/>
        </w:rPr>
        <w:t xml:space="preserve"> </w:t>
      </w:r>
    </w:p>
    <w:p w14:paraId="4C946360" w14:textId="1B28C0E4" w:rsidR="00A2365D" w:rsidRDefault="00300686" w:rsidP="00AC77F4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At the end of the </w:t>
      </w:r>
      <w:r w:rsidR="00580CDC">
        <w:rPr>
          <w:rFonts w:cs="Tahoma"/>
          <w:sz w:val="22"/>
          <w:szCs w:val="20"/>
        </w:rPr>
        <w:t>visit</w:t>
      </w:r>
      <w:r w:rsidR="00427B5B">
        <w:rPr>
          <w:rFonts w:cs="Tahoma"/>
          <w:sz w:val="22"/>
          <w:szCs w:val="20"/>
        </w:rPr>
        <w:t>,</w:t>
      </w:r>
      <w:r w:rsidR="00580CDC">
        <w:rPr>
          <w:rFonts w:cs="Tahoma"/>
          <w:sz w:val="22"/>
          <w:szCs w:val="20"/>
        </w:rPr>
        <w:t xml:space="preserve"> </w:t>
      </w:r>
      <w:r w:rsidR="002F3211">
        <w:rPr>
          <w:rFonts w:cs="Tahoma"/>
          <w:sz w:val="22"/>
          <w:szCs w:val="20"/>
        </w:rPr>
        <w:t xml:space="preserve">the expert </w:t>
      </w:r>
      <w:r w:rsidR="001A2B77" w:rsidRPr="00AC77F4">
        <w:rPr>
          <w:rFonts w:cs="Tahoma"/>
          <w:sz w:val="22"/>
          <w:szCs w:val="20"/>
        </w:rPr>
        <w:t xml:space="preserve">is expected to </w:t>
      </w:r>
      <w:r w:rsidRPr="00AC77F4">
        <w:rPr>
          <w:rFonts w:cs="Tahoma"/>
          <w:sz w:val="22"/>
          <w:szCs w:val="20"/>
        </w:rPr>
        <w:t xml:space="preserve">submit a </w:t>
      </w:r>
      <w:r w:rsidR="00427B5B">
        <w:rPr>
          <w:rFonts w:cs="Tahoma"/>
          <w:sz w:val="22"/>
          <w:szCs w:val="20"/>
        </w:rPr>
        <w:t xml:space="preserve">short </w:t>
      </w:r>
      <w:r w:rsidRPr="00AC77F4">
        <w:rPr>
          <w:rFonts w:cs="Tahoma"/>
          <w:sz w:val="22"/>
          <w:szCs w:val="20"/>
        </w:rPr>
        <w:t>report of the exchange</w:t>
      </w:r>
      <w:r w:rsidR="002F35D4">
        <w:rPr>
          <w:rFonts w:cs="Tahoma"/>
          <w:sz w:val="22"/>
          <w:szCs w:val="20"/>
        </w:rPr>
        <w:t>, as per the FWDE</w:t>
      </w:r>
      <w:r w:rsidR="00580CDC">
        <w:rPr>
          <w:rFonts w:cs="Tahoma"/>
          <w:sz w:val="22"/>
          <w:szCs w:val="20"/>
        </w:rPr>
        <w:t>E</w:t>
      </w:r>
      <w:r w:rsidR="002F35D4">
        <w:rPr>
          <w:rFonts w:cs="Tahoma"/>
          <w:sz w:val="22"/>
          <w:szCs w:val="20"/>
        </w:rPr>
        <w:t xml:space="preserve">P </w:t>
      </w:r>
      <w:r w:rsidR="00580CDC">
        <w:rPr>
          <w:rFonts w:cs="Tahoma"/>
          <w:sz w:val="22"/>
          <w:szCs w:val="20"/>
        </w:rPr>
        <w:t>report template</w:t>
      </w:r>
      <w:r w:rsidR="001A2B77" w:rsidRPr="00AC77F4">
        <w:rPr>
          <w:rFonts w:cs="Tahoma"/>
          <w:sz w:val="22"/>
          <w:szCs w:val="20"/>
        </w:rPr>
        <w:t xml:space="preserve">. This report will summarise the </w:t>
      </w:r>
      <w:r w:rsidR="009A72D2">
        <w:rPr>
          <w:rFonts w:cs="Tahoma"/>
          <w:sz w:val="22"/>
          <w:szCs w:val="20"/>
        </w:rPr>
        <w:t>experience</w:t>
      </w:r>
      <w:r w:rsidR="000861EC" w:rsidRPr="00AC77F4">
        <w:rPr>
          <w:rFonts w:cs="Tahoma"/>
          <w:sz w:val="22"/>
          <w:szCs w:val="20"/>
        </w:rPr>
        <w:t xml:space="preserve">, outlining its </w:t>
      </w:r>
      <w:r w:rsidR="00240892" w:rsidRPr="00AC77F4">
        <w:rPr>
          <w:rFonts w:cs="Tahoma"/>
          <w:sz w:val="22"/>
          <w:szCs w:val="20"/>
        </w:rPr>
        <w:t>scope and topics and d</w:t>
      </w:r>
      <w:r w:rsidR="002F35D4">
        <w:rPr>
          <w:rFonts w:cs="Tahoma"/>
          <w:sz w:val="22"/>
          <w:szCs w:val="20"/>
        </w:rPr>
        <w:t xml:space="preserve">etailing </w:t>
      </w:r>
      <w:r w:rsidR="00240892" w:rsidRPr="00AC77F4">
        <w:rPr>
          <w:rFonts w:cs="Tahoma"/>
          <w:sz w:val="22"/>
          <w:szCs w:val="20"/>
        </w:rPr>
        <w:t>the</w:t>
      </w:r>
      <w:r w:rsidR="00F50818" w:rsidRPr="00AC77F4">
        <w:rPr>
          <w:rFonts w:cs="Tahoma"/>
          <w:sz w:val="22"/>
          <w:szCs w:val="20"/>
        </w:rPr>
        <w:t xml:space="preserve"> outcomes and</w:t>
      </w:r>
      <w:r w:rsidR="00240892" w:rsidRPr="00AC77F4">
        <w:rPr>
          <w:rFonts w:cs="Tahoma"/>
          <w:sz w:val="22"/>
          <w:szCs w:val="20"/>
        </w:rPr>
        <w:t xml:space="preserve"> skills that wer</w:t>
      </w:r>
      <w:r w:rsidR="00C92E9F" w:rsidRPr="00AC77F4">
        <w:rPr>
          <w:rFonts w:cs="Tahoma"/>
          <w:sz w:val="22"/>
          <w:szCs w:val="20"/>
        </w:rPr>
        <w:t>e acquired</w:t>
      </w:r>
      <w:r w:rsidR="002F35D4">
        <w:rPr>
          <w:rFonts w:cs="Tahoma"/>
          <w:sz w:val="22"/>
          <w:szCs w:val="20"/>
        </w:rPr>
        <w:t>,</w:t>
      </w:r>
      <w:r w:rsidR="00C92E9F" w:rsidRPr="00AC77F4">
        <w:rPr>
          <w:rFonts w:cs="Tahoma"/>
          <w:sz w:val="22"/>
          <w:szCs w:val="20"/>
        </w:rPr>
        <w:t xml:space="preserve"> </w:t>
      </w:r>
      <w:r w:rsidR="000E0851">
        <w:rPr>
          <w:rFonts w:cs="Tahoma"/>
          <w:sz w:val="22"/>
          <w:szCs w:val="20"/>
        </w:rPr>
        <w:t xml:space="preserve">problems that were addressed; </w:t>
      </w:r>
      <w:r w:rsidR="00C92E9F" w:rsidRPr="00AC77F4">
        <w:rPr>
          <w:rFonts w:cs="Tahoma"/>
          <w:sz w:val="22"/>
          <w:szCs w:val="20"/>
        </w:rPr>
        <w:t>thereby</w:t>
      </w:r>
      <w:r w:rsidR="00E26158" w:rsidRPr="00AC77F4">
        <w:rPr>
          <w:rFonts w:cs="Tahoma"/>
          <w:sz w:val="22"/>
          <w:szCs w:val="20"/>
        </w:rPr>
        <w:t xml:space="preserve"> highlighting how the knowledge and learning objectives </w:t>
      </w:r>
      <w:r w:rsidR="00E66819" w:rsidRPr="00AC77F4">
        <w:rPr>
          <w:rFonts w:cs="Tahoma"/>
          <w:sz w:val="22"/>
          <w:szCs w:val="20"/>
        </w:rPr>
        <w:t>were met. It will conclude by explaining how the skills and knowledge gained through the exchange will be</w:t>
      </w:r>
      <w:r w:rsidR="000E0851">
        <w:rPr>
          <w:rFonts w:cs="Tahoma"/>
          <w:sz w:val="22"/>
          <w:szCs w:val="20"/>
        </w:rPr>
        <w:t xml:space="preserve"> incorporated into the relevant </w:t>
      </w:r>
      <w:r w:rsidR="008E407F" w:rsidRPr="00AC77F4">
        <w:rPr>
          <w:rFonts w:cs="Tahoma"/>
          <w:sz w:val="22"/>
          <w:szCs w:val="20"/>
        </w:rPr>
        <w:t>institution</w:t>
      </w:r>
      <w:r w:rsidR="000E0851">
        <w:rPr>
          <w:rFonts w:cs="Tahoma"/>
          <w:sz w:val="22"/>
          <w:szCs w:val="20"/>
        </w:rPr>
        <w:t>(s)</w:t>
      </w:r>
      <w:r w:rsidR="008E407F" w:rsidRPr="00AC77F4">
        <w:rPr>
          <w:rFonts w:cs="Tahoma"/>
          <w:sz w:val="22"/>
          <w:szCs w:val="20"/>
        </w:rPr>
        <w:t xml:space="preserve"> </w:t>
      </w:r>
      <w:r w:rsidR="00427B5B">
        <w:rPr>
          <w:rFonts w:cs="Tahoma"/>
          <w:sz w:val="22"/>
          <w:szCs w:val="20"/>
        </w:rPr>
        <w:t>in</w:t>
      </w:r>
      <w:r w:rsidR="008E407F" w:rsidRPr="00AC77F4">
        <w:rPr>
          <w:rFonts w:cs="Tahoma"/>
          <w:sz w:val="22"/>
          <w:szCs w:val="20"/>
        </w:rPr>
        <w:t xml:space="preserve"> </w:t>
      </w:r>
      <w:r w:rsidR="00427B5B">
        <w:rPr>
          <w:rFonts w:cs="Tahoma"/>
          <w:sz w:val="22"/>
          <w:szCs w:val="20"/>
        </w:rPr>
        <w:t xml:space="preserve">the </w:t>
      </w:r>
      <w:r w:rsidR="008E407F" w:rsidRPr="00AC77F4">
        <w:rPr>
          <w:rFonts w:cs="Tahoma"/>
          <w:sz w:val="22"/>
          <w:szCs w:val="20"/>
        </w:rPr>
        <w:t xml:space="preserve">Member State. </w:t>
      </w:r>
    </w:p>
    <w:p w14:paraId="211D3594" w14:textId="53E0668A" w:rsidR="00B53BEA" w:rsidRPr="00AC77F4" w:rsidRDefault="001E10E3" w:rsidP="00B53BEA">
      <w:pPr>
        <w:pStyle w:val="EC-Title-4"/>
        <w:spacing w:line="276" w:lineRule="auto"/>
        <w:jc w:val="both"/>
        <w:rPr>
          <w:sz w:val="22"/>
          <w:szCs w:val="20"/>
          <w:lang w:val="en-US" w:bidi="en-US"/>
        </w:rPr>
      </w:pPr>
      <w:r w:rsidRPr="00AC77F4">
        <w:rPr>
          <w:sz w:val="22"/>
          <w:szCs w:val="20"/>
          <w:lang w:val="en-US" w:bidi="en-US"/>
        </w:rPr>
        <w:t xml:space="preserve">General criteria for experts to participate in </w:t>
      </w:r>
      <w:r w:rsidR="00A36ADB">
        <w:rPr>
          <w:sz w:val="22"/>
          <w:szCs w:val="20"/>
          <w:lang w:val="en-US" w:bidi="en-US"/>
        </w:rPr>
        <w:t>FWD</w:t>
      </w:r>
      <w:r w:rsidRPr="00AC77F4">
        <w:rPr>
          <w:sz w:val="22"/>
          <w:szCs w:val="20"/>
          <w:lang w:val="en-US" w:bidi="en-US"/>
        </w:rPr>
        <w:t>EEP</w:t>
      </w:r>
    </w:p>
    <w:p w14:paraId="789D2F33" w14:textId="7A5E75FD" w:rsidR="0057252E" w:rsidRPr="00AC77F4" w:rsidRDefault="00B53BEA" w:rsidP="00B53BEA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FWDEEP is open to all </w:t>
      </w:r>
      <w:r w:rsidR="0057252E" w:rsidRPr="00AC77F4">
        <w:rPr>
          <w:rFonts w:cs="Tahoma"/>
          <w:sz w:val="22"/>
          <w:szCs w:val="20"/>
        </w:rPr>
        <w:t xml:space="preserve">technical experts working in an EU/EEA public health institute or laboratory at </w:t>
      </w:r>
      <w:r w:rsidRPr="00AC77F4">
        <w:rPr>
          <w:rFonts w:cs="Tahoma"/>
          <w:sz w:val="22"/>
          <w:szCs w:val="20"/>
        </w:rPr>
        <w:t>the national, regional or local level</w:t>
      </w:r>
      <w:r w:rsidR="00256E98">
        <w:rPr>
          <w:rFonts w:cs="Tahoma"/>
          <w:sz w:val="22"/>
          <w:szCs w:val="20"/>
        </w:rPr>
        <w:t xml:space="preserve"> but the applicant must </w:t>
      </w:r>
      <w:r w:rsidR="00256E98" w:rsidRPr="00AC77F4">
        <w:rPr>
          <w:rFonts w:cs="Tahoma"/>
          <w:sz w:val="22"/>
          <w:szCs w:val="20"/>
        </w:rPr>
        <w:t xml:space="preserve">provide written </w:t>
      </w:r>
      <w:r w:rsidR="00256E98">
        <w:rPr>
          <w:rFonts w:cs="Tahoma"/>
          <w:sz w:val="22"/>
          <w:szCs w:val="20"/>
        </w:rPr>
        <w:t>support from the relevant National Focal Point (NFP) or National Coordinator (NC) of his/her country.</w:t>
      </w:r>
      <w:r w:rsidR="0057252E" w:rsidRPr="00AC77F4">
        <w:rPr>
          <w:rFonts w:cs="Tahoma"/>
          <w:sz w:val="22"/>
          <w:szCs w:val="20"/>
        </w:rPr>
        <w:t xml:space="preserve"> </w:t>
      </w:r>
    </w:p>
    <w:p w14:paraId="4128BFD2" w14:textId="69E3ACD3" w:rsidR="0057667F" w:rsidRPr="00AC77F4" w:rsidRDefault="00C149A8" w:rsidP="00B53BEA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host institute of the exchange must </w:t>
      </w:r>
      <w:r w:rsidR="00A36ADB">
        <w:rPr>
          <w:rFonts w:cs="Tahoma"/>
          <w:sz w:val="22"/>
          <w:szCs w:val="20"/>
        </w:rPr>
        <w:t xml:space="preserve">be </w:t>
      </w:r>
      <w:r w:rsidR="00256E98">
        <w:rPr>
          <w:rFonts w:cs="Tahoma"/>
          <w:sz w:val="22"/>
          <w:szCs w:val="20"/>
        </w:rPr>
        <w:t xml:space="preserve">a </w:t>
      </w:r>
      <w:r w:rsidR="0057667F" w:rsidRPr="00AC77F4">
        <w:rPr>
          <w:rFonts w:cs="Tahoma"/>
          <w:sz w:val="22"/>
          <w:szCs w:val="20"/>
        </w:rPr>
        <w:t>Member State</w:t>
      </w:r>
      <w:r w:rsidR="00256E98">
        <w:rPr>
          <w:rFonts w:cs="Tahoma"/>
          <w:sz w:val="22"/>
          <w:szCs w:val="20"/>
        </w:rPr>
        <w:t>’s</w:t>
      </w:r>
      <w:r w:rsidR="0057667F" w:rsidRPr="00AC77F4">
        <w:rPr>
          <w:rFonts w:cs="Tahoma"/>
          <w:sz w:val="22"/>
          <w:szCs w:val="20"/>
        </w:rPr>
        <w:t xml:space="preserve"> public health entity, for instance a public health institute or a public health laboratory.</w:t>
      </w:r>
      <w:r w:rsidR="0004722A">
        <w:rPr>
          <w:rFonts w:cs="Tahoma"/>
          <w:sz w:val="22"/>
          <w:szCs w:val="20"/>
        </w:rPr>
        <w:t xml:space="preserve"> A free-format formal </w:t>
      </w:r>
      <w:r w:rsidR="0004722A" w:rsidRPr="00AC77F4">
        <w:rPr>
          <w:rFonts w:cs="Tahoma"/>
          <w:sz w:val="22"/>
          <w:szCs w:val="20"/>
        </w:rPr>
        <w:t>acceptance by the hosting site</w:t>
      </w:r>
      <w:r w:rsidR="0057667F" w:rsidRPr="00AC77F4">
        <w:rPr>
          <w:rFonts w:cs="Tahoma"/>
          <w:sz w:val="22"/>
          <w:szCs w:val="20"/>
        </w:rPr>
        <w:t xml:space="preserve"> </w:t>
      </w:r>
      <w:r w:rsidR="0004722A">
        <w:rPr>
          <w:rFonts w:cs="Tahoma"/>
          <w:sz w:val="22"/>
          <w:szCs w:val="20"/>
        </w:rPr>
        <w:t>is needed.</w:t>
      </w:r>
    </w:p>
    <w:p w14:paraId="5353C4B6" w14:textId="30D127C9" w:rsidR="00B53BEA" w:rsidRPr="00AC77F4" w:rsidRDefault="0057252E" w:rsidP="00B53BEA">
      <w:pPr>
        <w:pStyle w:val="EC-Para"/>
        <w:spacing w:after="240"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area of expertise of the selected expert </w:t>
      </w:r>
      <w:r w:rsidR="000D07C4" w:rsidRPr="00AC77F4">
        <w:rPr>
          <w:rFonts w:cs="Tahoma"/>
          <w:sz w:val="22"/>
          <w:szCs w:val="20"/>
        </w:rPr>
        <w:t xml:space="preserve">should </w:t>
      </w:r>
      <w:r w:rsidRPr="00AC77F4">
        <w:rPr>
          <w:rFonts w:cs="Tahoma"/>
          <w:sz w:val="22"/>
          <w:szCs w:val="20"/>
        </w:rPr>
        <w:t>include</w:t>
      </w:r>
      <w:r w:rsidR="00B53BEA" w:rsidRPr="00AC77F4">
        <w:rPr>
          <w:rFonts w:cs="Tahoma"/>
          <w:sz w:val="22"/>
          <w:szCs w:val="20"/>
        </w:rPr>
        <w:t xml:space="preserve"> one or more of the diseases covered by the ECDC F</w:t>
      </w:r>
      <w:r w:rsidR="00A36ADB">
        <w:rPr>
          <w:rFonts w:cs="Tahoma"/>
          <w:sz w:val="22"/>
          <w:szCs w:val="20"/>
        </w:rPr>
        <w:t>ood</w:t>
      </w:r>
      <w:r w:rsidR="002F07A2">
        <w:rPr>
          <w:rFonts w:cs="Tahoma"/>
          <w:sz w:val="22"/>
          <w:szCs w:val="20"/>
        </w:rPr>
        <w:t>-</w:t>
      </w:r>
      <w:r w:rsidR="00A36ADB">
        <w:rPr>
          <w:rFonts w:cs="Tahoma"/>
          <w:sz w:val="22"/>
          <w:szCs w:val="20"/>
        </w:rPr>
        <w:t xml:space="preserve"> and Waterborne </w:t>
      </w:r>
      <w:r w:rsidR="00BD1250">
        <w:rPr>
          <w:rFonts w:cs="Tahoma"/>
          <w:sz w:val="22"/>
          <w:szCs w:val="20"/>
        </w:rPr>
        <w:t xml:space="preserve">diseases </w:t>
      </w:r>
      <w:r w:rsidR="00A36ADB">
        <w:rPr>
          <w:rFonts w:cs="Tahoma"/>
          <w:sz w:val="22"/>
          <w:szCs w:val="20"/>
        </w:rPr>
        <w:t>and Zo</w:t>
      </w:r>
      <w:r w:rsidR="00BD1250">
        <w:rPr>
          <w:rFonts w:cs="Tahoma"/>
          <w:sz w:val="22"/>
          <w:szCs w:val="20"/>
        </w:rPr>
        <w:t>o</w:t>
      </w:r>
      <w:r w:rsidR="00A36ADB">
        <w:rPr>
          <w:rFonts w:cs="Tahoma"/>
          <w:sz w:val="22"/>
          <w:szCs w:val="20"/>
        </w:rPr>
        <w:t>noses mandate</w:t>
      </w:r>
      <w:r w:rsidR="00B53BEA" w:rsidRPr="00AC77F4">
        <w:rPr>
          <w:rStyle w:val="FootnoteReference"/>
          <w:rFonts w:cs="Tahoma"/>
          <w:sz w:val="22"/>
          <w:szCs w:val="20"/>
        </w:rPr>
        <w:footnoteReference w:id="1"/>
      </w:r>
      <w:r w:rsidR="00B53BEA" w:rsidRPr="00AC77F4">
        <w:rPr>
          <w:rFonts w:cs="Tahoma"/>
          <w:sz w:val="22"/>
          <w:szCs w:val="20"/>
        </w:rPr>
        <w:t xml:space="preserve">, namely: </w:t>
      </w:r>
    </w:p>
    <w:p w14:paraId="4FAE69C2" w14:textId="63612442" w:rsidR="00B53BEA" w:rsidRPr="00AC77F4" w:rsidRDefault="00B53BEA" w:rsidP="00497EDB">
      <w:pPr>
        <w:pStyle w:val="EC-Para"/>
        <w:spacing w:after="240" w:line="276" w:lineRule="auto"/>
        <w:ind w:left="426"/>
        <w:jc w:val="both"/>
        <w:rPr>
          <w:rFonts w:cs="Tahoma"/>
          <w:i/>
          <w:sz w:val="22"/>
          <w:szCs w:val="20"/>
        </w:rPr>
      </w:pPr>
      <w:r w:rsidRPr="00AC77F4">
        <w:rPr>
          <w:rFonts w:cs="Tahoma"/>
          <w:i/>
          <w:sz w:val="22"/>
          <w:szCs w:val="20"/>
        </w:rPr>
        <w:t xml:space="preserve">anthrax, botulism, brucellosis, campylobacteriosis, cholera, cryptosporidiosis, echinococcosis, giardiasis, hepatitis A, </w:t>
      </w:r>
      <w:r w:rsidR="00436989">
        <w:rPr>
          <w:rFonts w:cs="Tahoma"/>
          <w:i/>
          <w:sz w:val="22"/>
          <w:szCs w:val="20"/>
        </w:rPr>
        <w:t>Legionnaires’ disease</w:t>
      </w:r>
      <w:r w:rsidRPr="00AC77F4">
        <w:rPr>
          <w:rFonts w:cs="Tahoma"/>
          <w:i/>
          <w:sz w:val="22"/>
          <w:szCs w:val="20"/>
        </w:rPr>
        <w:t xml:space="preserve">, leptospirosis, listeriosis,  salmonellosis, shigellosis, toxoplasmosis, trichinellosis, tularaemia, typhoid and paratyphoid fever, Creutzfeldt-Jakob disease, </w:t>
      </w:r>
      <w:r w:rsidR="007C5526">
        <w:rPr>
          <w:rFonts w:cs="Tahoma"/>
          <w:i/>
          <w:sz w:val="22"/>
          <w:szCs w:val="20"/>
        </w:rPr>
        <w:t>Shiga toxin/</w:t>
      </w:r>
      <w:r w:rsidRPr="00AC77F4">
        <w:rPr>
          <w:rFonts w:cs="Tahoma"/>
          <w:i/>
          <w:sz w:val="22"/>
          <w:szCs w:val="20"/>
        </w:rPr>
        <w:t>vero</w:t>
      </w:r>
      <w:r w:rsidR="007C5526">
        <w:rPr>
          <w:rFonts w:cs="Tahoma"/>
          <w:i/>
          <w:sz w:val="22"/>
          <w:szCs w:val="20"/>
        </w:rPr>
        <w:t>cyto</w:t>
      </w:r>
      <w:r w:rsidRPr="00AC77F4">
        <w:rPr>
          <w:rFonts w:cs="Tahoma"/>
          <w:i/>
          <w:sz w:val="22"/>
          <w:szCs w:val="20"/>
        </w:rPr>
        <w:t>toxi</w:t>
      </w:r>
      <w:r w:rsidR="007C5526">
        <w:rPr>
          <w:rFonts w:cs="Tahoma"/>
          <w:i/>
          <w:sz w:val="22"/>
          <w:szCs w:val="20"/>
        </w:rPr>
        <w:t>n -producing</w:t>
      </w:r>
      <w:r w:rsidRPr="00AC77F4">
        <w:rPr>
          <w:rFonts w:cs="Tahoma"/>
          <w:i/>
          <w:sz w:val="22"/>
          <w:szCs w:val="20"/>
        </w:rPr>
        <w:t xml:space="preserve"> Escherichia coli infection</w:t>
      </w:r>
      <w:r w:rsidR="00BD1250">
        <w:rPr>
          <w:rFonts w:cs="Tahoma"/>
          <w:i/>
          <w:sz w:val="22"/>
          <w:szCs w:val="20"/>
        </w:rPr>
        <w:t xml:space="preserve"> (</w:t>
      </w:r>
      <w:r w:rsidR="007C5526">
        <w:rPr>
          <w:rFonts w:cs="Tahoma"/>
          <w:i/>
          <w:sz w:val="22"/>
          <w:szCs w:val="20"/>
        </w:rPr>
        <w:t>STEC/</w:t>
      </w:r>
      <w:r w:rsidR="00BD1250">
        <w:rPr>
          <w:rFonts w:cs="Tahoma"/>
          <w:i/>
          <w:sz w:val="22"/>
          <w:szCs w:val="20"/>
        </w:rPr>
        <w:t>VTEC)</w:t>
      </w:r>
      <w:r w:rsidRPr="00AC77F4">
        <w:rPr>
          <w:rFonts w:cs="Tahoma"/>
          <w:i/>
          <w:sz w:val="22"/>
          <w:szCs w:val="20"/>
        </w:rPr>
        <w:t>, and yersiniosis.</w:t>
      </w:r>
    </w:p>
    <w:p w14:paraId="711C2A0A" w14:textId="4E6A5A09" w:rsidR="00B53BEA" w:rsidRPr="00AC77F4" w:rsidRDefault="00B53BEA" w:rsidP="00B53BEA">
      <w:pPr>
        <w:pStyle w:val="Default"/>
        <w:spacing w:after="240" w:line="276" w:lineRule="auto"/>
        <w:jc w:val="both"/>
        <w:rPr>
          <w:rFonts w:ascii="Tahoma" w:eastAsia="Batang" w:hAnsi="Tahoma" w:cs="Tahoma"/>
          <w:kern w:val="22"/>
          <w:sz w:val="22"/>
          <w:szCs w:val="20"/>
          <w:lang w:eastAsia="ko-KR"/>
        </w:rPr>
      </w:pP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Professional profiles of applicants may include: epidemiologist, microbiologist, laboratory technician, </w:t>
      </w:r>
      <w:r w:rsidR="0004722A"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bioinformatician, 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quality assurance expert or any other public health expert fulfilling the national interest for capability building.</w:t>
      </w:r>
    </w:p>
    <w:p w14:paraId="6085B76B" w14:textId="7D63B178" w:rsidR="00B53BEA" w:rsidRPr="003974BE" w:rsidRDefault="001E10E3" w:rsidP="00E13323">
      <w:pPr>
        <w:pStyle w:val="EC-Title-4"/>
        <w:spacing w:line="276" w:lineRule="auto"/>
        <w:jc w:val="both"/>
        <w:rPr>
          <w:rFonts w:eastAsia="Batang"/>
          <w:b w:val="0"/>
          <w:bCs w:val="0"/>
          <w:color w:val="000000"/>
          <w:kern w:val="22"/>
          <w:sz w:val="22"/>
          <w:szCs w:val="22"/>
          <w:lang w:eastAsia="ko-KR"/>
        </w:rPr>
      </w:pPr>
      <w:r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The selected expert should have a good command of English </w:t>
      </w:r>
      <w:r w:rsidR="0057252E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>and a plan to cascade the knowledge ac</w:t>
      </w:r>
      <w:r w:rsidR="008E00F2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>quire</w:t>
      </w:r>
      <w:r w:rsidR="003B74A6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>d</w:t>
      </w:r>
      <w:r w:rsidR="008E00F2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 within </w:t>
      </w:r>
      <w:r w:rsidR="003B74A6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>their</w:t>
      </w:r>
      <w:r w:rsidR="00497EDB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 </w:t>
      </w:r>
      <w:r w:rsidR="008E00F2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institute </w:t>
      </w:r>
      <w:r w:rsidR="00497EDB" w:rsidRPr="00AC77F4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or Member State </w:t>
      </w:r>
      <w:r w:rsidR="00AC6820">
        <w:rPr>
          <w:rFonts w:eastAsia="Batang"/>
          <w:b w:val="0"/>
          <w:bCs w:val="0"/>
          <w:color w:val="000000"/>
          <w:kern w:val="22"/>
          <w:sz w:val="22"/>
          <w:szCs w:val="20"/>
          <w:lang w:eastAsia="ko-KR"/>
        </w:rPr>
        <w:t xml:space="preserve">(trainee application) or the host institution should have a plan to implement knowledge and skills gained (trainer application) </w:t>
      </w:r>
      <w:r w:rsidR="008E00F2" w:rsidRPr="003974BE">
        <w:rPr>
          <w:rFonts w:eastAsia="Batang"/>
          <w:b w:val="0"/>
          <w:bCs w:val="0"/>
          <w:color w:val="000000"/>
          <w:kern w:val="22"/>
          <w:sz w:val="22"/>
          <w:szCs w:val="22"/>
          <w:lang w:eastAsia="ko-KR"/>
        </w:rPr>
        <w:t>in order to improve the diagnostic or surveillance capacity at a local</w:t>
      </w:r>
      <w:r w:rsidR="000307B2">
        <w:rPr>
          <w:rFonts w:eastAsia="Batang"/>
          <w:b w:val="0"/>
          <w:bCs w:val="0"/>
          <w:color w:val="000000"/>
          <w:kern w:val="22"/>
          <w:sz w:val="22"/>
          <w:szCs w:val="22"/>
          <w:lang w:eastAsia="ko-KR"/>
        </w:rPr>
        <w:t>, regional</w:t>
      </w:r>
      <w:r w:rsidR="008E00F2" w:rsidRPr="003974BE">
        <w:rPr>
          <w:rFonts w:eastAsia="Batang"/>
          <w:b w:val="0"/>
          <w:bCs w:val="0"/>
          <w:color w:val="000000"/>
          <w:kern w:val="22"/>
          <w:sz w:val="22"/>
          <w:szCs w:val="22"/>
          <w:lang w:eastAsia="ko-KR"/>
        </w:rPr>
        <w:t xml:space="preserve"> or national level. </w:t>
      </w:r>
    </w:p>
    <w:p w14:paraId="4B633D18" w14:textId="20B8D7E3" w:rsidR="00E13323" w:rsidRPr="003974BE" w:rsidRDefault="00D90DF5" w:rsidP="003974BE">
      <w:pPr>
        <w:pStyle w:val="EC-Para"/>
        <w:spacing w:line="276" w:lineRule="auto"/>
        <w:jc w:val="both"/>
        <w:rPr>
          <w:rFonts w:cs="Tahoma"/>
          <w:sz w:val="22"/>
          <w:szCs w:val="22"/>
        </w:rPr>
      </w:pPr>
      <w:r w:rsidRPr="003974BE">
        <w:rPr>
          <w:rFonts w:cs="Tahoma"/>
          <w:sz w:val="22"/>
          <w:szCs w:val="22"/>
        </w:rPr>
        <w:t xml:space="preserve">The minimum time between the application </w:t>
      </w:r>
      <w:r w:rsidR="009E6437">
        <w:rPr>
          <w:rFonts w:cs="Tahoma"/>
          <w:sz w:val="22"/>
          <w:szCs w:val="22"/>
        </w:rPr>
        <w:t>submission to</w:t>
      </w:r>
      <w:r w:rsidRPr="003974BE">
        <w:rPr>
          <w:rFonts w:cs="Tahoma"/>
          <w:sz w:val="22"/>
          <w:szCs w:val="22"/>
        </w:rPr>
        <w:t xml:space="preserve"> ECDC and the placement beginning is 2 months. </w:t>
      </w:r>
      <w:r w:rsidR="00EB7E1C" w:rsidRPr="003974BE">
        <w:rPr>
          <w:rFonts w:cs="Tahoma"/>
          <w:sz w:val="22"/>
          <w:szCs w:val="22"/>
        </w:rPr>
        <w:t>Ideally, t</w:t>
      </w:r>
      <w:r w:rsidRPr="003974BE">
        <w:rPr>
          <w:rFonts w:cs="Tahoma"/>
          <w:sz w:val="22"/>
          <w:szCs w:val="22"/>
        </w:rPr>
        <w:t xml:space="preserve">he placement should take place in the same calendar year as the application is made. </w:t>
      </w:r>
      <w:r w:rsidR="00957235" w:rsidRPr="003974BE">
        <w:rPr>
          <w:rFonts w:cs="Tahoma"/>
          <w:sz w:val="22"/>
          <w:szCs w:val="22"/>
        </w:rPr>
        <w:t xml:space="preserve">In the case that placements can only take place in January or February, more time is needed to organise it and applications must be received by </w:t>
      </w:r>
      <w:r w:rsidR="00A63CD8" w:rsidRPr="003974BE">
        <w:rPr>
          <w:rFonts w:cs="Tahoma"/>
          <w:sz w:val="22"/>
          <w:szCs w:val="22"/>
        </w:rPr>
        <w:t>0</w:t>
      </w:r>
      <w:r w:rsidR="00957235" w:rsidRPr="003974BE">
        <w:rPr>
          <w:rFonts w:cs="Tahoma"/>
          <w:sz w:val="22"/>
          <w:szCs w:val="22"/>
        </w:rPr>
        <w:t>1 October the previous year.</w:t>
      </w:r>
    </w:p>
    <w:p w14:paraId="392BA899" w14:textId="77777777" w:rsidR="00B53BEA" w:rsidRPr="00AC77F4" w:rsidRDefault="00B53BEA" w:rsidP="00B53BEA">
      <w:pPr>
        <w:pStyle w:val="EC-Title-4"/>
        <w:spacing w:line="276" w:lineRule="auto"/>
        <w:jc w:val="both"/>
        <w:rPr>
          <w:sz w:val="22"/>
          <w:szCs w:val="20"/>
          <w:lang w:val="en-US" w:bidi="en-US"/>
        </w:rPr>
      </w:pPr>
      <w:r w:rsidRPr="00AC77F4">
        <w:rPr>
          <w:sz w:val="22"/>
          <w:szCs w:val="20"/>
          <w:lang w:val="en-US" w:bidi="en-US"/>
        </w:rPr>
        <w:lastRenderedPageBreak/>
        <w:t>Content and learning objectives</w:t>
      </w:r>
    </w:p>
    <w:p w14:paraId="5AEFB81E" w14:textId="77777777" w:rsidR="00B53BEA" w:rsidRPr="00AC77F4" w:rsidRDefault="00B53BEA" w:rsidP="00B53BEA">
      <w:pPr>
        <w:pStyle w:val="EC-Para"/>
        <w:spacing w:line="276" w:lineRule="auto"/>
        <w:jc w:val="both"/>
        <w:rPr>
          <w:rFonts w:cs="Tahoma"/>
          <w:bCs/>
          <w:sz w:val="22"/>
          <w:szCs w:val="20"/>
        </w:rPr>
      </w:pPr>
      <w:r w:rsidRPr="00AC77F4">
        <w:rPr>
          <w:rFonts w:cs="Tahoma"/>
          <w:sz w:val="22"/>
          <w:szCs w:val="20"/>
        </w:rPr>
        <w:t>The</w:t>
      </w:r>
      <w:r w:rsidRPr="00AC77F4">
        <w:rPr>
          <w:rFonts w:cs="Tahoma"/>
          <w:b/>
          <w:sz w:val="22"/>
          <w:szCs w:val="20"/>
        </w:rPr>
        <w:t xml:space="preserve"> scope </w:t>
      </w:r>
      <w:r w:rsidRPr="00AC77F4">
        <w:rPr>
          <w:rFonts w:cs="Tahoma"/>
          <w:sz w:val="22"/>
          <w:szCs w:val="20"/>
        </w:rPr>
        <w:t xml:space="preserve">of the training may </w:t>
      </w:r>
      <w:r w:rsidRPr="00AC77F4">
        <w:rPr>
          <w:rFonts w:cs="Tahoma"/>
          <w:bCs/>
          <w:sz w:val="22"/>
          <w:szCs w:val="20"/>
        </w:rPr>
        <w:t>include</w:t>
      </w:r>
      <w:r w:rsidRPr="00AC77F4">
        <w:rPr>
          <w:rFonts w:cs="Tahoma"/>
          <w:sz w:val="22"/>
          <w:szCs w:val="20"/>
        </w:rPr>
        <w:t>, but is not limited to the following topics</w:t>
      </w:r>
      <w:r w:rsidRPr="00AC77F4">
        <w:rPr>
          <w:rFonts w:cs="Tahoma"/>
          <w:bCs/>
          <w:sz w:val="22"/>
          <w:szCs w:val="20"/>
        </w:rPr>
        <w:t>:</w:t>
      </w:r>
    </w:p>
    <w:p w14:paraId="39773C21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diagnostics, confirmation and further characterisation of isolates or directly from clinical samples, incl</w:t>
      </w:r>
      <w:r w:rsidR="00C149A8" w:rsidRPr="00AC77F4">
        <w:rPr>
          <w:rFonts w:cs="Tahoma"/>
          <w:sz w:val="22"/>
          <w:szCs w:val="20"/>
        </w:rPr>
        <w:t>uding molecular typing and sequ</w:t>
      </w:r>
      <w:r w:rsidRPr="00AC77F4">
        <w:rPr>
          <w:rFonts w:cs="Tahoma"/>
          <w:sz w:val="22"/>
          <w:szCs w:val="20"/>
        </w:rPr>
        <w:t>ence-based methods;</w:t>
      </w:r>
    </w:p>
    <w:p w14:paraId="2E4A80AD" w14:textId="74BB0C16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quality assurance</w:t>
      </w:r>
      <w:r w:rsidR="006C4E94">
        <w:rPr>
          <w:rFonts w:cs="Tahoma"/>
          <w:sz w:val="22"/>
          <w:szCs w:val="20"/>
        </w:rPr>
        <w:t>, troubleshooting</w:t>
      </w:r>
      <w:r w:rsidRPr="00AC77F4">
        <w:rPr>
          <w:rFonts w:cs="Tahoma"/>
          <w:sz w:val="22"/>
          <w:szCs w:val="20"/>
        </w:rPr>
        <w:t xml:space="preserve"> in a laboratory;</w:t>
      </w:r>
    </w:p>
    <w:p w14:paraId="7B3739A5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outbreak investigation and management.</w:t>
      </w:r>
    </w:p>
    <w:p w14:paraId="10AB761E" w14:textId="77777777" w:rsidR="00B53BEA" w:rsidRPr="00AC77F4" w:rsidRDefault="00B53BEA" w:rsidP="00050B6C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</w:p>
    <w:p w14:paraId="1CDF0417" w14:textId="77777777" w:rsidR="00B53BEA" w:rsidRPr="00AC77F4" w:rsidRDefault="00B53BEA" w:rsidP="00050B6C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foreseen </w:t>
      </w:r>
      <w:r w:rsidRPr="00AC77F4">
        <w:rPr>
          <w:rFonts w:cs="Tahoma"/>
          <w:b/>
          <w:sz w:val="22"/>
          <w:szCs w:val="20"/>
        </w:rPr>
        <w:t>learning objectives</w:t>
      </w:r>
      <w:r w:rsidRPr="00AC77F4">
        <w:rPr>
          <w:rFonts w:cs="Tahoma"/>
          <w:sz w:val="22"/>
          <w:szCs w:val="20"/>
        </w:rPr>
        <w:t xml:space="preserve"> are:</w:t>
      </w:r>
    </w:p>
    <w:p w14:paraId="32AC99C2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facilitate harmonisation and sharing of good laboratory practices across the EU/EEA;</w:t>
      </w:r>
    </w:p>
    <w:p w14:paraId="2293722F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encourage mutual learning and networking within the EU/EEA;</w:t>
      </w:r>
    </w:p>
    <w:p w14:paraId="0D902C3A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improve countries national, regional or local capacity and competence to diagnose and identify the organisms causing the diseases, particularly as part of surveillance;</w:t>
      </w:r>
    </w:p>
    <w:p w14:paraId="6EFD548E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respond to outbreaks/clusters and apply relevant methods for the outbreak investigation.</w:t>
      </w:r>
    </w:p>
    <w:p w14:paraId="07A1C13A" w14:textId="77777777" w:rsidR="00B53BEA" w:rsidRPr="00AC77F4" w:rsidRDefault="00B53BEA" w:rsidP="00B53BEA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</w:p>
    <w:p w14:paraId="637E8870" w14:textId="77777777" w:rsidR="00050B6C" w:rsidRPr="00AC77F4" w:rsidRDefault="00B53BEA" w:rsidP="00050B6C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</w:t>
      </w:r>
      <w:r w:rsidRPr="00AC77F4">
        <w:rPr>
          <w:rFonts w:cs="Tahoma"/>
          <w:b/>
          <w:sz w:val="22"/>
          <w:szCs w:val="20"/>
        </w:rPr>
        <w:t>knowledge objectives</w:t>
      </w:r>
      <w:r w:rsidRPr="00AC77F4">
        <w:rPr>
          <w:rFonts w:cs="Tahoma"/>
          <w:sz w:val="22"/>
          <w:szCs w:val="20"/>
        </w:rPr>
        <w:t xml:space="preserve"> are:</w:t>
      </w:r>
    </w:p>
    <w:p w14:paraId="08451DA3" w14:textId="77777777" w:rsidR="00B53BEA" w:rsidRPr="00AC77F4" w:rsidRDefault="00050B6C" w:rsidP="00050B6C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</w:t>
      </w:r>
      <w:r w:rsidR="00B53BEA" w:rsidRPr="00AC77F4">
        <w:rPr>
          <w:rFonts w:cs="Tahoma"/>
          <w:sz w:val="22"/>
          <w:szCs w:val="20"/>
        </w:rPr>
        <w:t>o understand the principles and technical challenges in performing diagnostic and molecular typing methods (detection, confirmation, and further characterisation) currently available for diagnostics;</w:t>
      </w:r>
    </w:p>
    <w:p w14:paraId="5E8EADBC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 to understand the relevant epidemiological methods and how they interact with the laboratory results;</w:t>
      </w:r>
    </w:p>
    <w:p w14:paraId="22ABF5FE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understand the quality assurance principles and processes in a laboratory, including requirements for accreditation;</w:t>
      </w:r>
    </w:p>
    <w:p w14:paraId="3A08CBF1" w14:textId="58E89A4E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to understand the multidisciplinary dimension of FWD diseases, Legionnaires</w:t>
      </w:r>
      <w:r w:rsidR="008D375B">
        <w:rPr>
          <w:rFonts w:cs="Tahoma"/>
          <w:sz w:val="22"/>
          <w:szCs w:val="20"/>
        </w:rPr>
        <w:t>'</w:t>
      </w:r>
      <w:r w:rsidRPr="00AC77F4">
        <w:rPr>
          <w:rFonts w:cs="Tahoma"/>
          <w:sz w:val="22"/>
          <w:szCs w:val="20"/>
        </w:rPr>
        <w:t xml:space="preserve"> disease included, outbreak investigation, management and prevention.</w:t>
      </w:r>
    </w:p>
    <w:p w14:paraId="7E84BF01" w14:textId="77777777" w:rsidR="00B53BEA" w:rsidRPr="00AC77F4" w:rsidRDefault="00B53BEA" w:rsidP="00B53BEA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</w:p>
    <w:p w14:paraId="45A07D21" w14:textId="77777777" w:rsidR="00B53BEA" w:rsidRPr="00AC77F4" w:rsidRDefault="00B53BEA" w:rsidP="00B53BEA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</w:t>
      </w:r>
      <w:r w:rsidRPr="00AC77F4">
        <w:rPr>
          <w:rFonts w:cs="Tahoma"/>
          <w:b/>
          <w:sz w:val="22"/>
          <w:szCs w:val="20"/>
        </w:rPr>
        <w:t>skills</w:t>
      </w:r>
      <w:r w:rsidRPr="00AC77F4">
        <w:rPr>
          <w:rFonts w:cs="Tahoma"/>
          <w:sz w:val="22"/>
          <w:szCs w:val="20"/>
        </w:rPr>
        <w:t xml:space="preserve"> to be acquired could promote national competence through:</w:t>
      </w:r>
    </w:p>
    <w:p w14:paraId="38ED26E4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improved ability to carry out selected diagnostic and characterisation technique/s, including molecular typing methodologies and subsequently improved surveillance;</w:t>
      </w:r>
    </w:p>
    <w:p w14:paraId="7CF9D2BD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ability to develop and/or implement a quality assurance system in the laboratory, supporting the activities towards accreditation;</w:t>
      </w:r>
    </w:p>
    <w:p w14:paraId="17169BAB" w14:textId="77777777" w:rsidR="00B53BEA" w:rsidRPr="00AC77F4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ability to perform laboratory investigations in a Legionnaires’ disease cluster or foodborne outbreak situation;</w:t>
      </w:r>
    </w:p>
    <w:p w14:paraId="595E9E1A" w14:textId="5B0B4962" w:rsidR="00B53BEA" w:rsidRDefault="00B53BEA" w:rsidP="00050B6C">
      <w:pPr>
        <w:pStyle w:val="EC-List1"/>
        <w:tabs>
          <w:tab w:val="clear" w:pos="567"/>
        </w:tabs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>ability to conduct outbreak investigations.</w:t>
      </w:r>
    </w:p>
    <w:p w14:paraId="5B0B0FDD" w14:textId="0104E63D" w:rsidR="00825D0D" w:rsidRDefault="00825D0D" w:rsidP="00825D0D">
      <w:pPr>
        <w:pStyle w:val="EC-Para"/>
      </w:pPr>
    </w:p>
    <w:p w14:paraId="34015EBE" w14:textId="0DD80506" w:rsidR="00825D0D" w:rsidRPr="00825D0D" w:rsidRDefault="00825D0D" w:rsidP="00825D0D">
      <w:pPr>
        <w:pStyle w:val="EC-Para"/>
        <w:rPr>
          <w:b/>
          <w:color w:val="669900"/>
          <w:sz w:val="22"/>
          <w:szCs w:val="22"/>
        </w:rPr>
      </w:pPr>
      <w:r w:rsidRPr="00825D0D">
        <w:rPr>
          <w:b/>
          <w:color w:val="669900"/>
          <w:sz w:val="22"/>
          <w:szCs w:val="22"/>
        </w:rPr>
        <w:t>Identification of hosting site</w:t>
      </w:r>
    </w:p>
    <w:p w14:paraId="33458149" w14:textId="77777777" w:rsidR="00825D0D" w:rsidRPr="00825D0D" w:rsidRDefault="00825D0D" w:rsidP="00825D0D">
      <w:pPr>
        <w:pStyle w:val="EC-Para"/>
      </w:pPr>
    </w:p>
    <w:p w14:paraId="420473F2" w14:textId="2A1E0149" w:rsidR="00825D0D" w:rsidRPr="00AC77F4" w:rsidRDefault="00825D0D" w:rsidP="00825D0D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 w:rsidRPr="00AC77F4">
        <w:rPr>
          <w:rFonts w:cs="Tahoma"/>
          <w:sz w:val="22"/>
          <w:szCs w:val="20"/>
        </w:rPr>
        <w:t xml:space="preserve">The identification of hosting sites will be via free match, whereby the applicant identifies a suitable </w:t>
      </w:r>
      <w:r>
        <w:rPr>
          <w:rFonts w:cs="Tahoma"/>
          <w:sz w:val="22"/>
          <w:szCs w:val="20"/>
        </w:rPr>
        <w:t>institute or vice versa.</w:t>
      </w:r>
      <w:r w:rsidRPr="00AC77F4">
        <w:rPr>
          <w:rFonts w:cs="Tahoma"/>
          <w:sz w:val="22"/>
          <w:szCs w:val="20"/>
        </w:rPr>
        <w:t xml:space="preserve"> A host site</w:t>
      </w:r>
      <w:r>
        <w:rPr>
          <w:rFonts w:cs="Tahoma"/>
          <w:sz w:val="22"/>
          <w:szCs w:val="20"/>
        </w:rPr>
        <w:t xml:space="preserve"> </w:t>
      </w:r>
      <w:r w:rsidRPr="00AC77F4">
        <w:rPr>
          <w:rFonts w:cs="Tahoma"/>
          <w:sz w:val="22"/>
          <w:szCs w:val="20"/>
        </w:rPr>
        <w:t xml:space="preserve">must be willing to </w:t>
      </w:r>
      <w:r>
        <w:rPr>
          <w:rFonts w:cs="Tahoma"/>
          <w:sz w:val="22"/>
          <w:szCs w:val="20"/>
        </w:rPr>
        <w:t xml:space="preserve">place </w:t>
      </w:r>
      <w:r w:rsidRPr="00AC77F4">
        <w:rPr>
          <w:rFonts w:cs="Tahoma"/>
          <w:sz w:val="22"/>
          <w:szCs w:val="20"/>
        </w:rPr>
        <w:t>the expert for a period</w:t>
      </w:r>
      <w:r>
        <w:rPr>
          <w:rFonts w:cs="Tahoma"/>
          <w:sz w:val="22"/>
          <w:szCs w:val="20"/>
        </w:rPr>
        <w:t xml:space="preserve">, normally </w:t>
      </w:r>
      <w:r w:rsidRPr="00AC77F4">
        <w:rPr>
          <w:rFonts w:cs="Tahoma"/>
          <w:sz w:val="22"/>
          <w:szCs w:val="20"/>
        </w:rPr>
        <w:t xml:space="preserve">not longer than one working week </w:t>
      </w:r>
      <w:r>
        <w:rPr>
          <w:rFonts w:cs="Tahoma"/>
          <w:sz w:val="22"/>
          <w:szCs w:val="20"/>
        </w:rPr>
        <w:t xml:space="preserve">(five days) </w:t>
      </w:r>
      <w:r w:rsidRPr="00AC77F4">
        <w:rPr>
          <w:rFonts w:cs="Tahoma"/>
          <w:sz w:val="22"/>
          <w:szCs w:val="20"/>
        </w:rPr>
        <w:t xml:space="preserve">and be capable of providing the expert with necessary </w:t>
      </w:r>
      <w:r>
        <w:rPr>
          <w:rFonts w:cs="Tahoma"/>
          <w:sz w:val="22"/>
          <w:szCs w:val="20"/>
        </w:rPr>
        <w:t xml:space="preserve">collaboration </w:t>
      </w:r>
      <w:r w:rsidRPr="00AC77F4">
        <w:rPr>
          <w:rFonts w:cs="Tahoma"/>
          <w:sz w:val="22"/>
          <w:szCs w:val="20"/>
        </w:rPr>
        <w:t>support by one or more on-site staff member</w:t>
      </w:r>
      <w:r>
        <w:rPr>
          <w:rFonts w:cs="Tahoma"/>
          <w:sz w:val="22"/>
          <w:szCs w:val="20"/>
        </w:rPr>
        <w:t xml:space="preserve"> to provide training </w:t>
      </w:r>
      <w:r>
        <w:rPr>
          <w:rFonts w:cs="Tahoma"/>
          <w:sz w:val="22"/>
          <w:szCs w:val="20"/>
        </w:rPr>
        <w:lastRenderedPageBreak/>
        <w:t>or be trained</w:t>
      </w:r>
      <w:r w:rsidRPr="00AC77F4">
        <w:rPr>
          <w:rFonts w:cs="Tahoma"/>
          <w:sz w:val="22"/>
          <w:szCs w:val="20"/>
        </w:rPr>
        <w:t xml:space="preserve">. No direct compensation is </w:t>
      </w:r>
      <w:r>
        <w:rPr>
          <w:rFonts w:cs="Tahoma"/>
          <w:sz w:val="22"/>
          <w:szCs w:val="20"/>
        </w:rPr>
        <w:t>available</w:t>
      </w:r>
      <w:r w:rsidRPr="00AC77F4">
        <w:rPr>
          <w:rFonts w:cs="Tahoma"/>
          <w:sz w:val="22"/>
          <w:szCs w:val="20"/>
        </w:rPr>
        <w:t xml:space="preserve"> for hosting sites. </w:t>
      </w:r>
      <w:r>
        <w:rPr>
          <w:rFonts w:cs="Tahoma"/>
          <w:sz w:val="22"/>
          <w:szCs w:val="20"/>
        </w:rPr>
        <w:t xml:space="preserve">In case a previous hosting site wishes to send an expert for a visit, </w:t>
      </w:r>
      <w:r w:rsidR="009D50A5">
        <w:rPr>
          <w:rFonts w:cs="Tahoma"/>
          <w:sz w:val="22"/>
          <w:szCs w:val="20"/>
        </w:rPr>
        <w:t>it</w:t>
      </w:r>
      <w:r>
        <w:rPr>
          <w:rFonts w:cs="Tahoma"/>
          <w:sz w:val="22"/>
          <w:szCs w:val="20"/>
        </w:rPr>
        <w:t xml:space="preserve"> will </w:t>
      </w:r>
      <w:r w:rsidRPr="00AC77F4">
        <w:rPr>
          <w:rFonts w:cs="Tahoma"/>
          <w:sz w:val="22"/>
          <w:szCs w:val="20"/>
        </w:rPr>
        <w:t>be taken into consideration</w:t>
      </w:r>
      <w:r>
        <w:rPr>
          <w:rFonts w:cs="Tahoma"/>
          <w:sz w:val="22"/>
          <w:szCs w:val="20"/>
        </w:rPr>
        <w:t xml:space="preserve"> in the selection process</w:t>
      </w:r>
      <w:r w:rsidRPr="00AC77F4">
        <w:rPr>
          <w:rFonts w:cs="Tahoma"/>
          <w:sz w:val="22"/>
          <w:szCs w:val="20"/>
        </w:rPr>
        <w:t xml:space="preserve">. </w:t>
      </w:r>
    </w:p>
    <w:p w14:paraId="3FE0DAF0" w14:textId="77777777" w:rsidR="00825D0D" w:rsidRPr="00AC77F4" w:rsidRDefault="00825D0D" w:rsidP="00825D0D">
      <w:pPr>
        <w:pStyle w:val="Default"/>
        <w:spacing w:after="120" w:line="276" w:lineRule="auto"/>
        <w:jc w:val="both"/>
        <w:rPr>
          <w:rFonts w:ascii="Tahoma" w:eastAsia="Batang" w:hAnsi="Tahoma" w:cs="Tahoma"/>
          <w:kern w:val="22"/>
          <w:sz w:val="22"/>
          <w:szCs w:val="20"/>
          <w:u w:val="single"/>
          <w:lang w:eastAsia="ko-KR"/>
        </w:rPr>
      </w:pPr>
      <w:r w:rsidRPr="00AC77F4">
        <w:rPr>
          <w:rFonts w:ascii="Tahoma" w:eastAsia="Batang" w:hAnsi="Tahoma" w:cs="Tahoma"/>
          <w:kern w:val="22"/>
          <w:sz w:val="22"/>
          <w:szCs w:val="20"/>
          <w:u w:val="single"/>
          <w:lang w:eastAsia="ko-KR"/>
        </w:rPr>
        <w:t>The proposed host site must:</w:t>
      </w:r>
    </w:p>
    <w:p w14:paraId="303C02BA" w14:textId="77777777" w:rsidR="00825D0D" w:rsidRPr="00AC77F4" w:rsidRDefault="00825D0D" w:rsidP="00825D0D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ahoma" w:eastAsia="Batang" w:hAnsi="Tahoma" w:cs="Tahoma"/>
          <w:kern w:val="22"/>
          <w:sz w:val="22"/>
          <w:szCs w:val="20"/>
          <w:lang w:eastAsia="ko-KR"/>
        </w:rPr>
      </w:pP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Be a public health institute or laboratory in the public sector based in one EU/EEA Member State;</w:t>
      </w:r>
    </w:p>
    <w:p w14:paraId="094175BC" w14:textId="77777777" w:rsidR="00825D0D" w:rsidRPr="00AC77F4" w:rsidRDefault="00825D0D" w:rsidP="00825D0D">
      <w:pPr>
        <w:pStyle w:val="Default"/>
        <w:numPr>
          <w:ilvl w:val="0"/>
          <w:numId w:val="3"/>
        </w:numPr>
        <w:spacing w:line="276" w:lineRule="auto"/>
        <w:jc w:val="both"/>
        <w:rPr>
          <w:rFonts w:ascii="Tahoma" w:eastAsia="Batang" w:hAnsi="Tahoma" w:cs="Tahoma"/>
          <w:kern w:val="22"/>
          <w:sz w:val="22"/>
          <w:szCs w:val="20"/>
          <w:lang w:eastAsia="ko-KR"/>
        </w:rPr>
      </w:pP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Work in the field of activity that inc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>ludes food- and waterborne and z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oonoses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, </w:t>
      </w:r>
      <w:r w:rsidRPr="001A1028"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Creutzfeldt-Jakob disease 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or Legionnaire’s diseases;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 and</w:t>
      </w:r>
    </w:p>
    <w:p w14:paraId="2F4E70CF" w14:textId="77777777" w:rsidR="00825D0D" w:rsidRPr="00AC77F4" w:rsidRDefault="00825D0D" w:rsidP="00825D0D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ahoma" w:eastAsia="Batang" w:hAnsi="Tahoma" w:cs="Tahoma"/>
          <w:kern w:val="22"/>
          <w:sz w:val="22"/>
          <w:szCs w:val="20"/>
          <w:lang w:eastAsia="ko-KR"/>
        </w:rPr>
      </w:pP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Be willing to provide mentorship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 to a trainee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 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or host an 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expert </w:t>
      </w:r>
      <w:r>
        <w:rPr>
          <w:rFonts w:ascii="Tahoma" w:eastAsia="Batang" w:hAnsi="Tahoma" w:cs="Tahoma"/>
          <w:kern w:val="22"/>
          <w:sz w:val="22"/>
          <w:szCs w:val="20"/>
          <w:lang w:eastAsia="ko-KR"/>
        </w:rPr>
        <w:t xml:space="preserve">trainer </w:t>
      </w:r>
      <w:r w:rsidRPr="00AC77F4">
        <w:rPr>
          <w:rFonts w:ascii="Tahoma" w:eastAsia="Batang" w:hAnsi="Tahoma" w:cs="Tahoma"/>
          <w:kern w:val="22"/>
          <w:sz w:val="22"/>
          <w:szCs w:val="20"/>
          <w:lang w:eastAsia="ko-KR"/>
        </w:rPr>
        <w:t>and identify a contact point for the purpose of the exchange.</w:t>
      </w:r>
    </w:p>
    <w:p w14:paraId="53D35A90" w14:textId="6374D7D2" w:rsidR="00B53BEA" w:rsidRPr="00AC77F4" w:rsidRDefault="00B53BEA" w:rsidP="00B53BEA">
      <w:pPr>
        <w:pStyle w:val="EC-Title-4"/>
        <w:spacing w:line="276" w:lineRule="auto"/>
        <w:jc w:val="both"/>
        <w:rPr>
          <w:sz w:val="22"/>
          <w:szCs w:val="20"/>
          <w:lang w:val="en-US" w:bidi="en-US"/>
        </w:rPr>
      </w:pPr>
      <w:r w:rsidRPr="00AC77F4">
        <w:rPr>
          <w:sz w:val="22"/>
          <w:szCs w:val="20"/>
          <w:lang w:val="en-US" w:bidi="en-US"/>
        </w:rPr>
        <w:t>Selection process</w:t>
      </w:r>
    </w:p>
    <w:p w14:paraId="6E46246C" w14:textId="19F526F5" w:rsidR="00F01DD1" w:rsidRPr="00AC77F4" w:rsidRDefault="00FD2F73" w:rsidP="00B53BEA">
      <w:pPr>
        <w:pStyle w:val="EC-Para"/>
        <w:spacing w:line="276" w:lineRule="auto"/>
        <w:jc w:val="both"/>
        <w:rPr>
          <w:rFonts w:cs="Tahoma"/>
          <w:sz w:val="22"/>
          <w:szCs w:val="20"/>
        </w:rPr>
      </w:pPr>
      <w:r>
        <w:rPr>
          <w:rFonts w:cs="Tahoma"/>
          <w:sz w:val="22"/>
          <w:szCs w:val="20"/>
        </w:rPr>
        <w:t xml:space="preserve">Candidates will be </w:t>
      </w:r>
      <w:r w:rsidR="00B53BEA" w:rsidRPr="00AC77F4">
        <w:rPr>
          <w:rFonts w:cs="Tahoma"/>
          <w:sz w:val="22"/>
          <w:szCs w:val="20"/>
        </w:rPr>
        <w:t xml:space="preserve">selected </w:t>
      </w:r>
      <w:r w:rsidR="008A6F9B" w:rsidRPr="00AC77F4">
        <w:rPr>
          <w:rFonts w:cs="Tahoma"/>
          <w:sz w:val="22"/>
          <w:szCs w:val="20"/>
        </w:rPr>
        <w:t xml:space="preserve">on the basis of </w:t>
      </w:r>
      <w:r w:rsidR="004C0DB2" w:rsidRPr="00AC77F4">
        <w:rPr>
          <w:rFonts w:cs="Tahoma"/>
          <w:sz w:val="22"/>
          <w:szCs w:val="20"/>
        </w:rPr>
        <w:t>their</w:t>
      </w:r>
      <w:r w:rsidR="008A6F9B" w:rsidRPr="00AC77F4">
        <w:rPr>
          <w:rFonts w:cs="Tahoma"/>
          <w:sz w:val="22"/>
          <w:szCs w:val="20"/>
        </w:rPr>
        <w:t xml:space="preserve"> app</w:t>
      </w:r>
      <w:r w:rsidR="004C0DB2" w:rsidRPr="00AC77F4">
        <w:rPr>
          <w:rFonts w:cs="Tahoma"/>
          <w:sz w:val="22"/>
          <w:szCs w:val="20"/>
        </w:rPr>
        <w:t>lication</w:t>
      </w:r>
      <w:r>
        <w:rPr>
          <w:rFonts w:cs="Tahoma"/>
          <w:sz w:val="22"/>
          <w:szCs w:val="20"/>
        </w:rPr>
        <w:t xml:space="preserve">, which will be </w:t>
      </w:r>
      <w:r w:rsidR="008B4E2F" w:rsidRPr="00AC77F4">
        <w:rPr>
          <w:rFonts w:cs="Tahoma"/>
          <w:sz w:val="22"/>
          <w:szCs w:val="20"/>
        </w:rPr>
        <w:t>evaluated in accordance with the</w:t>
      </w:r>
      <w:r w:rsidR="002424E3" w:rsidRPr="00AC77F4">
        <w:rPr>
          <w:rFonts w:cs="Tahoma"/>
          <w:sz w:val="22"/>
          <w:szCs w:val="20"/>
        </w:rPr>
        <w:t xml:space="preserve"> </w:t>
      </w:r>
      <w:r w:rsidR="008B4E2F" w:rsidRPr="00AC77F4">
        <w:rPr>
          <w:rFonts w:cs="Tahoma"/>
          <w:sz w:val="22"/>
          <w:szCs w:val="20"/>
        </w:rPr>
        <w:t>Terms of Reference</w:t>
      </w:r>
      <w:r w:rsidR="002424E3" w:rsidRPr="00AC77F4">
        <w:rPr>
          <w:rFonts w:cs="Tahoma"/>
          <w:sz w:val="22"/>
          <w:szCs w:val="20"/>
        </w:rPr>
        <w:t>, the general criteria</w:t>
      </w:r>
      <w:r w:rsidR="008B4E2F" w:rsidRPr="00AC77F4">
        <w:rPr>
          <w:rFonts w:cs="Tahoma"/>
          <w:sz w:val="22"/>
          <w:szCs w:val="20"/>
        </w:rPr>
        <w:t xml:space="preserve"> and the content and learning objectives set out within. </w:t>
      </w:r>
      <w:r w:rsidR="00ED0957" w:rsidRPr="00AC77F4">
        <w:rPr>
          <w:rFonts w:cs="Tahoma"/>
          <w:sz w:val="22"/>
          <w:szCs w:val="20"/>
        </w:rPr>
        <w:t>The application will be weighted according to the</w:t>
      </w:r>
      <w:r w:rsidR="00C4774E" w:rsidRPr="00AC77F4">
        <w:rPr>
          <w:rFonts w:cs="Tahoma"/>
          <w:sz w:val="22"/>
          <w:szCs w:val="20"/>
        </w:rPr>
        <w:t xml:space="preserve"> points allocated </w:t>
      </w:r>
      <w:r w:rsidR="00A63CD8">
        <w:rPr>
          <w:rFonts w:cs="Tahoma"/>
          <w:sz w:val="22"/>
          <w:szCs w:val="20"/>
        </w:rPr>
        <w:t>to t</w:t>
      </w:r>
      <w:r w:rsidR="00C4774E" w:rsidRPr="00AC77F4">
        <w:rPr>
          <w:rFonts w:cs="Tahoma"/>
          <w:sz w:val="22"/>
          <w:szCs w:val="20"/>
        </w:rPr>
        <w:t>he</w:t>
      </w:r>
      <w:r w:rsidR="00ED0957" w:rsidRPr="00AC77F4">
        <w:rPr>
          <w:rFonts w:cs="Tahoma"/>
          <w:sz w:val="22"/>
          <w:szCs w:val="20"/>
        </w:rPr>
        <w:t xml:space="preserve"> criteria in the application form. </w:t>
      </w:r>
    </w:p>
    <w:p w14:paraId="3F172C99" w14:textId="4BDB40EB" w:rsidR="00FD2F73" w:rsidRDefault="00FD2F73" w:rsidP="00FD2F73">
      <w:pPr>
        <w:pStyle w:val="EC-Para"/>
        <w:spacing w:line="276" w:lineRule="auto"/>
        <w:jc w:val="both"/>
        <w:rPr>
          <w:rFonts w:eastAsia="Times New Roman" w:cs="Tahoma"/>
          <w:b/>
          <w:bCs/>
          <w:color w:val="669900"/>
          <w:sz w:val="22"/>
          <w:szCs w:val="20"/>
          <w:lang w:val="en-US" w:bidi="en-US"/>
        </w:rPr>
      </w:pPr>
      <w:r>
        <w:rPr>
          <w:rFonts w:eastAsia="Times New Roman" w:cs="Tahoma"/>
          <w:b/>
          <w:bCs/>
          <w:color w:val="669900"/>
          <w:sz w:val="22"/>
          <w:szCs w:val="20"/>
          <w:lang w:val="en-US" w:bidi="en-US"/>
        </w:rPr>
        <w:t xml:space="preserve">Overview of </w:t>
      </w:r>
      <w:r w:rsidR="00483FC7">
        <w:rPr>
          <w:rFonts w:eastAsia="Times New Roman" w:cs="Tahoma"/>
          <w:b/>
          <w:bCs/>
          <w:color w:val="669900"/>
          <w:sz w:val="22"/>
          <w:szCs w:val="20"/>
          <w:lang w:val="en-US" w:bidi="en-US"/>
        </w:rPr>
        <w:t xml:space="preserve">application </w:t>
      </w:r>
      <w:r>
        <w:rPr>
          <w:rFonts w:eastAsia="Times New Roman" w:cs="Tahoma"/>
          <w:b/>
          <w:bCs/>
          <w:color w:val="669900"/>
          <w:sz w:val="22"/>
          <w:szCs w:val="20"/>
          <w:lang w:val="en-US" w:bidi="en-US"/>
        </w:rPr>
        <w:t>steps</w:t>
      </w:r>
    </w:p>
    <w:p w14:paraId="6BA54952" w14:textId="593F2357" w:rsidR="007F77D9" w:rsidRPr="007B7A6F" w:rsidRDefault="00FD2F73" w:rsidP="00FD2F73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1. The </w:t>
      </w:r>
      <w:r w:rsidR="00483FC7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trainee </w:t>
      </w: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applicant identifies a gap in knowledge or capacity in </w:t>
      </w:r>
      <w:r w:rsidR="00C405B9">
        <w:rPr>
          <w:rFonts w:eastAsia="Times New Roman" w:cs="Tahoma"/>
          <w:bCs/>
          <w:color w:val="auto"/>
          <w:sz w:val="22"/>
          <w:szCs w:val="20"/>
          <w:lang w:val="en-US" w:bidi="en-US"/>
        </w:rPr>
        <w:t>his/her</w:t>
      </w: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field</w:t>
      </w:r>
      <w:r w:rsidR="007F77D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that </w:t>
      </w:r>
      <w:r w:rsidR="00C405B9">
        <w:rPr>
          <w:rFonts w:eastAsia="Times New Roman" w:cs="Tahoma"/>
          <w:bCs/>
          <w:color w:val="auto"/>
          <w:sz w:val="22"/>
          <w:szCs w:val="20"/>
          <w:lang w:val="en-US" w:bidi="en-US"/>
        </w:rPr>
        <w:t>he/she</w:t>
      </w:r>
      <w:r w:rsidR="007F77D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would like to address through the placement</w:t>
      </w:r>
      <w:r w:rsidR="00483FC7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; or, a </w:t>
      </w:r>
      <w:r w:rsidR="002E79C0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host </w:t>
      </w:r>
      <w:r w:rsidR="00483FC7">
        <w:rPr>
          <w:rFonts w:eastAsia="Times New Roman" w:cs="Tahoma"/>
          <w:bCs/>
          <w:color w:val="auto"/>
          <w:sz w:val="22"/>
          <w:szCs w:val="20"/>
          <w:lang w:val="en-US" w:bidi="en-US"/>
        </w:rPr>
        <w:t>institution identif</w:t>
      </w:r>
      <w:r w:rsidR="00C405B9">
        <w:rPr>
          <w:rFonts w:eastAsia="Times New Roman" w:cs="Tahoma"/>
          <w:bCs/>
          <w:color w:val="auto"/>
          <w:sz w:val="22"/>
          <w:szCs w:val="20"/>
          <w:lang w:val="en-US" w:bidi="en-US"/>
        </w:rPr>
        <w:t>ies</w:t>
      </w:r>
      <w:r w:rsidR="00483FC7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</w:t>
      </w:r>
      <w:r w:rsidR="002E79C0">
        <w:rPr>
          <w:rFonts w:eastAsia="Times New Roman" w:cs="Tahoma"/>
          <w:bCs/>
          <w:color w:val="auto"/>
          <w:sz w:val="22"/>
          <w:szCs w:val="20"/>
          <w:lang w:val="en-US" w:bidi="en-US"/>
        </w:rPr>
        <w:t>a gap that can be</w:t>
      </w:r>
      <w:r w:rsidR="00C405B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best</w:t>
      </w:r>
      <w:r w:rsidR="002E79C0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addressed by </w:t>
      </w:r>
      <w:r w:rsidR="00C405B9">
        <w:rPr>
          <w:rFonts w:eastAsia="Times New Roman" w:cs="Tahoma"/>
          <w:bCs/>
          <w:color w:val="auto"/>
          <w:sz w:val="22"/>
          <w:szCs w:val="20"/>
          <w:lang w:val="en-US" w:bidi="en-US"/>
        </w:rPr>
        <w:t>a</w:t>
      </w:r>
      <w:r w:rsidR="002E79C0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trainer visiting the host institution</w:t>
      </w: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;</w:t>
      </w:r>
      <w:r w:rsidR="007F77D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</w:t>
      </w:r>
    </w:p>
    <w:p w14:paraId="3CA7B6B0" w14:textId="69570B6D" w:rsidR="00FD2F73" w:rsidRPr="007B7A6F" w:rsidRDefault="00FD2F73" w:rsidP="00FD2F73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2. The applicant agrees the visit</w:t>
      </w:r>
      <w:r w:rsidR="00FF0DD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and </w:t>
      </w:r>
      <w:r w:rsidR="00FF0DD9"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the dates</w:t>
      </w:r>
      <w:r w:rsidR="00FF0DD9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with the host institution</w:t>
      </w: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;</w:t>
      </w:r>
    </w:p>
    <w:p w14:paraId="00115788" w14:textId="54587EEA" w:rsidR="002F22AD" w:rsidRDefault="00FD2F73" w:rsidP="00483FC7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3. The applicant complete</w:t>
      </w: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s</w:t>
      </w:r>
      <w:r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and submits the </w:t>
      </w:r>
      <w:hyperlink r:id="rId10" w:history="1">
        <w:r w:rsidRPr="00816E01">
          <w:rPr>
            <w:rStyle w:val="Hyperlink"/>
            <w:rFonts w:eastAsia="Times New Roman" w:cs="Tahoma"/>
            <w:bCs/>
            <w:sz w:val="22"/>
            <w:szCs w:val="20"/>
            <w:lang w:val="en-US" w:bidi="en-US"/>
          </w:rPr>
          <w:t>appl</w:t>
        </w:r>
        <w:r w:rsidR="002F22AD" w:rsidRPr="00816E01">
          <w:rPr>
            <w:rStyle w:val="Hyperlink"/>
            <w:rFonts w:eastAsia="Times New Roman" w:cs="Tahoma"/>
            <w:bCs/>
            <w:sz w:val="22"/>
            <w:szCs w:val="20"/>
            <w:lang w:val="en-US" w:bidi="en-US"/>
          </w:rPr>
          <w:t>ication form</w:t>
        </w:r>
      </w:hyperlink>
      <w:bookmarkStart w:id="0" w:name="_GoBack"/>
      <w:bookmarkEnd w:id="0"/>
      <w:r w:rsid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to </w:t>
      </w:r>
      <w:hyperlink r:id="rId11" w:history="1">
        <w:r w:rsidR="002F22AD" w:rsidRPr="007B7A6F">
          <w:rPr>
            <w:rStyle w:val="Hyperlink"/>
            <w:rFonts w:eastAsia="Times New Roman" w:cs="Tahoma"/>
            <w:bCs/>
            <w:sz w:val="22"/>
            <w:szCs w:val="20"/>
            <w:lang w:val="en-US" w:bidi="en-US"/>
          </w:rPr>
          <w:t>fwd@ecdc.europa.eu</w:t>
        </w:r>
      </w:hyperlink>
      <w:r w:rsid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. </w:t>
      </w:r>
    </w:p>
    <w:p w14:paraId="7B2F51F4" w14:textId="06DEC8EF" w:rsidR="002F22AD" w:rsidRPr="00E76347" w:rsidRDefault="002F22AD" w:rsidP="00E76347">
      <w:pPr>
        <w:pStyle w:val="EC-Para"/>
        <w:spacing w:line="276" w:lineRule="auto"/>
        <w:ind w:left="360"/>
        <w:jc w:val="both"/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</w:pPr>
      <w:r w:rsidRPr="00E76347"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  <w:t>The application must include</w:t>
      </w:r>
      <w:r w:rsidR="00FD2F73" w:rsidRPr="00E76347"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  <w:t xml:space="preserve"> the </w:t>
      </w:r>
      <w:r w:rsidRPr="00E76347"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  <w:t xml:space="preserve">following </w:t>
      </w:r>
      <w:r w:rsidR="00FD2F73" w:rsidRPr="00E76347"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  <w:t>documentation</w:t>
      </w:r>
      <w:r w:rsidR="004D4679" w:rsidRPr="00E76347">
        <w:rPr>
          <w:rFonts w:eastAsia="Times New Roman" w:cs="Tahoma"/>
          <w:b/>
          <w:bCs/>
          <w:color w:val="auto"/>
          <w:sz w:val="22"/>
          <w:szCs w:val="20"/>
          <w:u w:val="single"/>
          <w:lang w:val="en-US" w:bidi="en-US"/>
        </w:rPr>
        <w:t>:</w:t>
      </w:r>
    </w:p>
    <w:p w14:paraId="539CC5D4" w14:textId="06731DF2" w:rsidR="007A2EB8" w:rsidRDefault="007A2EB8" w:rsidP="00E76347">
      <w:pPr>
        <w:pStyle w:val="EC-Para"/>
        <w:numPr>
          <w:ilvl w:val="0"/>
          <w:numId w:val="7"/>
        </w:numPr>
        <w:spacing w:line="276" w:lineRule="auto"/>
        <w:ind w:left="1080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The completed application form;</w:t>
      </w:r>
    </w:p>
    <w:p w14:paraId="7E365E61" w14:textId="2DC907B1" w:rsidR="002F22AD" w:rsidRDefault="00894A23" w:rsidP="00E76347">
      <w:pPr>
        <w:pStyle w:val="EC-Para"/>
        <w:numPr>
          <w:ilvl w:val="0"/>
          <w:numId w:val="7"/>
        </w:numPr>
        <w:spacing w:line="276" w:lineRule="auto"/>
        <w:ind w:left="1080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Evidence of s</w:t>
      </w:r>
      <w:r w:rsidR="00FD2F73"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upport from the relevant NFP</w:t>
      </w: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or NC</w:t>
      </w:r>
      <w:r w:rsidR="00FD2F73"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; </w:t>
      </w:r>
    </w:p>
    <w:p w14:paraId="4386F41A" w14:textId="2FF401AF" w:rsidR="002F22AD" w:rsidRDefault="002F22AD" w:rsidP="00E76347">
      <w:pPr>
        <w:pStyle w:val="EC-Para"/>
        <w:numPr>
          <w:ilvl w:val="0"/>
          <w:numId w:val="7"/>
        </w:numPr>
        <w:spacing w:line="276" w:lineRule="auto"/>
        <w:ind w:left="1080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A</w:t>
      </w:r>
      <w:r w:rsidR="00FD2F73"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>cknowledgement and agreement from hosting institute</w:t>
      </w:r>
      <w:r w:rsidR="00FD2F73">
        <w:rPr>
          <w:rFonts w:eastAsia="Times New Roman" w:cs="Tahoma"/>
          <w:bCs/>
          <w:color w:val="auto"/>
          <w:sz w:val="22"/>
          <w:szCs w:val="20"/>
          <w:lang w:val="en-US" w:bidi="en-US"/>
        </w:rPr>
        <w:t>,</w:t>
      </w:r>
      <w:r w:rsidR="00FD2F73" w:rsidRPr="007B7A6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including dates; </w:t>
      </w:r>
    </w:p>
    <w:p w14:paraId="37415AA9" w14:textId="79B4D300" w:rsidR="002F22AD" w:rsidRDefault="002F22AD" w:rsidP="00E76347">
      <w:pPr>
        <w:pStyle w:val="EC-Para"/>
        <w:numPr>
          <w:ilvl w:val="0"/>
          <w:numId w:val="7"/>
        </w:numPr>
        <w:spacing w:line="276" w:lineRule="auto"/>
        <w:ind w:left="1080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 w:rsidRP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>T</w:t>
      </w:r>
      <w:r w:rsidR="00FD2F73" w:rsidRP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he </w:t>
      </w:r>
      <w:r w:rsidR="00FF0DD9">
        <w:rPr>
          <w:rFonts w:eastAsia="Times New Roman" w:cs="Tahoma"/>
          <w:bCs/>
          <w:color w:val="auto"/>
          <w:sz w:val="22"/>
          <w:szCs w:val="20"/>
          <w:lang w:val="en-US" w:bidi="en-US"/>
        </w:rPr>
        <w:t>draft agenda</w:t>
      </w:r>
      <w:r w:rsidR="00FD2F73" w:rsidRP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for the duration of the visit. </w:t>
      </w:r>
    </w:p>
    <w:p w14:paraId="035CDC75" w14:textId="0EE7D953" w:rsidR="00FD2F73" w:rsidRPr="002F22AD" w:rsidRDefault="00FD2F73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 w:rsidRP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4. ECDC will review and either approve, reject or ask for further clarification on the application. A reply </w:t>
      </w:r>
      <w:r w:rsidR="000128F1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should </w:t>
      </w:r>
      <w:r w:rsidRPr="002F22AD">
        <w:rPr>
          <w:rFonts w:eastAsia="Times New Roman" w:cs="Tahoma"/>
          <w:bCs/>
          <w:color w:val="auto"/>
          <w:sz w:val="22"/>
          <w:szCs w:val="20"/>
          <w:lang w:val="en-US" w:bidi="en-US"/>
        </w:rPr>
        <w:t>be sent to the applicant within 10 working days.</w:t>
      </w:r>
    </w:p>
    <w:p w14:paraId="1C82140D" w14:textId="1438D63D" w:rsidR="00FD2F73" w:rsidRDefault="000128F1" w:rsidP="00FD2F73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5. I</w:t>
      </w:r>
      <w:r w:rsidR="00FD2F73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f successful, ECDC will </w:t>
      </w:r>
      <w:r w:rsidR="005230C3">
        <w:rPr>
          <w:rFonts w:eastAsia="Times New Roman" w:cs="Tahoma"/>
          <w:bCs/>
          <w:color w:val="auto"/>
          <w:sz w:val="22"/>
          <w:szCs w:val="20"/>
          <w:lang w:val="en-US" w:bidi="en-US"/>
        </w:rPr>
        <w:t>send an official invitation</w:t>
      </w:r>
      <w:r w:rsidR="001C5BDF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, </w:t>
      </w:r>
      <w:r w:rsidR="00FD2F73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organize flights and </w:t>
      </w:r>
      <w:r w:rsidR="00830F3B">
        <w:rPr>
          <w:rFonts w:eastAsia="Times New Roman" w:cs="Tahoma"/>
          <w:bCs/>
          <w:color w:val="auto"/>
          <w:sz w:val="22"/>
          <w:szCs w:val="20"/>
          <w:lang w:val="en-US" w:bidi="en-US"/>
        </w:rPr>
        <w:t>accommodation</w:t>
      </w:r>
      <w:r w:rsidR="00FD2F73"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 for the attendee. A per diem will also be paid to cover costs such as local transport and meals.</w:t>
      </w:r>
    </w:p>
    <w:p w14:paraId="4547FC42" w14:textId="07B9A12C" w:rsidR="00FD2F73" w:rsidRDefault="00FD2F73" w:rsidP="00FD2F73">
      <w:pPr>
        <w:pStyle w:val="EC-Para"/>
        <w:spacing w:line="276" w:lineRule="auto"/>
        <w:jc w:val="both"/>
        <w:rPr>
          <w:rFonts w:eastAsia="Times New Roman" w:cs="Tahoma"/>
          <w:bCs/>
          <w:color w:val="auto"/>
          <w:sz w:val="22"/>
          <w:szCs w:val="20"/>
          <w:lang w:val="en-US" w:bidi="en-US"/>
        </w:rPr>
      </w:pP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>6. If unsuccessful, ECDC will provide feedback on the application. The applicant is free to re</w:t>
      </w:r>
      <w:r w:rsidR="000128F1">
        <w:rPr>
          <w:rFonts w:eastAsia="Times New Roman" w:cs="Tahoma"/>
          <w:bCs/>
          <w:color w:val="auto"/>
          <w:sz w:val="22"/>
          <w:szCs w:val="20"/>
          <w:lang w:val="en-US" w:bidi="en-US"/>
        </w:rPr>
        <w:t>-</w:t>
      </w:r>
      <w:r>
        <w:rPr>
          <w:rFonts w:eastAsia="Times New Roman" w:cs="Tahoma"/>
          <w:bCs/>
          <w:color w:val="auto"/>
          <w:sz w:val="22"/>
          <w:szCs w:val="20"/>
          <w:lang w:val="en-US" w:bidi="en-US"/>
        </w:rPr>
        <w:t xml:space="preserve">apply. </w:t>
      </w:r>
    </w:p>
    <w:p w14:paraId="54A5FD1E" w14:textId="77777777" w:rsidR="00FD2F73" w:rsidRPr="00AC77F4" w:rsidRDefault="00FD2F73" w:rsidP="00B53BEA">
      <w:pPr>
        <w:pStyle w:val="Default"/>
        <w:spacing w:after="240" w:line="276" w:lineRule="auto"/>
        <w:jc w:val="both"/>
        <w:rPr>
          <w:rFonts w:ascii="Tahoma" w:eastAsia="Batang" w:hAnsi="Tahoma" w:cs="Tahoma"/>
          <w:kern w:val="22"/>
          <w:sz w:val="22"/>
          <w:szCs w:val="20"/>
          <w:lang w:eastAsia="ko-KR"/>
        </w:rPr>
      </w:pPr>
    </w:p>
    <w:p w14:paraId="61993D88" w14:textId="77777777" w:rsidR="00B53BEA" w:rsidRPr="00AC77F4" w:rsidRDefault="00B53BEA" w:rsidP="00B53BEA">
      <w:pPr>
        <w:pStyle w:val="Default"/>
        <w:spacing w:line="276" w:lineRule="auto"/>
        <w:jc w:val="both"/>
        <w:rPr>
          <w:rFonts w:ascii="Tahoma" w:hAnsi="Tahoma" w:cs="Tahoma"/>
          <w:b/>
          <w:sz w:val="22"/>
          <w:szCs w:val="20"/>
        </w:rPr>
      </w:pPr>
    </w:p>
    <w:p w14:paraId="4BFDFAC5" w14:textId="649C1552" w:rsidR="00B31A8E" w:rsidRPr="00AC77F4" w:rsidRDefault="00B31A8E" w:rsidP="00483FC7">
      <w:pPr>
        <w:pStyle w:val="Default"/>
        <w:spacing w:after="120" w:line="276" w:lineRule="auto"/>
        <w:jc w:val="both"/>
        <w:rPr>
          <w:rFonts w:ascii="Tahoma" w:hAnsi="Tahoma" w:cs="Tahoma"/>
          <w:sz w:val="28"/>
        </w:rPr>
      </w:pPr>
    </w:p>
    <w:sectPr w:rsidR="00B31A8E" w:rsidRPr="00AC77F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0D0DF" w14:textId="77777777" w:rsidR="007F3E32" w:rsidRDefault="007F3E32" w:rsidP="00B53BEA">
      <w:pPr>
        <w:spacing w:after="0" w:line="240" w:lineRule="auto"/>
      </w:pPr>
      <w:r>
        <w:separator/>
      </w:r>
    </w:p>
  </w:endnote>
  <w:endnote w:type="continuationSeparator" w:id="0">
    <w:p w14:paraId="235D5B91" w14:textId="77777777" w:rsidR="007F3E32" w:rsidRDefault="007F3E32" w:rsidP="00B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059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0FFAD8" w14:textId="22BAA7A0" w:rsidR="00F51C3A" w:rsidRDefault="00F51C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F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FB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6EBF6" w14:textId="77777777" w:rsidR="00F51C3A" w:rsidRDefault="00F51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2C60" w14:textId="77777777" w:rsidR="007F3E32" w:rsidRDefault="007F3E32" w:rsidP="00B53BEA">
      <w:pPr>
        <w:spacing w:after="0" w:line="240" w:lineRule="auto"/>
      </w:pPr>
      <w:r>
        <w:separator/>
      </w:r>
    </w:p>
  </w:footnote>
  <w:footnote w:type="continuationSeparator" w:id="0">
    <w:p w14:paraId="752F951D" w14:textId="77777777" w:rsidR="007F3E32" w:rsidRDefault="007F3E32" w:rsidP="00B53BEA">
      <w:pPr>
        <w:spacing w:after="0" w:line="240" w:lineRule="auto"/>
      </w:pPr>
      <w:r>
        <w:continuationSeparator/>
      </w:r>
    </w:p>
  </w:footnote>
  <w:footnote w:id="1">
    <w:p w14:paraId="3ED7BAE1" w14:textId="6B9D3717" w:rsidR="00B53BEA" w:rsidRDefault="00B53BEA" w:rsidP="00B53B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91CDC">
        <w:rPr>
          <w:rFonts w:ascii="Arial" w:hAnsi="Arial" w:cs="Arial"/>
          <w:sz w:val="16"/>
          <w:szCs w:val="16"/>
        </w:rPr>
        <w:t xml:space="preserve">List of infectious diseases under EU-wide surveillance: </w:t>
      </w:r>
      <w:hyperlink r:id="rId1" w:history="1">
        <w:r w:rsidR="00391CDC" w:rsidRPr="00391CDC">
          <w:rPr>
            <w:rStyle w:val="Hyperlink"/>
            <w:rFonts w:ascii="Arial" w:hAnsi="Arial" w:cs="Arial"/>
            <w:sz w:val="16"/>
            <w:szCs w:val="16"/>
          </w:rPr>
          <w:t>https://ecdc.europa.eu/en/surveillance-and-disease-data/eu-case-definitions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115E"/>
    <w:multiLevelType w:val="hybridMultilevel"/>
    <w:tmpl w:val="0EA4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26A8"/>
    <w:multiLevelType w:val="hybridMultilevel"/>
    <w:tmpl w:val="4EDA6C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66690"/>
    <w:multiLevelType w:val="hybridMultilevel"/>
    <w:tmpl w:val="86F878FE"/>
    <w:lvl w:ilvl="0" w:tplc="4D7CF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4211F"/>
    <w:multiLevelType w:val="hybridMultilevel"/>
    <w:tmpl w:val="AD60DBD8"/>
    <w:lvl w:ilvl="0" w:tplc="EEACBDAC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EA"/>
    <w:rsid w:val="000002FB"/>
    <w:rsid w:val="00001C08"/>
    <w:rsid w:val="00010A01"/>
    <w:rsid w:val="000128F1"/>
    <w:rsid w:val="00012C30"/>
    <w:rsid w:val="000307B2"/>
    <w:rsid w:val="00045C03"/>
    <w:rsid w:val="0004722A"/>
    <w:rsid w:val="00050118"/>
    <w:rsid w:val="00050B6C"/>
    <w:rsid w:val="00050CD9"/>
    <w:rsid w:val="00054999"/>
    <w:rsid w:val="000648A3"/>
    <w:rsid w:val="00081C9E"/>
    <w:rsid w:val="00081F6C"/>
    <w:rsid w:val="00082DE8"/>
    <w:rsid w:val="00085516"/>
    <w:rsid w:val="000861EC"/>
    <w:rsid w:val="0009394C"/>
    <w:rsid w:val="000944F3"/>
    <w:rsid w:val="000A1AC5"/>
    <w:rsid w:val="000B316D"/>
    <w:rsid w:val="000C286C"/>
    <w:rsid w:val="000D07C4"/>
    <w:rsid w:val="000D77C7"/>
    <w:rsid w:val="000E0851"/>
    <w:rsid w:val="000F0E63"/>
    <w:rsid w:val="000F1582"/>
    <w:rsid w:val="000F1963"/>
    <w:rsid w:val="000F72D5"/>
    <w:rsid w:val="00100E7B"/>
    <w:rsid w:val="00103F7C"/>
    <w:rsid w:val="001064E1"/>
    <w:rsid w:val="001130DA"/>
    <w:rsid w:val="00114B7E"/>
    <w:rsid w:val="0011507C"/>
    <w:rsid w:val="00130A69"/>
    <w:rsid w:val="00140AE2"/>
    <w:rsid w:val="00141540"/>
    <w:rsid w:val="001551B4"/>
    <w:rsid w:val="00160189"/>
    <w:rsid w:val="001612C1"/>
    <w:rsid w:val="00163E86"/>
    <w:rsid w:val="00165F26"/>
    <w:rsid w:val="0016773D"/>
    <w:rsid w:val="00184C55"/>
    <w:rsid w:val="001927EA"/>
    <w:rsid w:val="0019390E"/>
    <w:rsid w:val="00193BCC"/>
    <w:rsid w:val="00196A22"/>
    <w:rsid w:val="001A0198"/>
    <w:rsid w:val="001A1028"/>
    <w:rsid w:val="001A2B77"/>
    <w:rsid w:val="001A47D9"/>
    <w:rsid w:val="001A51B5"/>
    <w:rsid w:val="001B6521"/>
    <w:rsid w:val="001C4BEB"/>
    <w:rsid w:val="001C5962"/>
    <w:rsid w:val="001C5BDF"/>
    <w:rsid w:val="001C7297"/>
    <w:rsid w:val="001D4AC5"/>
    <w:rsid w:val="001D5757"/>
    <w:rsid w:val="001E10E3"/>
    <w:rsid w:val="001E7A1F"/>
    <w:rsid w:val="001F2383"/>
    <w:rsid w:val="001F4CAC"/>
    <w:rsid w:val="00201506"/>
    <w:rsid w:val="00203FB6"/>
    <w:rsid w:val="00204A35"/>
    <w:rsid w:val="00215F2B"/>
    <w:rsid w:val="0021696B"/>
    <w:rsid w:val="002212A8"/>
    <w:rsid w:val="00223356"/>
    <w:rsid w:val="0022564C"/>
    <w:rsid w:val="002258A4"/>
    <w:rsid w:val="002366E9"/>
    <w:rsid w:val="00240892"/>
    <w:rsid w:val="002424E3"/>
    <w:rsid w:val="00242F2B"/>
    <w:rsid w:val="0024309B"/>
    <w:rsid w:val="00246CA4"/>
    <w:rsid w:val="00247F47"/>
    <w:rsid w:val="00250B72"/>
    <w:rsid w:val="00256B84"/>
    <w:rsid w:val="00256E98"/>
    <w:rsid w:val="00257094"/>
    <w:rsid w:val="0026455A"/>
    <w:rsid w:val="00265EBE"/>
    <w:rsid w:val="00266DF0"/>
    <w:rsid w:val="002802D8"/>
    <w:rsid w:val="0028040F"/>
    <w:rsid w:val="00281979"/>
    <w:rsid w:val="00283989"/>
    <w:rsid w:val="00285F0C"/>
    <w:rsid w:val="00290472"/>
    <w:rsid w:val="00294147"/>
    <w:rsid w:val="00294526"/>
    <w:rsid w:val="002A672F"/>
    <w:rsid w:val="002B1184"/>
    <w:rsid w:val="002C00C9"/>
    <w:rsid w:val="002D00EA"/>
    <w:rsid w:val="002D1DC1"/>
    <w:rsid w:val="002D3FA7"/>
    <w:rsid w:val="002D7AE8"/>
    <w:rsid w:val="002E583D"/>
    <w:rsid w:val="002E79C0"/>
    <w:rsid w:val="002F07A2"/>
    <w:rsid w:val="002F1D9A"/>
    <w:rsid w:val="002F22AD"/>
    <w:rsid w:val="002F3211"/>
    <w:rsid w:val="002F35D4"/>
    <w:rsid w:val="00300686"/>
    <w:rsid w:val="0030629A"/>
    <w:rsid w:val="00307B6A"/>
    <w:rsid w:val="00314DDB"/>
    <w:rsid w:val="00316208"/>
    <w:rsid w:val="003165A2"/>
    <w:rsid w:val="00325676"/>
    <w:rsid w:val="0032775A"/>
    <w:rsid w:val="00330997"/>
    <w:rsid w:val="00330A2E"/>
    <w:rsid w:val="00331248"/>
    <w:rsid w:val="00334472"/>
    <w:rsid w:val="00344D41"/>
    <w:rsid w:val="00347B36"/>
    <w:rsid w:val="00357F9E"/>
    <w:rsid w:val="0036151E"/>
    <w:rsid w:val="00361D7D"/>
    <w:rsid w:val="00371FF8"/>
    <w:rsid w:val="00376B8D"/>
    <w:rsid w:val="0038111A"/>
    <w:rsid w:val="0038629B"/>
    <w:rsid w:val="00386EAB"/>
    <w:rsid w:val="003901E8"/>
    <w:rsid w:val="00391CDC"/>
    <w:rsid w:val="003974BE"/>
    <w:rsid w:val="00397E64"/>
    <w:rsid w:val="003A0E8B"/>
    <w:rsid w:val="003A0ED6"/>
    <w:rsid w:val="003A2CBA"/>
    <w:rsid w:val="003B0FEE"/>
    <w:rsid w:val="003B55B3"/>
    <w:rsid w:val="003B6252"/>
    <w:rsid w:val="003B70E2"/>
    <w:rsid w:val="003B74A6"/>
    <w:rsid w:val="003C4E53"/>
    <w:rsid w:val="003E481C"/>
    <w:rsid w:val="00402905"/>
    <w:rsid w:val="00404D05"/>
    <w:rsid w:val="00407EF5"/>
    <w:rsid w:val="004154C4"/>
    <w:rsid w:val="004243A7"/>
    <w:rsid w:val="00427B5B"/>
    <w:rsid w:val="00432DCA"/>
    <w:rsid w:val="00436989"/>
    <w:rsid w:val="00436A57"/>
    <w:rsid w:val="004441E9"/>
    <w:rsid w:val="004447DA"/>
    <w:rsid w:val="00453613"/>
    <w:rsid w:val="00455589"/>
    <w:rsid w:val="00457291"/>
    <w:rsid w:val="0048342A"/>
    <w:rsid w:val="00483FC7"/>
    <w:rsid w:val="00484F9A"/>
    <w:rsid w:val="00487842"/>
    <w:rsid w:val="00494CF7"/>
    <w:rsid w:val="00497583"/>
    <w:rsid w:val="00497EDB"/>
    <w:rsid w:val="004A0769"/>
    <w:rsid w:val="004A5D5C"/>
    <w:rsid w:val="004B44F6"/>
    <w:rsid w:val="004C0DB2"/>
    <w:rsid w:val="004C1C12"/>
    <w:rsid w:val="004C3FD1"/>
    <w:rsid w:val="004C449E"/>
    <w:rsid w:val="004D4679"/>
    <w:rsid w:val="004D657B"/>
    <w:rsid w:val="004E09C4"/>
    <w:rsid w:val="004E0EDF"/>
    <w:rsid w:val="004E4AA0"/>
    <w:rsid w:val="004E4F24"/>
    <w:rsid w:val="00503DFB"/>
    <w:rsid w:val="00504624"/>
    <w:rsid w:val="00506D89"/>
    <w:rsid w:val="00514F7F"/>
    <w:rsid w:val="005230C3"/>
    <w:rsid w:val="00523109"/>
    <w:rsid w:val="00527E0A"/>
    <w:rsid w:val="00527FC9"/>
    <w:rsid w:val="00534642"/>
    <w:rsid w:val="0053711C"/>
    <w:rsid w:val="00542E54"/>
    <w:rsid w:val="005514EC"/>
    <w:rsid w:val="005550BA"/>
    <w:rsid w:val="00555BA4"/>
    <w:rsid w:val="00556429"/>
    <w:rsid w:val="005624CD"/>
    <w:rsid w:val="00564D53"/>
    <w:rsid w:val="005668B8"/>
    <w:rsid w:val="00571CBD"/>
    <w:rsid w:val="0057252E"/>
    <w:rsid w:val="00573F3E"/>
    <w:rsid w:val="0057667F"/>
    <w:rsid w:val="00580CDC"/>
    <w:rsid w:val="005812B1"/>
    <w:rsid w:val="00581790"/>
    <w:rsid w:val="005842EB"/>
    <w:rsid w:val="00586B8C"/>
    <w:rsid w:val="0058747A"/>
    <w:rsid w:val="005918F4"/>
    <w:rsid w:val="00594541"/>
    <w:rsid w:val="005A1CC8"/>
    <w:rsid w:val="005A242E"/>
    <w:rsid w:val="005A5737"/>
    <w:rsid w:val="005B4BD1"/>
    <w:rsid w:val="005C211C"/>
    <w:rsid w:val="005C64F1"/>
    <w:rsid w:val="005D048B"/>
    <w:rsid w:val="005D1730"/>
    <w:rsid w:val="005D1C9C"/>
    <w:rsid w:val="005D59A7"/>
    <w:rsid w:val="005D72C0"/>
    <w:rsid w:val="005E0108"/>
    <w:rsid w:val="005E5B39"/>
    <w:rsid w:val="005F0351"/>
    <w:rsid w:val="005F266A"/>
    <w:rsid w:val="00601F0B"/>
    <w:rsid w:val="00615BE8"/>
    <w:rsid w:val="0061773B"/>
    <w:rsid w:val="00617875"/>
    <w:rsid w:val="00632C3D"/>
    <w:rsid w:val="00635078"/>
    <w:rsid w:val="00643ABC"/>
    <w:rsid w:val="00651247"/>
    <w:rsid w:val="00657518"/>
    <w:rsid w:val="0066336C"/>
    <w:rsid w:val="0066753C"/>
    <w:rsid w:val="00684D74"/>
    <w:rsid w:val="00686700"/>
    <w:rsid w:val="00693C68"/>
    <w:rsid w:val="006A2E42"/>
    <w:rsid w:val="006A3427"/>
    <w:rsid w:val="006A57C3"/>
    <w:rsid w:val="006A736C"/>
    <w:rsid w:val="006A7849"/>
    <w:rsid w:val="006B0126"/>
    <w:rsid w:val="006B3C29"/>
    <w:rsid w:val="006B3FF7"/>
    <w:rsid w:val="006B413D"/>
    <w:rsid w:val="006B66CC"/>
    <w:rsid w:val="006C07DF"/>
    <w:rsid w:val="006C316C"/>
    <w:rsid w:val="006C4E94"/>
    <w:rsid w:val="006C7C1A"/>
    <w:rsid w:val="006E1911"/>
    <w:rsid w:val="006F077E"/>
    <w:rsid w:val="006F51B5"/>
    <w:rsid w:val="00705206"/>
    <w:rsid w:val="00710544"/>
    <w:rsid w:val="00710E4C"/>
    <w:rsid w:val="00711319"/>
    <w:rsid w:val="00721636"/>
    <w:rsid w:val="00721FEF"/>
    <w:rsid w:val="00726E02"/>
    <w:rsid w:val="0072734F"/>
    <w:rsid w:val="00730134"/>
    <w:rsid w:val="00731298"/>
    <w:rsid w:val="007476D4"/>
    <w:rsid w:val="00747A10"/>
    <w:rsid w:val="007517B8"/>
    <w:rsid w:val="007560AF"/>
    <w:rsid w:val="00757CD0"/>
    <w:rsid w:val="0077124B"/>
    <w:rsid w:val="00777FFA"/>
    <w:rsid w:val="00781898"/>
    <w:rsid w:val="00781CD2"/>
    <w:rsid w:val="007871D7"/>
    <w:rsid w:val="007879D7"/>
    <w:rsid w:val="00790E79"/>
    <w:rsid w:val="007A2EB8"/>
    <w:rsid w:val="007A5BA7"/>
    <w:rsid w:val="007B0D07"/>
    <w:rsid w:val="007B1520"/>
    <w:rsid w:val="007B214A"/>
    <w:rsid w:val="007C1BB2"/>
    <w:rsid w:val="007C5526"/>
    <w:rsid w:val="007C56E7"/>
    <w:rsid w:val="007D16F7"/>
    <w:rsid w:val="007E0D7A"/>
    <w:rsid w:val="007E4169"/>
    <w:rsid w:val="007E7FFA"/>
    <w:rsid w:val="007F3E32"/>
    <w:rsid w:val="007F5B81"/>
    <w:rsid w:val="007F73F7"/>
    <w:rsid w:val="007F77D9"/>
    <w:rsid w:val="0081254A"/>
    <w:rsid w:val="00816743"/>
    <w:rsid w:val="00816E01"/>
    <w:rsid w:val="00823254"/>
    <w:rsid w:val="00825D0D"/>
    <w:rsid w:val="00830F3B"/>
    <w:rsid w:val="00851D9D"/>
    <w:rsid w:val="0086164F"/>
    <w:rsid w:val="0086166A"/>
    <w:rsid w:val="008626CC"/>
    <w:rsid w:val="00870EB3"/>
    <w:rsid w:val="008739FD"/>
    <w:rsid w:val="008762CA"/>
    <w:rsid w:val="008774A1"/>
    <w:rsid w:val="00881F76"/>
    <w:rsid w:val="00883916"/>
    <w:rsid w:val="00885F0D"/>
    <w:rsid w:val="00887EC6"/>
    <w:rsid w:val="008918DB"/>
    <w:rsid w:val="00894836"/>
    <w:rsid w:val="00894A23"/>
    <w:rsid w:val="00897E36"/>
    <w:rsid w:val="008A19ED"/>
    <w:rsid w:val="008A59E2"/>
    <w:rsid w:val="008A6F9B"/>
    <w:rsid w:val="008B1835"/>
    <w:rsid w:val="008B2C7C"/>
    <w:rsid w:val="008B320A"/>
    <w:rsid w:val="008B3FDD"/>
    <w:rsid w:val="008B4E2F"/>
    <w:rsid w:val="008B7375"/>
    <w:rsid w:val="008B7C09"/>
    <w:rsid w:val="008C5806"/>
    <w:rsid w:val="008C64B7"/>
    <w:rsid w:val="008D2CF4"/>
    <w:rsid w:val="008D375B"/>
    <w:rsid w:val="008D5BB8"/>
    <w:rsid w:val="008D6551"/>
    <w:rsid w:val="008D6E0E"/>
    <w:rsid w:val="008E00AB"/>
    <w:rsid w:val="008E00F2"/>
    <w:rsid w:val="008E2C04"/>
    <w:rsid w:val="008E407F"/>
    <w:rsid w:val="008E6C9A"/>
    <w:rsid w:val="008F17F7"/>
    <w:rsid w:val="008F1F7C"/>
    <w:rsid w:val="008F612B"/>
    <w:rsid w:val="009021B3"/>
    <w:rsid w:val="00903499"/>
    <w:rsid w:val="00904DB8"/>
    <w:rsid w:val="00910585"/>
    <w:rsid w:val="00911686"/>
    <w:rsid w:val="00914E90"/>
    <w:rsid w:val="00922D4F"/>
    <w:rsid w:val="00926B84"/>
    <w:rsid w:val="00937419"/>
    <w:rsid w:val="009376F8"/>
    <w:rsid w:val="009437EA"/>
    <w:rsid w:val="00954B93"/>
    <w:rsid w:val="009556F5"/>
    <w:rsid w:val="0095687B"/>
    <w:rsid w:val="00957235"/>
    <w:rsid w:val="00957E0D"/>
    <w:rsid w:val="00966989"/>
    <w:rsid w:val="00975EA4"/>
    <w:rsid w:val="00977155"/>
    <w:rsid w:val="00984451"/>
    <w:rsid w:val="0098472E"/>
    <w:rsid w:val="00994261"/>
    <w:rsid w:val="009A5BEE"/>
    <w:rsid w:val="009A69E7"/>
    <w:rsid w:val="009A7283"/>
    <w:rsid w:val="009A72D2"/>
    <w:rsid w:val="009B1442"/>
    <w:rsid w:val="009B263D"/>
    <w:rsid w:val="009B366A"/>
    <w:rsid w:val="009B4844"/>
    <w:rsid w:val="009B768A"/>
    <w:rsid w:val="009C2464"/>
    <w:rsid w:val="009C3489"/>
    <w:rsid w:val="009D50A5"/>
    <w:rsid w:val="009E540A"/>
    <w:rsid w:val="009E6437"/>
    <w:rsid w:val="009F5C1D"/>
    <w:rsid w:val="00A110D3"/>
    <w:rsid w:val="00A12538"/>
    <w:rsid w:val="00A132B5"/>
    <w:rsid w:val="00A1458C"/>
    <w:rsid w:val="00A16BE5"/>
    <w:rsid w:val="00A17400"/>
    <w:rsid w:val="00A2365D"/>
    <w:rsid w:val="00A26751"/>
    <w:rsid w:val="00A3256A"/>
    <w:rsid w:val="00A33BAD"/>
    <w:rsid w:val="00A34304"/>
    <w:rsid w:val="00A35BAC"/>
    <w:rsid w:val="00A36ADB"/>
    <w:rsid w:val="00A41192"/>
    <w:rsid w:val="00A56A19"/>
    <w:rsid w:val="00A61D6F"/>
    <w:rsid w:val="00A63CD8"/>
    <w:rsid w:val="00A72B0A"/>
    <w:rsid w:val="00A801A2"/>
    <w:rsid w:val="00A8106B"/>
    <w:rsid w:val="00A861D4"/>
    <w:rsid w:val="00A8637F"/>
    <w:rsid w:val="00A93003"/>
    <w:rsid w:val="00A96990"/>
    <w:rsid w:val="00AC4A80"/>
    <w:rsid w:val="00AC6820"/>
    <w:rsid w:val="00AC6F12"/>
    <w:rsid w:val="00AC77F4"/>
    <w:rsid w:val="00AD0190"/>
    <w:rsid w:val="00AE5BAC"/>
    <w:rsid w:val="00AE6225"/>
    <w:rsid w:val="00AF1014"/>
    <w:rsid w:val="00AF6526"/>
    <w:rsid w:val="00AF70B0"/>
    <w:rsid w:val="00AF7AE0"/>
    <w:rsid w:val="00B02829"/>
    <w:rsid w:val="00B0355D"/>
    <w:rsid w:val="00B0531D"/>
    <w:rsid w:val="00B132D2"/>
    <w:rsid w:val="00B22610"/>
    <w:rsid w:val="00B27E4C"/>
    <w:rsid w:val="00B31A8E"/>
    <w:rsid w:val="00B32050"/>
    <w:rsid w:val="00B36EC0"/>
    <w:rsid w:val="00B40FB1"/>
    <w:rsid w:val="00B4690A"/>
    <w:rsid w:val="00B47873"/>
    <w:rsid w:val="00B51A77"/>
    <w:rsid w:val="00B53BEA"/>
    <w:rsid w:val="00B55CEC"/>
    <w:rsid w:val="00B611B8"/>
    <w:rsid w:val="00B637F1"/>
    <w:rsid w:val="00B63D46"/>
    <w:rsid w:val="00B72D92"/>
    <w:rsid w:val="00B814C1"/>
    <w:rsid w:val="00B900D1"/>
    <w:rsid w:val="00B9374A"/>
    <w:rsid w:val="00BA5D8C"/>
    <w:rsid w:val="00BA7451"/>
    <w:rsid w:val="00BB175E"/>
    <w:rsid w:val="00BD1250"/>
    <w:rsid w:val="00BD1632"/>
    <w:rsid w:val="00BD3EE0"/>
    <w:rsid w:val="00BF0381"/>
    <w:rsid w:val="00BF58A6"/>
    <w:rsid w:val="00C0055F"/>
    <w:rsid w:val="00C010F1"/>
    <w:rsid w:val="00C0503A"/>
    <w:rsid w:val="00C12BED"/>
    <w:rsid w:val="00C149A8"/>
    <w:rsid w:val="00C20C36"/>
    <w:rsid w:val="00C34398"/>
    <w:rsid w:val="00C370E3"/>
    <w:rsid w:val="00C405B9"/>
    <w:rsid w:val="00C40B69"/>
    <w:rsid w:val="00C43775"/>
    <w:rsid w:val="00C4774E"/>
    <w:rsid w:val="00C53061"/>
    <w:rsid w:val="00C5493F"/>
    <w:rsid w:val="00C60168"/>
    <w:rsid w:val="00C61F95"/>
    <w:rsid w:val="00C63E11"/>
    <w:rsid w:val="00C730AB"/>
    <w:rsid w:val="00C7539D"/>
    <w:rsid w:val="00C75E67"/>
    <w:rsid w:val="00C76A6F"/>
    <w:rsid w:val="00C81C6C"/>
    <w:rsid w:val="00C837AA"/>
    <w:rsid w:val="00C86176"/>
    <w:rsid w:val="00C92E9F"/>
    <w:rsid w:val="00C97BAF"/>
    <w:rsid w:val="00CA1CE2"/>
    <w:rsid w:val="00CB0642"/>
    <w:rsid w:val="00CC0DB0"/>
    <w:rsid w:val="00CD186E"/>
    <w:rsid w:val="00CD6407"/>
    <w:rsid w:val="00CE1FB3"/>
    <w:rsid w:val="00CF649B"/>
    <w:rsid w:val="00CF7AFF"/>
    <w:rsid w:val="00D10464"/>
    <w:rsid w:val="00D1381C"/>
    <w:rsid w:val="00D20D27"/>
    <w:rsid w:val="00D246A9"/>
    <w:rsid w:val="00D31396"/>
    <w:rsid w:val="00D44090"/>
    <w:rsid w:val="00D62ACF"/>
    <w:rsid w:val="00D72E1B"/>
    <w:rsid w:val="00D75323"/>
    <w:rsid w:val="00D77358"/>
    <w:rsid w:val="00D87211"/>
    <w:rsid w:val="00D90DF5"/>
    <w:rsid w:val="00D9389A"/>
    <w:rsid w:val="00DA49AB"/>
    <w:rsid w:val="00DA702E"/>
    <w:rsid w:val="00DA7BDF"/>
    <w:rsid w:val="00DB1CBA"/>
    <w:rsid w:val="00DB3769"/>
    <w:rsid w:val="00DB67F0"/>
    <w:rsid w:val="00DB6D4A"/>
    <w:rsid w:val="00DC6AB9"/>
    <w:rsid w:val="00DD0039"/>
    <w:rsid w:val="00DD4EC6"/>
    <w:rsid w:val="00DD7CEA"/>
    <w:rsid w:val="00DE64BE"/>
    <w:rsid w:val="00DE65BE"/>
    <w:rsid w:val="00DF6009"/>
    <w:rsid w:val="00DF63A1"/>
    <w:rsid w:val="00DF6970"/>
    <w:rsid w:val="00DF6DDE"/>
    <w:rsid w:val="00E03A71"/>
    <w:rsid w:val="00E12CDB"/>
    <w:rsid w:val="00E13323"/>
    <w:rsid w:val="00E1346D"/>
    <w:rsid w:val="00E23E9E"/>
    <w:rsid w:val="00E26158"/>
    <w:rsid w:val="00E34949"/>
    <w:rsid w:val="00E3681B"/>
    <w:rsid w:val="00E4190A"/>
    <w:rsid w:val="00E42730"/>
    <w:rsid w:val="00E43571"/>
    <w:rsid w:val="00E435A9"/>
    <w:rsid w:val="00E45D36"/>
    <w:rsid w:val="00E56844"/>
    <w:rsid w:val="00E60545"/>
    <w:rsid w:val="00E66819"/>
    <w:rsid w:val="00E66CEA"/>
    <w:rsid w:val="00E76347"/>
    <w:rsid w:val="00E91E76"/>
    <w:rsid w:val="00E93EC7"/>
    <w:rsid w:val="00EA037F"/>
    <w:rsid w:val="00EA2684"/>
    <w:rsid w:val="00EA3A7A"/>
    <w:rsid w:val="00EA69C4"/>
    <w:rsid w:val="00EB7E1C"/>
    <w:rsid w:val="00ED033D"/>
    <w:rsid w:val="00ED0957"/>
    <w:rsid w:val="00ED1BA1"/>
    <w:rsid w:val="00ED304A"/>
    <w:rsid w:val="00ED3328"/>
    <w:rsid w:val="00ED6777"/>
    <w:rsid w:val="00EE0315"/>
    <w:rsid w:val="00EE1165"/>
    <w:rsid w:val="00EE2DF4"/>
    <w:rsid w:val="00EE5753"/>
    <w:rsid w:val="00EF3FD8"/>
    <w:rsid w:val="00EF51E8"/>
    <w:rsid w:val="00EF559E"/>
    <w:rsid w:val="00EF57CD"/>
    <w:rsid w:val="00F01DD1"/>
    <w:rsid w:val="00F030A0"/>
    <w:rsid w:val="00F036BD"/>
    <w:rsid w:val="00F03726"/>
    <w:rsid w:val="00F0637E"/>
    <w:rsid w:val="00F067DD"/>
    <w:rsid w:val="00F06DB2"/>
    <w:rsid w:val="00F105CD"/>
    <w:rsid w:val="00F1122A"/>
    <w:rsid w:val="00F2721E"/>
    <w:rsid w:val="00F3315E"/>
    <w:rsid w:val="00F42A09"/>
    <w:rsid w:val="00F50527"/>
    <w:rsid w:val="00F50818"/>
    <w:rsid w:val="00F51C3A"/>
    <w:rsid w:val="00F53FBA"/>
    <w:rsid w:val="00F60604"/>
    <w:rsid w:val="00F634FF"/>
    <w:rsid w:val="00F64540"/>
    <w:rsid w:val="00F65B7E"/>
    <w:rsid w:val="00F66F44"/>
    <w:rsid w:val="00F70AC2"/>
    <w:rsid w:val="00F70C36"/>
    <w:rsid w:val="00F8116A"/>
    <w:rsid w:val="00F839B6"/>
    <w:rsid w:val="00F87344"/>
    <w:rsid w:val="00F94C92"/>
    <w:rsid w:val="00F96666"/>
    <w:rsid w:val="00FA11D2"/>
    <w:rsid w:val="00FA1386"/>
    <w:rsid w:val="00FB0F97"/>
    <w:rsid w:val="00FB2ABA"/>
    <w:rsid w:val="00FD04E9"/>
    <w:rsid w:val="00FD2F73"/>
    <w:rsid w:val="00FE2604"/>
    <w:rsid w:val="00FE4E2E"/>
    <w:rsid w:val="00FE6020"/>
    <w:rsid w:val="00FF0DD9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5B6F"/>
  <w15:docId w15:val="{AE45CC33-C896-43E7-9576-2E21E32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3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C-Para">
    <w:name w:val="EC-Para"/>
    <w:link w:val="EC-ParaCharChar"/>
    <w:rsid w:val="00B53BEA"/>
    <w:pPr>
      <w:autoSpaceDE w:val="0"/>
      <w:autoSpaceDN w:val="0"/>
      <w:adjustRightInd w:val="0"/>
      <w:spacing w:after="120" w:line="200" w:lineRule="atLeast"/>
    </w:pPr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B53BEA"/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character" w:styleId="Hyperlink">
    <w:name w:val="Hyperlink"/>
    <w:basedOn w:val="DefaultParagraphFont"/>
    <w:rsid w:val="00B53BEA"/>
    <w:rPr>
      <w:rFonts w:ascii="Tahoma" w:hAnsi="Tahoma"/>
      <w:color w:val="4F6228" w:themeColor="accent3" w:themeShade="80"/>
      <w:sz w:val="18"/>
      <w:u w:val="single"/>
    </w:rPr>
  </w:style>
  <w:style w:type="paragraph" w:customStyle="1" w:styleId="EC-List1">
    <w:name w:val="EC-List1"/>
    <w:next w:val="EC-Para"/>
    <w:link w:val="EC-List1Char"/>
    <w:rsid w:val="00B53BEA"/>
    <w:pPr>
      <w:widowControl w:val="0"/>
      <w:numPr>
        <w:numId w:val="1"/>
      </w:numPr>
      <w:tabs>
        <w:tab w:val="left" w:pos="567"/>
      </w:tabs>
      <w:spacing w:after="0" w:line="220" w:lineRule="exact"/>
    </w:pPr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character" w:customStyle="1" w:styleId="EC-List1Char">
    <w:name w:val="EC-List1 Char"/>
    <w:basedOn w:val="EC-ParaCharChar"/>
    <w:link w:val="EC-List1"/>
    <w:rsid w:val="00B53BEA"/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paragraph" w:customStyle="1" w:styleId="EC-List1end">
    <w:name w:val="EC-List1end"/>
    <w:basedOn w:val="EC-List1"/>
    <w:next w:val="EC-Para"/>
    <w:link w:val="EC-List1endCharChar"/>
    <w:rsid w:val="00B53BEA"/>
    <w:pPr>
      <w:spacing w:after="120"/>
    </w:pPr>
  </w:style>
  <w:style w:type="character" w:customStyle="1" w:styleId="EC-List1endCharChar">
    <w:name w:val="EC-List1end Char Char"/>
    <w:basedOn w:val="EC-List1Char"/>
    <w:link w:val="EC-List1end"/>
    <w:rsid w:val="00B53BEA"/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paragraph" w:customStyle="1" w:styleId="EC-Title-4">
    <w:name w:val="EC-Title-4"/>
    <w:next w:val="EC-Para"/>
    <w:link w:val="EC-Title-4CharChar"/>
    <w:rsid w:val="00B53BEA"/>
    <w:pPr>
      <w:autoSpaceDE w:val="0"/>
      <w:autoSpaceDN w:val="0"/>
      <w:adjustRightInd w:val="0"/>
      <w:spacing w:before="240" w:after="240" w:line="240" w:lineRule="auto"/>
    </w:pPr>
    <w:rPr>
      <w:rFonts w:ascii="Tahoma" w:eastAsia="Times New Roman" w:hAnsi="Tahoma" w:cs="Tahoma"/>
      <w:b/>
      <w:bCs/>
      <w:color w:val="669900"/>
      <w:sz w:val="40"/>
      <w:szCs w:val="40"/>
    </w:rPr>
  </w:style>
  <w:style w:type="character" w:customStyle="1" w:styleId="EC-Title-4CharChar">
    <w:name w:val="EC-Title-4 Char Char"/>
    <w:basedOn w:val="DefaultParagraphFont"/>
    <w:link w:val="EC-Title-4"/>
    <w:rsid w:val="00B53BEA"/>
    <w:rPr>
      <w:rFonts w:ascii="Tahoma" w:eastAsia="Times New Roman" w:hAnsi="Tahoma" w:cs="Tahoma"/>
      <w:b/>
      <w:bCs/>
      <w:color w:val="669900"/>
      <w:sz w:val="40"/>
      <w:szCs w:val="40"/>
    </w:rPr>
  </w:style>
  <w:style w:type="paragraph" w:customStyle="1" w:styleId="ECDC-header">
    <w:name w:val="ECDC-header"/>
    <w:basedOn w:val="Normal"/>
    <w:rsid w:val="00B53BEA"/>
    <w:pPr>
      <w:autoSpaceDE w:val="0"/>
      <w:autoSpaceDN w:val="0"/>
      <w:adjustRightInd w:val="0"/>
      <w:spacing w:before="60" w:after="120" w:line="200" w:lineRule="atLeast"/>
    </w:pPr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paragraph" w:styleId="FootnoteText">
    <w:name w:val="footnote text"/>
    <w:basedOn w:val="Normal"/>
    <w:link w:val="FootnoteTextChar"/>
    <w:uiPriority w:val="99"/>
    <w:unhideWhenUsed/>
    <w:rsid w:val="00B53B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3B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B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3A"/>
  </w:style>
  <w:style w:type="paragraph" w:styleId="Footer">
    <w:name w:val="footer"/>
    <w:basedOn w:val="Normal"/>
    <w:link w:val="FooterChar"/>
    <w:uiPriority w:val="99"/>
    <w:unhideWhenUsed/>
    <w:rsid w:val="00F51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3A"/>
  </w:style>
  <w:style w:type="character" w:styleId="FollowedHyperlink">
    <w:name w:val="FollowedHyperlink"/>
    <w:basedOn w:val="DefaultParagraphFont"/>
    <w:uiPriority w:val="99"/>
    <w:semiHidden/>
    <w:unhideWhenUsed/>
    <w:rsid w:val="00A2365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wd@ecdc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dc.europa.eu/en/publications-data/fwd-expert-exchange-programme-application-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dc.europa.eu/en/surveillance-and-disease-data/eu-case-defin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0FFF-064E-4BB9-A7CF-34155973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Salekeen</dc:creator>
  <cp:lastModifiedBy>Signe Gilbro</cp:lastModifiedBy>
  <cp:revision>2</cp:revision>
  <dcterms:created xsi:type="dcterms:W3CDTF">2020-02-17T12:07:00Z</dcterms:created>
  <dcterms:modified xsi:type="dcterms:W3CDTF">2020-02-17T12:07:00Z</dcterms:modified>
</cp:coreProperties>
</file>