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A70" w:rsidRPr="002F1C76" w:rsidRDefault="00EC1008" w:rsidP="000D0DB0">
      <w:pPr>
        <w:pStyle w:val="EC-Title-5"/>
        <w:rPr>
          <w:b w:val="0"/>
          <w:spacing w:val="-10"/>
          <w:sz w:val="24"/>
        </w:rPr>
      </w:pPr>
      <w:bookmarkStart w:id="0" w:name="_GoBack"/>
      <w:bookmarkEnd w:id="0"/>
      <w:r w:rsidRPr="002F1C76">
        <w:t>EU-standarder for tuberkulosebehandling – 2017-oppdatering</w:t>
      </w:r>
    </w:p>
    <w:p w:rsidR="008745B1" w:rsidRPr="002F1C76" w:rsidRDefault="00EC1008" w:rsidP="000D0DB0">
      <w:pPr>
        <w:autoSpaceDE w:val="0"/>
        <w:autoSpaceDN w:val="0"/>
        <w:adjustRightInd w:val="0"/>
        <w:spacing w:before="120" w:after="0"/>
        <w:jc w:val="both"/>
        <w:rPr>
          <w:rFonts w:ascii="Tahoma" w:hAnsi="Tahoma" w:cs="Tahoma"/>
          <w:sz w:val="18"/>
          <w:szCs w:val="18"/>
        </w:rPr>
      </w:pPr>
      <w:r w:rsidRPr="002F1C76">
        <w:rPr>
          <w:rFonts w:ascii="Tahoma" w:hAnsi="Tahoma"/>
          <w:sz w:val="18"/>
        </w:rPr>
        <w:t>Det europeiske senter for forebygging av og kontroll med sykdommer (ECDC) og European Respiratory Society</w:t>
      </w:r>
      <w:r w:rsidRPr="002F1C76">
        <w:rPr>
          <w:rFonts w:ascii="Tahoma" w:hAnsi="Tahoma"/>
          <w:sz w:val="18"/>
        </w:rPr>
        <w:t xml:space="preserve"> (ERS) har utviklet 21 pasientsentrerte standarder for å hjelpe leger og offentlige helsearbeidere med jobben for å sikre optimal diagnose, behandling og forebygging av tuberkulose (TB) i Europa. I 2017 ble EU-standarder for tuberkulosebehandling (ESTC) op</w:t>
      </w:r>
      <w:r w:rsidRPr="002F1C76">
        <w:rPr>
          <w:rFonts w:ascii="Tahoma" w:hAnsi="Tahoma"/>
          <w:sz w:val="18"/>
        </w:rPr>
        <w:t>pdatert for å inkorporere den nyeste teknologiske utviklingen og internasjonale anbefalinger for TB-diagnose, behandling og forebygging.</w:t>
      </w:r>
    </w:p>
    <w:p w:rsidR="00E93802" w:rsidRPr="002F1C76" w:rsidRDefault="00EC1008" w:rsidP="0028467E">
      <w:pPr>
        <w:pStyle w:val="EC-Title-6"/>
      </w:pPr>
      <w:bookmarkStart w:id="1" w:name="_Toc512588780"/>
      <w:r w:rsidRPr="002F1C76">
        <w:t>Høyere standarder nødvendig for fremskritt mot TB-eliminering i EU</w:t>
      </w:r>
      <w:bookmarkEnd w:id="1"/>
    </w:p>
    <w:p w:rsidR="00083CEE" w:rsidRPr="002F1C76" w:rsidRDefault="00EC1008" w:rsidP="00083CEE">
      <w:pPr>
        <w:pStyle w:val="EC-Title-7"/>
      </w:pPr>
      <w:r w:rsidRPr="002F1C76">
        <w:t>Hvorfor EU-tilpassede standarder?</w:t>
      </w:r>
    </w:p>
    <w:p w:rsidR="008745B1" w:rsidRPr="002F1C76" w:rsidRDefault="00EC1008" w:rsidP="000D0DB0">
      <w:pPr>
        <w:autoSpaceDE w:val="0"/>
        <w:autoSpaceDN w:val="0"/>
        <w:adjustRightInd w:val="0"/>
        <w:spacing w:after="120"/>
        <w:jc w:val="both"/>
        <w:rPr>
          <w:rFonts w:ascii="Tahoma" w:hAnsi="Tahoma" w:cs="Tahoma"/>
          <w:sz w:val="18"/>
          <w:szCs w:val="18"/>
        </w:rPr>
      </w:pPr>
      <w:r w:rsidRPr="002F1C76">
        <w:rPr>
          <w:rFonts w:ascii="Tahoma" w:hAnsi="Tahoma"/>
          <w:sz w:val="18"/>
        </w:rPr>
        <w:t>Internasjonale sta</w:t>
      </w:r>
      <w:r w:rsidRPr="002F1C76">
        <w:rPr>
          <w:rFonts w:ascii="Tahoma" w:hAnsi="Tahoma"/>
          <w:sz w:val="18"/>
        </w:rPr>
        <w:t>ndarder for tuberkulosebehandling (ISTC) ble først publisert i 2006 og deretter oppdatert i 2009 og 2014. ISTC beskriver et allment akseptert nivå av TB-behandling, men de fokuserer på omgivelser med høy byrde og lav inntekt.</w:t>
      </w:r>
    </w:p>
    <w:p w:rsidR="008745B1" w:rsidRPr="002F1C76" w:rsidRDefault="00EC1008" w:rsidP="000D0DB0">
      <w:pPr>
        <w:autoSpaceDE w:val="0"/>
        <w:autoSpaceDN w:val="0"/>
        <w:adjustRightInd w:val="0"/>
        <w:spacing w:after="120"/>
        <w:jc w:val="both"/>
        <w:rPr>
          <w:rFonts w:ascii="Tahoma" w:hAnsi="Tahoma" w:cs="Tahoma"/>
          <w:sz w:val="18"/>
          <w:szCs w:val="18"/>
        </w:rPr>
      </w:pPr>
      <w:r w:rsidRPr="002F1C76">
        <w:rPr>
          <w:rFonts w:ascii="Tahoma" w:hAnsi="Tahoma"/>
          <w:sz w:val="18"/>
        </w:rPr>
        <w:t>I EU/EØS er den epidemiologisk</w:t>
      </w:r>
      <w:r w:rsidRPr="002F1C76">
        <w:rPr>
          <w:rFonts w:ascii="Tahoma" w:hAnsi="Tahoma"/>
          <w:sz w:val="18"/>
        </w:rPr>
        <w:t>e konteksten og tilgjengeligheten av økonomiske ressurser forskjellig:</w:t>
      </w:r>
    </w:p>
    <w:p w:rsidR="00F03325" w:rsidRPr="002F1C76" w:rsidRDefault="00EC1008" w:rsidP="000D0DB0">
      <w:pPr>
        <w:pStyle w:val="ListParagraph"/>
        <w:numPr>
          <w:ilvl w:val="0"/>
          <w:numId w:val="31"/>
        </w:numPr>
        <w:autoSpaceDE w:val="0"/>
        <w:autoSpaceDN w:val="0"/>
        <w:adjustRightInd w:val="0"/>
        <w:spacing w:after="0"/>
        <w:ind w:left="0" w:firstLine="0"/>
        <w:jc w:val="both"/>
        <w:rPr>
          <w:rFonts w:ascii="Tahoma" w:hAnsi="Tahoma" w:cs="Tahoma"/>
          <w:sz w:val="18"/>
          <w:szCs w:val="18"/>
        </w:rPr>
      </w:pPr>
      <w:r w:rsidRPr="002F1C76">
        <w:rPr>
          <w:rFonts w:ascii="Tahoma" w:hAnsi="Tahoma"/>
          <w:sz w:val="18"/>
        </w:rPr>
        <w:t>Byrden er lav/moderat, men heterogen</w:t>
      </w:r>
    </w:p>
    <w:p w:rsidR="008745B1" w:rsidRPr="002F1C76" w:rsidRDefault="00EC1008" w:rsidP="000D0DB0">
      <w:pPr>
        <w:pStyle w:val="ListParagraph"/>
        <w:numPr>
          <w:ilvl w:val="0"/>
          <w:numId w:val="31"/>
        </w:numPr>
        <w:autoSpaceDE w:val="0"/>
        <w:autoSpaceDN w:val="0"/>
        <w:adjustRightInd w:val="0"/>
        <w:spacing w:after="0"/>
        <w:ind w:left="0" w:firstLine="0"/>
        <w:jc w:val="both"/>
        <w:rPr>
          <w:rFonts w:ascii="Tahoma" w:hAnsi="Tahoma" w:cs="Tahoma"/>
          <w:sz w:val="18"/>
          <w:szCs w:val="18"/>
        </w:rPr>
      </w:pPr>
      <w:r w:rsidRPr="002F1C76">
        <w:rPr>
          <w:rFonts w:ascii="Tahoma" w:hAnsi="Tahoma"/>
          <w:sz w:val="18"/>
        </w:rPr>
        <w:t>Lang tradisjon med TB-forebygging og -kontroll</w:t>
      </w:r>
    </w:p>
    <w:p w:rsidR="008745B1" w:rsidRPr="002F1C76" w:rsidRDefault="00EC1008" w:rsidP="000D0DB0">
      <w:pPr>
        <w:pStyle w:val="ListParagraph"/>
        <w:numPr>
          <w:ilvl w:val="0"/>
          <w:numId w:val="31"/>
        </w:numPr>
        <w:autoSpaceDE w:val="0"/>
        <w:autoSpaceDN w:val="0"/>
        <w:adjustRightInd w:val="0"/>
        <w:spacing w:after="0"/>
        <w:ind w:left="0" w:firstLine="0"/>
        <w:jc w:val="both"/>
        <w:rPr>
          <w:rFonts w:ascii="Tahoma" w:hAnsi="Tahoma" w:cs="Tahoma"/>
          <w:sz w:val="18"/>
          <w:szCs w:val="18"/>
        </w:rPr>
      </w:pPr>
      <w:r w:rsidRPr="002F1C76">
        <w:rPr>
          <w:rFonts w:ascii="Tahoma" w:hAnsi="Tahoma"/>
          <w:sz w:val="18"/>
        </w:rPr>
        <w:t>Ressurser er tilgjengelige</w:t>
      </w:r>
    </w:p>
    <w:p w:rsidR="008745B1" w:rsidRPr="002F1C76" w:rsidRDefault="00EC1008" w:rsidP="000D0DB0">
      <w:pPr>
        <w:pStyle w:val="ListParagraph"/>
        <w:numPr>
          <w:ilvl w:val="0"/>
          <w:numId w:val="31"/>
        </w:numPr>
        <w:autoSpaceDE w:val="0"/>
        <w:autoSpaceDN w:val="0"/>
        <w:adjustRightInd w:val="0"/>
        <w:spacing w:after="0"/>
        <w:ind w:left="0" w:firstLine="0"/>
        <w:jc w:val="both"/>
        <w:rPr>
          <w:rFonts w:ascii="Tahoma" w:hAnsi="Tahoma" w:cs="Tahoma"/>
          <w:sz w:val="18"/>
          <w:szCs w:val="18"/>
        </w:rPr>
      </w:pPr>
      <w:r w:rsidRPr="002F1C76">
        <w:rPr>
          <w:rFonts w:ascii="Tahoma" w:hAnsi="Tahoma"/>
          <w:sz w:val="18"/>
        </w:rPr>
        <w:t>Behov for å sikre optimal bruk av disse ressursene</w:t>
      </w:r>
    </w:p>
    <w:p w:rsidR="008745B1" w:rsidRPr="002F1C76" w:rsidRDefault="00EC1008" w:rsidP="000D0DB0">
      <w:pPr>
        <w:pStyle w:val="ListParagraph"/>
        <w:numPr>
          <w:ilvl w:val="0"/>
          <w:numId w:val="31"/>
        </w:numPr>
        <w:autoSpaceDE w:val="0"/>
        <w:autoSpaceDN w:val="0"/>
        <w:adjustRightInd w:val="0"/>
        <w:spacing w:after="0"/>
        <w:ind w:left="0" w:firstLine="0"/>
        <w:jc w:val="both"/>
        <w:rPr>
          <w:rFonts w:ascii="Tahoma" w:hAnsi="Tahoma" w:cs="Tahoma"/>
          <w:sz w:val="18"/>
          <w:szCs w:val="18"/>
        </w:rPr>
      </w:pPr>
      <w:r w:rsidRPr="002F1C76">
        <w:rPr>
          <w:rFonts w:ascii="Tahoma" w:hAnsi="Tahoma"/>
          <w:sz w:val="18"/>
        </w:rPr>
        <w:t>TB-tjenester er integre</w:t>
      </w:r>
      <w:r w:rsidRPr="002F1C76">
        <w:rPr>
          <w:rFonts w:ascii="Tahoma" w:hAnsi="Tahoma"/>
          <w:sz w:val="18"/>
        </w:rPr>
        <w:t>rt i helsesystemet</w:t>
      </w:r>
    </w:p>
    <w:p w:rsidR="008745B1" w:rsidRPr="002F1C76" w:rsidRDefault="00EC1008" w:rsidP="000D0DB0">
      <w:pPr>
        <w:pStyle w:val="ListParagraph"/>
        <w:numPr>
          <w:ilvl w:val="0"/>
          <w:numId w:val="31"/>
        </w:numPr>
        <w:autoSpaceDE w:val="0"/>
        <w:autoSpaceDN w:val="0"/>
        <w:adjustRightInd w:val="0"/>
        <w:spacing w:after="0"/>
        <w:ind w:left="0" w:firstLine="0"/>
        <w:jc w:val="both"/>
        <w:rPr>
          <w:rFonts w:ascii="Tahoma" w:hAnsi="Tahoma" w:cs="Tahoma"/>
          <w:sz w:val="18"/>
          <w:szCs w:val="18"/>
        </w:rPr>
      </w:pPr>
      <w:r w:rsidRPr="002F1C76">
        <w:rPr>
          <w:rFonts w:ascii="Tahoma" w:hAnsi="Tahoma"/>
          <w:sz w:val="18"/>
        </w:rPr>
        <w:t>Hver pasient har rett til å få tilgang til best mulig behandling.</w:t>
      </w:r>
    </w:p>
    <w:p w:rsidR="008745B1" w:rsidRPr="002F1C76" w:rsidRDefault="00EC1008" w:rsidP="0028467E">
      <w:pPr>
        <w:pStyle w:val="EC-Title-6"/>
        <w:rPr>
          <w:sz w:val="30"/>
          <w:szCs w:val="30"/>
        </w:rPr>
      </w:pPr>
      <w:r w:rsidRPr="002F1C76">
        <w:rPr>
          <w:sz w:val="30"/>
        </w:rPr>
        <w:t>ESTC er pasientsentrerte standarder utformet for leger og offentlige helsearbeidere</w:t>
      </w:r>
    </w:p>
    <w:p w:rsidR="008745B1" w:rsidRPr="002F1C76" w:rsidRDefault="00EC1008" w:rsidP="0028467E">
      <w:pPr>
        <w:pStyle w:val="EC-Title-7"/>
        <w:rPr>
          <w:rFonts w:eastAsia="Batang"/>
        </w:rPr>
      </w:pPr>
      <w:r w:rsidRPr="002F1C76">
        <w:t>Hvordan ble ESTC utviklet og oppdatert?</w:t>
      </w:r>
    </w:p>
    <w:p w:rsidR="008745B1" w:rsidRPr="002F1C76" w:rsidRDefault="00EC1008" w:rsidP="008745B1">
      <w:pPr>
        <w:autoSpaceDE w:val="0"/>
        <w:autoSpaceDN w:val="0"/>
        <w:adjustRightInd w:val="0"/>
        <w:spacing w:after="0"/>
        <w:jc w:val="both"/>
        <w:rPr>
          <w:rFonts w:ascii="Tahoma" w:hAnsi="Tahoma" w:cs="Tahoma"/>
          <w:sz w:val="18"/>
          <w:szCs w:val="18"/>
        </w:rPr>
      </w:pPr>
      <w:r w:rsidRPr="002F1C76">
        <w:rPr>
          <w:rFonts w:ascii="Tahoma" w:hAnsi="Tahoma"/>
          <w:sz w:val="18"/>
        </w:rPr>
        <w:t>I dette arbeidet har ERS vært ledende i å utvik</w:t>
      </w:r>
      <w:r w:rsidRPr="002F1C76">
        <w:rPr>
          <w:rFonts w:ascii="Tahoma" w:hAnsi="Tahoma"/>
          <w:sz w:val="18"/>
        </w:rPr>
        <w:t>le og oppdatere klinisk relaterte standarder og ECDC har utviklet og oppdatert standarder relatert til offentlig helse. Utviklingen og oppdateringen ble veiledet av en arbeidsgruppe bestående av internasjonale eksperter som representerte ulike ekspertiseom</w:t>
      </w:r>
      <w:r w:rsidRPr="002F1C76">
        <w:rPr>
          <w:rFonts w:ascii="Tahoma" w:hAnsi="Tahoma"/>
          <w:sz w:val="18"/>
        </w:rPr>
        <w:t>råder, organisasjoner og TB-pasientrepresentanter. Bevisene ble vurdert mot publiserte, internasjonale retningslinjer. En skrivekomité utarbeidet et utkastdokument som deretter ble gjennomgått og godkjent av arbeidsgruppen. ESTC er utviklet og oppdatert fo</w:t>
      </w:r>
      <w:r w:rsidRPr="002F1C76">
        <w:rPr>
          <w:rFonts w:ascii="Tahoma" w:hAnsi="Tahoma"/>
          <w:sz w:val="18"/>
        </w:rPr>
        <w:t xml:space="preserve">r å supplere ISTC og andre eksisterende retningslinjer. </w:t>
      </w:r>
    </w:p>
    <w:p w:rsidR="008745B1" w:rsidRPr="002F1C76" w:rsidRDefault="00EC1008" w:rsidP="000D0DB0">
      <w:pPr>
        <w:pStyle w:val="EC-Title-5"/>
        <w:spacing w:before="120"/>
        <w:rPr>
          <w:b w:val="0"/>
        </w:rPr>
      </w:pPr>
      <w:r w:rsidRPr="002F1C76">
        <w:t>En brukervennlig ressurs for å sikre optimal diagnose, behandling og forebygging av TB</w:t>
      </w:r>
    </w:p>
    <w:p w:rsidR="008745B1" w:rsidRPr="002F1C76" w:rsidRDefault="00EC1008" w:rsidP="000D0DB0">
      <w:pPr>
        <w:pStyle w:val="EC-Title-6"/>
        <w:spacing w:after="0"/>
        <w:rPr>
          <w:b w:val="0"/>
        </w:rPr>
      </w:pPr>
      <w:r w:rsidRPr="002F1C76">
        <w:t>Begrunnelse for ESTC</w:t>
      </w:r>
    </w:p>
    <w:p w:rsidR="008745B1" w:rsidRPr="002F1C76" w:rsidRDefault="00EC1008" w:rsidP="008745B1">
      <w:pPr>
        <w:autoSpaceDE w:val="0"/>
        <w:autoSpaceDN w:val="0"/>
        <w:adjustRightInd w:val="0"/>
        <w:spacing w:after="0"/>
        <w:jc w:val="both"/>
        <w:rPr>
          <w:rFonts w:ascii="Tahoma" w:hAnsi="Tahoma" w:cs="Tahoma"/>
          <w:sz w:val="18"/>
          <w:szCs w:val="18"/>
        </w:rPr>
      </w:pPr>
      <w:r w:rsidRPr="002F1C76">
        <w:rPr>
          <w:rFonts w:ascii="Tahoma" w:hAnsi="Tahoma"/>
          <w:sz w:val="18"/>
        </w:rPr>
        <w:t xml:space="preserve">EU-standarden for tuberkulosebehandling (ESTC) forsøker å lukke nåværende hull i behandling av TB i EU/EØS. </w:t>
      </w:r>
    </w:p>
    <w:p w:rsidR="008745B1" w:rsidRPr="002F1C76" w:rsidRDefault="00EC1008" w:rsidP="008745B1">
      <w:pPr>
        <w:autoSpaceDE w:val="0"/>
        <w:autoSpaceDN w:val="0"/>
        <w:adjustRightInd w:val="0"/>
        <w:spacing w:after="0"/>
        <w:jc w:val="both"/>
        <w:rPr>
          <w:rFonts w:ascii="Tahoma" w:hAnsi="Tahoma" w:cs="Tahoma"/>
          <w:sz w:val="18"/>
          <w:szCs w:val="18"/>
        </w:rPr>
      </w:pPr>
      <w:r w:rsidRPr="002F1C76">
        <w:rPr>
          <w:rFonts w:ascii="Tahoma" w:hAnsi="Tahoma"/>
          <w:sz w:val="18"/>
        </w:rPr>
        <w:t>Målet med ESTC er å gi eksperter på offentlig helse, leger og helseprogrammer et strukturert sett av evidensbaserte standarder som beskriver minimu</w:t>
      </w:r>
      <w:r w:rsidRPr="002F1C76">
        <w:rPr>
          <w:rFonts w:ascii="Tahoma" w:hAnsi="Tahoma"/>
          <w:sz w:val="18"/>
        </w:rPr>
        <w:t>mskravene for å sikre optimal TB-behandling, -forebygging og -kontroll.</w:t>
      </w:r>
    </w:p>
    <w:p w:rsidR="008745B1" w:rsidRPr="002F1C76" w:rsidRDefault="00EC1008" w:rsidP="000D0DB0">
      <w:pPr>
        <w:pStyle w:val="EC-Title-5"/>
        <w:spacing w:before="120"/>
        <w:rPr>
          <w:b w:val="0"/>
        </w:rPr>
      </w:pPr>
      <w:r w:rsidRPr="002F1C76">
        <w:t>For mer informasjon</w:t>
      </w:r>
    </w:p>
    <w:p w:rsidR="008745B1" w:rsidRPr="002F1C76" w:rsidRDefault="00EC1008" w:rsidP="000D0DB0">
      <w:pPr>
        <w:autoSpaceDE w:val="0"/>
        <w:autoSpaceDN w:val="0"/>
        <w:adjustRightInd w:val="0"/>
        <w:spacing w:before="120" w:after="120"/>
        <w:jc w:val="both"/>
        <w:rPr>
          <w:rFonts w:ascii="Tahoma" w:hAnsi="Tahoma" w:cs="Tahoma"/>
          <w:sz w:val="18"/>
          <w:szCs w:val="18"/>
        </w:rPr>
      </w:pPr>
      <w:r w:rsidRPr="002F1C76">
        <w:rPr>
          <w:rFonts w:ascii="Tahoma" w:hAnsi="Tahoma"/>
          <w:sz w:val="18"/>
        </w:rPr>
        <w:t>ECDC er et EU-organ hvis mandat er å identifisere, vurdere og kommunisere trusler mot menneskehelse utgjort av smittsomme sykdommer. De støtter arbeidet til offentl</w:t>
      </w:r>
      <w:r w:rsidRPr="002F1C76">
        <w:rPr>
          <w:rFonts w:ascii="Tahoma" w:hAnsi="Tahoma"/>
          <w:sz w:val="18"/>
        </w:rPr>
        <w:t>ige helsemyndigheter i medlemsland i EU/EØS.</w:t>
      </w:r>
    </w:p>
    <w:p w:rsidR="008745B1" w:rsidRPr="002F1C76" w:rsidRDefault="00EC1008" w:rsidP="008745B1">
      <w:pPr>
        <w:autoSpaceDE w:val="0"/>
        <w:autoSpaceDN w:val="0"/>
        <w:adjustRightInd w:val="0"/>
        <w:spacing w:after="0"/>
        <w:jc w:val="both"/>
        <w:rPr>
          <w:rFonts w:ascii="Tahoma" w:hAnsi="Tahoma" w:cs="Tahoma"/>
          <w:sz w:val="18"/>
          <w:szCs w:val="18"/>
        </w:rPr>
      </w:pPr>
      <w:hyperlink r:id="rId8" w:history="1">
        <w:r w:rsidRPr="002F1C76">
          <w:rPr>
            <w:rStyle w:val="Hyperlink"/>
            <w:rFonts w:ascii="Tahoma" w:hAnsi="Tahoma"/>
            <w:sz w:val="18"/>
          </w:rPr>
          <w:t>www.ecdc.europa.eu/en/tuberculosis</w:t>
        </w:r>
      </w:hyperlink>
    </w:p>
    <w:p w:rsidR="008745B1" w:rsidRPr="002F1C76" w:rsidRDefault="00EC1008" w:rsidP="000D0DB0">
      <w:pPr>
        <w:autoSpaceDE w:val="0"/>
        <w:autoSpaceDN w:val="0"/>
        <w:adjustRightInd w:val="0"/>
        <w:spacing w:after="120"/>
        <w:jc w:val="both"/>
        <w:rPr>
          <w:rFonts w:ascii="Tahoma" w:hAnsi="Tahoma" w:cs="Tahoma"/>
          <w:sz w:val="18"/>
          <w:szCs w:val="18"/>
        </w:rPr>
      </w:pPr>
      <w:r w:rsidRPr="002F1C76">
        <w:rPr>
          <w:rFonts w:ascii="Tahoma" w:hAnsi="Tahoma"/>
          <w:sz w:val="18"/>
        </w:rPr>
        <w:t>ERS er den ledende fagorganisasjonen på sitt felt i Europa. De har mer enn 30 000 medlemmer i over 160 land. ERS forsø</w:t>
      </w:r>
      <w:r w:rsidRPr="002F1C76">
        <w:rPr>
          <w:rFonts w:ascii="Tahoma" w:hAnsi="Tahoma"/>
          <w:sz w:val="18"/>
        </w:rPr>
        <w:t>ker å lindre lidelser fra respiratoriske sykdommer og fremme lungehelse gjennom forskning, kunnskapsdeling og medisinsk og offentlig utdanning.</w:t>
      </w:r>
    </w:p>
    <w:p w:rsidR="008745B1" w:rsidRPr="002F1C76" w:rsidRDefault="00EC1008" w:rsidP="008745B1">
      <w:pPr>
        <w:autoSpaceDE w:val="0"/>
        <w:autoSpaceDN w:val="0"/>
        <w:adjustRightInd w:val="0"/>
        <w:spacing w:after="0"/>
        <w:jc w:val="both"/>
        <w:rPr>
          <w:rFonts w:ascii="Tahoma" w:hAnsi="Tahoma" w:cs="Tahoma"/>
          <w:sz w:val="18"/>
          <w:szCs w:val="18"/>
        </w:rPr>
      </w:pPr>
      <w:hyperlink r:id="rId9" w:history="1">
        <w:r w:rsidRPr="002F1C76">
          <w:rPr>
            <w:rStyle w:val="Hyperlink"/>
            <w:rFonts w:ascii="Tahoma" w:hAnsi="Tahoma"/>
            <w:sz w:val="18"/>
          </w:rPr>
          <w:t>www.ersnet.org</w:t>
        </w:r>
      </w:hyperlink>
    </w:p>
    <w:p w:rsidR="008745B1" w:rsidRPr="002F1C76" w:rsidRDefault="00EC1008" w:rsidP="008745B1">
      <w:pPr>
        <w:autoSpaceDE w:val="0"/>
        <w:autoSpaceDN w:val="0"/>
        <w:adjustRightInd w:val="0"/>
        <w:spacing w:after="0"/>
        <w:jc w:val="both"/>
        <w:rPr>
          <w:rFonts w:ascii="Tahoma" w:hAnsi="Tahoma" w:cs="Tahoma"/>
          <w:sz w:val="18"/>
          <w:szCs w:val="18"/>
        </w:rPr>
      </w:pPr>
      <w:r w:rsidRPr="002F1C76">
        <w:rPr>
          <w:rFonts w:ascii="Tahoma" w:hAnsi="Tahoma"/>
          <w:sz w:val="18"/>
        </w:rPr>
        <w:t xml:space="preserve">Den komplette ESTC-oppdateringen ble publisert i European </w:t>
      </w:r>
      <w:r w:rsidRPr="002F1C76">
        <w:rPr>
          <w:rFonts w:ascii="Tahoma" w:hAnsi="Tahoma"/>
          <w:sz w:val="18"/>
        </w:rPr>
        <w:t>Respiratory Journal (ERJ) i mai 2018 (DOI: 10.1183/13993003.02678-2017)</w:t>
      </w:r>
    </w:p>
    <w:p w:rsidR="00792C6D" w:rsidRPr="002F1C76" w:rsidRDefault="00EC1008">
      <w:pPr>
        <w:spacing w:after="160" w:line="259" w:lineRule="auto"/>
        <w:rPr>
          <w:rFonts w:ascii="Times New Roman" w:hAnsi="Times New Roman"/>
          <w:sz w:val="24"/>
          <w:szCs w:val="24"/>
        </w:rPr>
      </w:pPr>
      <w:r w:rsidRPr="002F1C76">
        <w:br w:type="page"/>
      </w:r>
    </w:p>
    <w:p w:rsidR="00CC0F38" w:rsidRPr="002F1C76" w:rsidRDefault="00EC1008" w:rsidP="0028467E">
      <w:pPr>
        <w:pStyle w:val="EC-Title-5"/>
        <w:spacing w:after="240"/>
      </w:pPr>
      <w:r w:rsidRPr="002F1C76">
        <w:lastRenderedPageBreak/>
        <w:t>Standarder for tuberkulosediagnose</w:t>
      </w:r>
    </w:p>
    <w:p w:rsidR="00DA3A70" w:rsidRPr="002F1C76" w:rsidRDefault="00EC1008" w:rsidP="00A82B43">
      <w:pPr>
        <w:shd w:val="clear" w:color="auto" w:fill="D9D9D9"/>
        <w:autoSpaceDE w:val="0"/>
        <w:autoSpaceDN w:val="0"/>
        <w:adjustRightInd w:val="0"/>
        <w:spacing w:after="0"/>
        <w:jc w:val="both"/>
        <w:rPr>
          <w:rFonts w:ascii="Tahoma" w:hAnsi="Tahoma" w:cs="Tahoma"/>
          <w:b/>
          <w:sz w:val="24"/>
          <w:szCs w:val="24"/>
        </w:rPr>
      </w:pPr>
      <w:r w:rsidRPr="002F1C76">
        <w:rPr>
          <w:rFonts w:ascii="Tahoma" w:hAnsi="Tahoma"/>
          <w:b/>
          <w:sz w:val="24"/>
        </w:rPr>
        <w:t>Standard 1</w:t>
      </w:r>
    </w:p>
    <w:p w:rsidR="00DA3A70" w:rsidRPr="002F1C76" w:rsidRDefault="00EC1008" w:rsidP="0028467E">
      <w:pPr>
        <w:spacing w:after="120"/>
        <w:rPr>
          <w:rFonts w:ascii="Tahoma" w:hAnsi="Tahoma" w:cs="Tahoma"/>
          <w:sz w:val="18"/>
          <w:szCs w:val="18"/>
        </w:rPr>
      </w:pPr>
      <w:r w:rsidRPr="002F1C76">
        <w:rPr>
          <w:rFonts w:ascii="Tahoma" w:hAnsi="Tahoma"/>
          <w:sz w:val="18"/>
        </w:rPr>
        <w:t>Alle personer som viser tegn, symptomer, historikk eller risikofaktorer som er kompatible med tuberkulose bør evalueres for lunge- og/el</w:t>
      </w:r>
      <w:r w:rsidRPr="002F1C76">
        <w:rPr>
          <w:rFonts w:ascii="Tahoma" w:hAnsi="Tahoma"/>
          <w:sz w:val="18"/>
        </w:rPr>
        <w:t>ler ekstrapulmonal tuberkulose.</w:t>
      </w:r>
    </w:p>
    <w:p w:rsidR="00DA3A70" w:rsidRPr="002F1C76" w:rsidRDefault="00EC1008" w:rsidP="00A82B43">
      <w:pPr>
        <w:shd w:val="clear" w:color="auto" w:fill="D9D9D9"/>
        <w:autoSpaceDE w:val="0"/>
        <w:autoSpaceDN w:val="0"/>
        <w:adjustRightInd w:val="0"/>
        <w:spacing w:after="0"/>
        <w:jc w:val="both"/>
        <w:rPr>
          <w:rFonts w:ascii="Tahoma" w:hAnsi="Tahoma" w:cs="Tahoma"/>
          <w:sz w:val="24"/>
          <w:szCs w:val="24"/>
        </w:rPr>
      </w:pPr>
      <w:r w:rsidRPr="002F1C76">
        <w:rPr>
          <w:rFonts w:ascii="Tahoma" w:hAnsi="Tahoma"/>
          <w:b/>
          <w:sz w:val="24"/>
        </w:rPr>
        <w:t>Standard 2</w:t>
      </w:r>
    </w:p>
    <w:p w:rsidR="00DA3A70" w:rsidRPr="002F1C76" w:rsidRDefault="00EC1008" w:rsidP="0028467E">
      <w:pPr>
        <w:spacing w:after="120"/>
        <w:rPr>
          <w:rFonts w:ascii="Tahoma" w:hAnsi="Tahoma" w:cs="Tahoma"/>
          <w:sz w:val="18"/>
          <w:szCs w:val="18"/>
        </w:rPr>
      </w:pPr>
      <w:r w:rsidRPr="002F1C76">
        <w:rPr>
          <w:rFonts w:ascii="Tahoma" w:hAnsi="Tahoma"/>
          <w:sz w:val="18"/>
        </w:rPr>
        <w:t>Alle pasienter (voksne, ungdommer og barn som er i stand til å produsere spytt) man tror har lungetuberkulose bør, få sendt inn minst to spyttprøver for mikroskopisk undersøkelse og én for korttidstesting for iden</w:t>
      </w:r>
      <w:r w:rsidRPr="002F1C76">
        <w:rPr>
          <w:rFonts w:ascii="Tahoma" w:hAnsi="Tahoma"/>
          <w:sz w:val="18"/>
        </w:rPr>
        <w:t>tifisering av tuberkulose- og legemiddelresistens ved å bruke en internasjonalt anerkjent (korttids) molekyltest. Prøven bør sendes for væskekultur, og hvis den er positiv, for kulturbasert legemiddelresistenstesting (DST) i et kvalitetssikret laboratorium</w:t>
      </w:r>
      <w:r w:rsidRPr="002F1C76">
        <w:rPr>
          <w:rFonts w:ascii="Tahoma" w:hAnsi="Tahoma"/>
          <w:sz w:val="18"/>
        </w:rPr>
        <w:t>. Når det er mulig, bør man innhente minst en tidlig morgenprøve. Brystradiografi kan også brukes.</w:t>
      </w:r>
    </w:p>
    <w:p w:rsidR="00DA3A70" w:rsidRPr="002F1C76" w:rsidRDefault="00EC1008" w:rsidP="00A82B43">
      <w:pPr>
        <w:shd w:val="clear" w:color="auto" w:fill="D9D9D9"/>
        <w:autoSpaceDE w:val="0"/>
        <w:autoSpaceDN w:val="0"/>
        <w:adjustRightInd w:val="0"/>
        <w:spacing w:after="0"/>
        <w:jc w:val="both"/>
        <w:rPr>
          <w:rFonts w:ascii="Tahoma" w:hAnsi="Tahoma" w:cs="Tahoma"/>
          <w:b/>
          <w:sz w:val="24"/>
          <w:szCs w:val="24"/>
        </w:rPr>
      </w:pPr>
      <w:r w:rsidRPr="002F1C76">
        <w:rPr>
          <w:rFonts w:ascii="Tahoma" w:hAnsi="Tahoma"/>
          <w:b/>
          <w:sz w:val="24"/>
        </w:rPr>
        <w:t>Standard 3</w:t>
      </w:r>
    </w:p>
    <w:p w:rsidR="00DA3A70" w:rsidRPr="002F1C76" w:rsidRDefault="00EC1008" w:rsidP="0028467E">
      <w:pPr>
        <w:spacing w:after="120"/>
        <w:rPr>
          <w:rFonts w:ascii="Tahoma" w:hAnsi="Tahoma" w:cs="Tahoma"/>
          <w:sz w:val="18"/>
          <w:szCs w:val="18"/>
        </w:rPr>
      </w:pPr>
      <w:r w:rsidRPr="002F1C76">
        <w:rPr>
          <w:rFonts w:ascii="Tahoma" w:hAnsi="Tahoma"/>
          <w:sz w:val="18"/>
        </w:rPr>
        <w:t>For alle pasienter (voksne, ungdommer og barn) man antar har ekstrapulmonal tuberkulose, bør man skaffe passende prøver fra mistenkte involverings</w:t>
      </w:r>
      <w:r w:rsidRPr="002F1C76">
        <w:rPr>
          <w:rFonts w:ascii="Tahoma" w:hAnsi="Tahoma"/>
          <w:sz w:val="18"/>
        </w:rPr>
        <w:t xml:space="preserve">steder for mikrobiologisk testing (mikroskopi, korttids molekylteser, kultur, artsidentifikasjon, DST med korttids molekyltester og kulturbaserte teknikker) og histopatologisk undersøkelse i kvalitetssikrede laboratorier. </w:t>
      </w:r>
    </w:p>
    <w:p w:rsidR="00CC0F38" w:rsidRPr="002F1C76" w:rsidRDefault="00EC1008" w:rsidP="00CC0F38">
      <w:pPr>
        <w:shd w:val="clear" w:color="auto" w:fill="D9D9D9"/>
        <w:autoSpaceDE w:val="0"/>
        <w:autoSpaceDN w:val="0"/>
        <w:adjustRightInd w:val="0"/>
        <w:spacing w:after="0"/>
        <w:jc w:val="both"/>
        <w:rPr>
          <w:rFonts w:ascii="Tahoma" w:hAnsi="Tahoma" w:cs="Tahoma"/>
          <w:b/>
          <w:sz w:val="24"/>
          <w:szCs w:val="24"/>
        </w:rPr>
      </w:pPr>
      <w:r w:rsidRPr="002F1C76">
        <w:rPr>
          <w:rFonts w:ascii="Tahoma" w:hAnsi="Tahoma"/>
          <w:b/>
          <w:sz w:val="24"/>
        </w:rPr>
        <w:t>Standard 4</w:t>
      </w:r>
    </w:p>
    <w:p w:rsidR="00DA3A70" w:rsidRPr="002F1C76" w:rsidRDefault="00EC1008" w:rsidP="0028467E">
      <w:pPr>
        <w:spacing w:after="120"/>
        <w:rPr>
          <w:rFonts w:ascii="Tahoma" w:hAnsi="Tahoma" w:cs="Tahoma"/>
          <w:sz w:val="18"/>
          <w:szCs w:val="18"/>
        </w:rPr>
      </w:pPr>
      <w:r w:rsidRPr="002F1C76">
        <w:rPr>
          <w:rFonts w:ascii="Tahoma" w:hAnsi="Tahoma"/>
          <w:sz w:val="18"/>
        </w:rPr>
        <w:t xml:space="preserve">Alle personer med </w:t>
      </w:r>
      <w:r w:rsidRPr="002F1C76">
        <w:rPr>
          <w:rFonts w:ascii="Tahoma" w:hAnsi="Tahoma"/>
          <w:sz w:val="18"/>
        </w:rPr>
        <w:t>brystradiografiske funn som antyder lungetuberkulose bør få sendt inn spyttprøver for mikroskopisk undersøkelse, korttids molekyltester, artsidentifikasjon og DST med korttids molekyltester og kulturbaserte teknikker i et kvalitetssikret laboratorium.</w:t>
      </w:r>
    </w:p>
    <w:p w:rsidR="00DA3A70" w:rsidRPr="002F1C76" w:rsidRDefault="00EC1008" w:rsidP="00A82B43">
      <w:pPr>
        <w:shd w:val="clear" w:color="auto" w:fill="D9D9D9"/>
        <w:autoSpaceDE w:val="0"/>
        <w:autoSpaceDN w:val="0"/>
        <w:adjustRightInd w:val="0"/>
        <w:spacing w:after="0"/>
        <w:jc w:val="both"/>
        <w:rPr>
          <w:rFonts w:ascii="Tahoma" w:hAnsi="Tahoma" w:cs="Tahoma"/>
          <w:b/>
          <w:bCs/>
          <w:sz w:val="24"/>
          <w:szCs w:val="24"/>
        </w:rPr>
      </w:pPr>
      <w:r w:rsidRPr="002F1C76">
        <w:rPr>
          <w:rFonts w:ascii="Tahoma" w:hAnsi="Tahoma"/>
          <w:b/>
          <w:sz w:val="24"/>
          <w:shd w:val="clear" w:color="auto" w:fill="D9D9D9"/>
        </w:rPr>
        <w:t>Stan</w:t>
      </w:r>
      <w:r w:rsidRPr="002F1C76">
        <w:rPr>
          <w:rFonts w:ascii="Tahoma" w:hAnsi="Tahoma"/>
          <w:b/>
          <w:sz w:val="24"/>
          <w:shd w:val="clear" w:color="auto" w:fill="D9D9D9"/>
        </w:rPr>
        <w:t>dard 5</w:t>
      </w:r>
    </w:p>
    <w:p w:rsidR="00DA3A70" w:rsidRPr="002F1C76" w:rsidRDefault="00EC1008" w:rsidP="0028467E">
      <w:pPr>
        <w:spacing w:after="120"/>
        <w:rPr>
          <w:rFonts w:ascii="Tahoma" w:hAnsi="Tahoma" w:cs="Tahoma"/>
          <w:sz w:val="18"/>
          <w:szCs w:val="18"/>
        </w:rPr>
      </w:pPr>
      <w:r w:rsidRPr="002F1C76">
        <w:rPr>
          <w:rFonts w:ascii="Tahoma" w:hAnsi="Tahoma"/>
          <w:sz w:val="18"/>
        </w:rPr>
        <w:t>Diagnosen kulturnegativ lungetuberkulose bør være basert på følgende kriterier: alle bakteriologiske tester er negative (inkludert direkte spyttvevsundersøkelser, kulturer og hurtige molekyltester); brystradiografiske funn kompatibelt med tuberkulos</w:t>
      </w:r>
      <w:r w:rsidRPr="002F1C76">
        <w:rPr>
          <w:rFonts w:ascii="Tahoma" w:hAnsi="Tahoma"/>
          <w:sz w:val="18"/>
        </w:rPr>
        <w:t xml:space="preserve">e; og manglende respons på en prøve av bredspektrede antimikrobielle midler (merk: fordi fluorokinolonene er aktive mot </w:t>
      </w:r>
      <w:r w:rsidRPr="002F1C76">
        <w:rPr>
          <w:rFonts w:ascii="Tahoma" w:hAnsi="Tahoma"/>
          <w:i/>
          <w:sz w:val="18"/>
        </w:rPr>
        <w:t xml:space="preserve">M. tuberculosis </w:t>
      </w:r>
      <w:r w:rsidRPr="002F1C76">
        <w:rPr>
          <w:rFonts w:ascii="Tahoma" w:hAnsi="Tahoma"/>
          <w:sz w:val="18"/>
        </w:rPr>
        <w:t xml:space="preserve">complex, og kan forårsake flyktige forbedringer hos personer med tuberkulose, bør man unngå å bruke dem). Hos personer </w:t>
      </w:r>
      <w:r w:rsidRPr="002F1C76">
        <w:rPr>
          <w:rFonts w:ascii="Tahoma" w:hAnsi="Tahoma"/>
          <w:sz w:val="18"/>
        </w:rPr>
        <w:t>som er alvorlige syke eller har kjent eller antatt humant immunsviktvirus (HIV) eller har immunkompromitterende tilstander, bør den diagnostiske evalueringen fremskyndes og hvis kliniske bevis sterkt antyder tuberkulose, bør det settes i gang et løp med an</w:t>
      </w:r>
      <w:r w:rsidRPr="002F1C76">
        <w:rPr>
          <w:rFonts w:ascii="Tahoma" w:hAnsi="Tahoma"/>
          <w:sz w:val="18"/>
        </w:rPr>
        <w:t xml:space="preserve">ti-tuberkulosebehandling. </w:t>
      </w:r>
    </w:p>
    <w:p w:rsidR="00E23086" w:rsidRPr="002F1C76" w:rsidRDefault="00EC1008" w:rsidP="000D0DB0">
      <w:pPr>
        <w:pStyle w:val="EC-Title-6"/>
      </w:pPr>
      <w:r w:rsidRPr="002F1C76">
        <w:t>EU-spesifikke krav</w:t>
      </w:r>
    </w:p>
    <w:p w:rsidR="00DA3A70" w:rsidRPr="002F1C76" w:rsidRDefault="00EC1008" w:rsidP="0028467E">
      <w:pPr>
        <w:spacing w:after="120"/>
        <w:rPr>
          <w:rFonts w:ascii="Tahoma" w:hAnsi="Tahoma" w:cs="Tahoma"/>
          <w:sz w:val="18"/>
          <w:szCs w:val="18"/>
        </w:rPr>
      </w:pPr>
      <w:r w:rsidRPr="002F1C76">
        <w:rPr>
          <w:rFonts w:ascii="Tahoma" w:hAnsi="Tahoma"/>
          <w:sz w:val="18"/>
        </w:rPr>
        <w:t>For å sikre en kvalitetsdiagnose på både lunge- og ekstrapulmonal tuberkulose bør man innhente adekvate prøver for bakteriologisk undersøkelse. Spyttfremkalling, bronkoskopi og bronkoalveolær skylling, mageskyl</w:t>
      </w:r>
      <w:r w:rsidRPr="002F1C76">
        <w:rPr>
          <w:rFonts w:ascii="Tahoma" w:hAnsi="Tahoma"/>
          <w:sz w:val="18"/>
        </w:rPr>
        <w:t>ling, biopsi eller finnålsbiopsi bør brukes der det er passende [1]. Prøver bør behandles ved å bruke tilgjengelige diagnostiske verktøy [2], og suppleres av avbildning (radiologi, ultralyd, computertomografi, magnetresonanstomografi, positrontomografi) og</w:t>
      </w:r>
      <w:r w:rsidRPr="002F1C76">
        <w:rPr>
          <w:rFonts w:ascii="Tahoma" w:hAnsi="Tahoma"/>
          <w:sz w:val="18"/>
        </w:rPr>
        <w:t xml:space="preserve"> andre nødvendige undersøkelser gjennomført i henhold til evidensbaserte retningslinjer [2-4]. </w:t>
      </w:r>
    </w:p>
    <w:p w:rsidR="00DA3A70" w:rsidRPr="002F1C76" w:rsidRDefault="00EC1008" w:rsidP="0028467E">
      <w:pPr>
        <w:spacing w:after="120"/>
        <w:rPr>
          <w:rFonts w:ascii="Tahoma" w:hAnsi="Tahoma" w:cs="Tahoma"/>
          <w:sz w:val="18"/>
          <w:szCs w:val="18"/>
        </w:rPr>
      </w:pPr>
      <w:r w:rsidRPr="002F1C76">
        <w:rPr>
          <w:rFonts w:ascii="Tahoma" w:hAnsi="Tahoma"/>
          <w:sz w:val="18"/>
        </w:rPr>
        <w:t>WHO anbefaler at korttids molekyltesting [5], kultur og DST utføres på hver prøve fra pasienter med antatt lunge- og ekstrapulmonal tuberkulose, inkludert prøve</w:t>
      </w:r>
      <w:r w:rsidRPr="002F1C76">
        <w:rPr>
          <w:rFonts w:ascii="Tahoma" w:hAnsi="Tahoma"/>
          <w:sz w:val="18"/>
        </w:rPr>
        <w:t>r innhentet under kirurgi eller andre invasive inngrep som vanligvis gjennomgår histologiske undersøkelser. Kirurger bør derfor rådes til å oppbevare en biologisk prøve i normal saltkilde for mikrobiologiske og molekylbiologiske undersøkelser og i formalin</w:t>
      </w:r>
      <w:r w:rsidRPr="002F1C76">
        <w:rPr>
          <w:rFonts w:ascii="Tahoma" w:hAnsi="Tahoma"/>
          <w:sz w:val="18"/>
        </w:rPr>
        <w:t xml:space="preserve"> for histopatologiske undersøkelser.</w:t>
      </w:r>
    </w:p>
    <w:p w:rsidR="00DA3A70" w:rsidRPr="002F1C76" w:rsidRDefault="00EC1008" w:rsidP="008A39C9">
      <w:pPr>
        <w:shd w:val="clear" w:color="auto" w:fill="D9D9D9"/>
        <w:autoSpaceDE w:val="0"/>
        <w:autoSpaceDN w:val="0"/>
        <w:adjustRightInd w:val="0"/>
        <w:spacing w:after="0"/>
        <w:jc w:val="both"/>
        <w:rPr>
          <w:rFonts w:ascii="Tahoma" w:hAnsi="Tahoma" w:cs="Tahoma"/>
          <w:sz w:val="24"/>
          <w:szCs w:val="24"/>
        </w:rPr>
      </w:pPr>
      <w:r w:rsidRPr="002F1C76">
        <w:rPr>
          <w:rFonts w:ascii="Tahoma" w:hAnsi="Tahoma"/>
          <w:b/>
          <w:sz w:val="24"/>
        </w:rPr>
        <w:t>Standard 6</w:t>
      </w:r>
    </w:p>
    <w:p w:rsidR="00D830C5" w:rsidRPr="002F1C76" w:rsidRDefault="00EC1008" w:rsidP="000D0DB0">
      <w:pPr>
        <w:spacing w:after="120"/>
        <w:rPr>
          <w:rFonts w:ascii="Tahoma" w:hAnsi="Tahoma" w:cs="Tahoma"/>
          <w:spacing w:val="-4"/>
          <w:sz w:val="18"/>
          <w:szCs w:val="18"/>
        </w:rPr>
      </w:pPr>
      <w:r w:rsidRPr="002F1C76">
        <w:rPr>
          <w:rFonts w:ascii="Tahoma" w:hAnsi="Tahoma"/>
          <w:spacing w:val="-4"/>
          <w:sz w:val="18"/>
        </w:rPr>
        <w:t>Hos alle barn som man antar har intratorakal (dvs. lunge-, plevral og mediastinal tuberkulose eller hilær lymfeknute), bør bakteriologisk bekreftelse søkes gjennom undersøkelse av passende biologiske prøver (</w:t>
      </w:r>
      <w:r w:rsidRPr="002F1C76">
        <w:rPr>
          <w:rFonts w:ascii="Tahoma" w:hAnsi="Tahoma"/>
          <w:spacing w:val="-4"/>
          <w:sz w:val="18"/>
        </w:rPr>
        <w:t>av opphostet eller fremkalt spytt, bronkialsekresjoner, plevralvæske, mageskylling eller endoskopisk ultralydstyrt biopsi) gjennom vevsmikroskopi, korttids molekyltester, artsidentifikasjon og DST med kulturbaserte teknikker i et kvalitetssikret laboratori</w:t>
      </w:r>
      <w:r w:rsidRPr="002F1C76">
        <w:rPr>
          <w:rFonts w:ascii="Tahoma" w:hAnsi="Tahoma"/>
          <w:spacing w:val="-4"/>
          <w:sz w:val="18"/>
        </w:rPr>
        <w:t>um [3, 5-9]. Ved negative bakteriologiske resultater, bør en diagnose av tuberkulose være basert på tilstedeværelse av abnormaliteter i samsvar med tuberkulose på brystradiografi eller annen avbildning, en historikk med eksponering for et smittsomt tilfell</w:t>
      </w:r>
      <w:r w:rsidRPr="002F1C76">
        <w:rPr>
          <w:rFonts w:ascii="Tahoma" w:hAnsi="Tahoma"/>
          <w:spacing w:val="-4"/>
          <w:sz w:val="18"/>
        </w:rPr>
        <w:t>e, bevis på tuberkuloseinfeksjon (positiv tuberkulosehudprøve (TST) og/eller en positiv interferon gamma release assay (IGRA-test)) [5, 10-13] og/eller kliniske funn som tyder på tuberkulose [3]. For barn som man antar har ekstrapulmonal tuberkulose, bør m</w:t>
      </w:r>
      <w:r w:rsidRPr="002F1C76">
        <w:rPr>
          <w:rFonts w:ascii="Tahoma" w:hAnsi="Tahoma"/>
          <w:spacing w:val="-4"/>
          <w:sz w:val="18"/>
        </w:rPr>
        <w:t xml:space="preserve">an innhente passende prøver fra de mistenkte involveringsstedene for mikroskopi, anbefalte korttids molekyltester, artsidentifiksjon og DST med kulturbaserte teknikker og histopatologisk undersøkelse [5, 14, 15]. </w:t>
      </w:r>
    </w:p>
    <w:p w:rsidR="00D830C5" w:rsidRPr="002F1C76" w:rsidRDefault="00EC1008" w:rsidP="0028467E">
      <w:pPr>
        <w:pStyle w:val="EC-Title-5"/>
        <w:spacing w:before="120" w:after="240"/>
      </w:pPr>
      <w:r w:rsidRPr="002F1C76">
        <w:lastRenderedPageBreak/>
        <w:t>Standarder for tuberkulosebehandling</w:t>
      </w:r>
    </w:p>
    <w:p w:rsidR="00DA3A70" w:rsidRPr="002F1C76" w:rsidRDefault="00EC1008" w:rsidP="00A82B43">
      <w:pPr>
        <w:shd w:val="clear" w:color="auto" w:fill="D9D9D9"/>
        <w:autoSpaceDE w:val="0"/>
        <w:autoSpaceDN w:val="0"/>
        <w:adjustRightInd w:val="0"/>
        <w:spacing w:after="0"/>
        <w:jc w:val="both"/>
        <w:rPr>
          <w:rFonts w:ascii="Tahoma" w:hAnsi="Tahoma" w:cs="Tahoma"/>
          <w:b/>
          <w:bCs/>
          <w:i/>
          <w:sz w:val="24"/>
          <w:szCs w:val="24"/>
        </w:rPr>
      </w:pPr>
      <w:r w:rsidRPr="002F1C76">
        <w:rPr>
          <w:rFonts w:ascii="Tahoma" w:hAnsi="Tahoma"/>
          <w:b/>
          <w:sz w:val="24"/>
        </w:rPr>
        <w:t>Stand</w:t>
      </w:r>
      <w:r w:rsidRPr="002F1C76">
        <w:rPr>
          <w:rFonts w:ascii="Tahoma" w:hAnsi="Tahoma"/>
          <w:b/>
          <w:sz w:val="24"/>
        </w:rPr>
        <w:t>ard 7</w:t>
      </w:r>
    </w:p>
    <w:p w:rsidR="00DA3A70" w:rsidRPr="002F1C76" w:rsidRDefault="00EC1008" w:rsidP="0028467E">
      <w:pPr>
        <w:spacing w:after="120"/>
        <w:rPr>
          <w:rFonts w:ascii="Tahoma" w:hAnsi="Tahoma" w:cs="Tahoma"/>
          <w:sz w:val="18"/>
          <w:szCs w:val="18"/>
        </w:rPr>
      </w:pPr>
      <w:r w:rsidRPr="002F1C76">
        <w:rPr>
          <w:rFonts w:ascii="Tahoma" w:hAnsi="Tahoma"/>
          <w:sz w:val="18"/>
        </w:rPr>
        <w:t>Enhver lege som behandler en pasient for tuberkulose påtar seg et viktig offentlig helseansvar for å forhindre pågående overføring av smitten og utvikling av legemiddelresistens. For å oppfylle dette ansvaret må legen, i samarbeid med offentlige hels</w:t>
      </w:r>
      <w:r w:rsidRPr="002F1C76">
        <w:rPr>
          <w:rFonts w:ascii="Tahoma" w:hAnsi="Tahoma"/>
          <w:sz w:val="18"/>
        </w:rPr>
        <w:t>emyndigheter: 1) forordne en passende kur (veiledet av genotypiske og/eller fenotypiske DST-resultater); 2) gjennomføre kontaktundersøkelser; 3) vurdere og fremme pasientens adheranse til behandling ved hjelp av en pasientsentrert tilnærming i samarbeid me</w:t>
      </w:r>
      <w:r w:rsidRPr="002F1C76">
        <w:rPr>
          <w:rFonts w:ascii="Tahoma" w:hAnsi="Tahoma"/>
          <w:sz w:val="18"/>
        </w:rPr>
        <w:t xml:space="preserve">d familiemedlemmer, lokale offentlige og/eller kommunale helsetjenester og sivilsamfunnsorganisasjoner og 4) overvåke behandlingsutfall [2, 16, 17]. </w:t>
      </w:r>
    </w:p>
    <w:p w:rsidR="00DA3A70" w:rsidRPr="002F1C76" w:rsidRDefault="00EC1008" w:rsidP="00A82B43">
      <w:pPr>
        <w:shd w:val="clear" w:color="auto" w:fill="D9D9D9"/>
        <w:autoSpaceDE w:val="0"/>
        <w:autoSpaceDN w:val="0"/>
        <w:adjustRightInd w:val="0"/>
        <w:spacing w:after="0"/>
        <w:jc w:val="both"/>
        <w:rPr>
          <w:rFonts w:ascii="Tahoma" w:hAnsi="Tahoma" w:cs="Tahoma"/>
          <w:b/>
          <w:bCs/>
          <w:sz w:val="24"/>
          <w:szCs w:val="24"/>
        </w:rPr>
      </w:pPr>
      <w:r w:rsidRPr="002F1C76">
        <w:rPr>
          <w:rFonts w:ascii="Tahoma" w:hAnsi="Tahoma"/>
          <w:b/>
          <w:sz w:val="24"/>
          <w:shd w:val="clear" w:color="auto" w:fill="D9D9D9"/>
        </w:rPr>
        <w:t>Standard 8</w:t>
      </w:r>
    </w:p>
    <w:p w:rsidR="00DA3A70" w:rsidRPr="002F1C76" w:rsidRDefault="00EC1008" w:rsidP="0028467E">
      <w:pPr>
        <w:spacing w:after="120"/>
        <w:rPr>
          <w:rFonts w:ascii="Tahoma" w:hAnsi="Tahoma" w:cs="Tahoma"/>
          <w:sz w:val="18"/>
          <w:szCs w:val="18"/>
        </w:rPr>
      </w:pPr>
      <w:r w:rsidRPr="002F1C76">
        <w:rPr>
          <w:rFonts w:ascii="Tahoma" w:hAnsi="Tahoma"/>
          <w:sz w:val="18"/>
        </w:rPr>
        <w:t>Alle pasienter (inkludert de med HIV-medsmitte), som ikke tidligere har blitt behandlet og er u</w:t>
      </w:r>
      <w:r w:rsidRPr="002F1C76">
        <w:rPr>
          <w:rFonts w:ascii="Tahoma" w:hAnsi="Tahoma"/>
          <w:sz w:val="18"/>
        </w:rPr>
        <w:t>ten legemiddelresistens (vurdert av passende tester), bør motta en internasjonalt akseptert behandlingskur ved å bruke legemidler for kjent biotilgjengelighet. Den innledende fasen bør bestå av 2 måneder med isoniazid (H), rifampicin (R), pyrazinamid (Z) o</w:t>
      </w:r>
      <w:r w:rsidRPr="002F1C76">
        <w:rPr>
          <w:rFonts w:ascii="Tahoma" w:hAnsi="Tahoma"/>
          <w:sz w:val="18"/>
        </w:rPr>
        <w:t>g etambutol (E). Fortsettelsesfasen bør bestå av isoniazid og rifampicin gitt i 4 måneder (2HRZE/4HR). Dosene med anti-tuberkuloselegemidler bør samsvare med internasjonale anbefalinger. Faste dosekombinasjoner på to (isoniazid og rifampicin), tre (isoniaz</w:t>
      </w:r>
      <w:r w:rsidRPr="002F1C76">
        <w:rPr>
          <w:rFonts w:ascii="Tahoma" w:hAnsi="Tahoma"/>
          <w:sz w:val="18"/>
        </w:rPr>
        <w:t xml:space="preserve">id, rifampicin og pyrazinamid) og fire (isoniazid, rifampicin, pyrazinamid og etambutol) legemidler kan gi en praktisk form for legemiddelbehandling. </w:t>
      </w:r>
    </w:p>
    <w:p w:rsidR="00DA3A70" w:rsidRPr="002F1C76" w:rsidRDefault="00EC1008" w:rsidP="00037B0F">
      <w:pPr>
        <w:keepNext/>
        <w:shd w:val="clear" w:color="auto" w:fill="D9D9D9"/>
        <w:autoSpaceDE w:val="0"/>
        <w:autoSpaceDN w:val="0"/>
        <w:adjustRightInd w:val="0"/>
        <w:spacing w:after="0"/>
        <w:jc w:val="both"/>
        <w:rPr>
          <w:rFonts w:ascii="Tahoma" w:hAnsi="Tahoma" w:cs="Tahoma"/>
          <w:b/>
          <w:bCs/>
          <w:i/>
          <w:sz w:val="24"/>
          <w:szCs w:val="24"/>
        </w:rPr>
      </w:pPr>
      <w:r w:rsidRPr="002F1C76">
        <w:rPr>
          <w:rFonts w:ascii="Tahoma" w:hAnsi="Tahoma"/>
          <w:b/>
          <w:sz w:val="24"/>
        </w:rPr>
        <w:t>Standard 9</w:t>
      </w:r>
    </w:p>
    <w:p w:rsidR="00DA3A70" w:rsidRPr="002F1C76" w:rsidRDefault="00EC1008" w:rsidP="0028467E">
      <w:pPr>
        <w:spacing w:after="120"/>
        <w:rPr>
          <w:rFonts w:ascii="Tahoma" w:hAnsi="Tahoma" w:cs="Tahoma"/>
          <w:szCs w:val="24"/>
        </w:rPr>
      </w:pPr>
      <w:r w:rsidRPr="002F1C76">
        <w:rPr>
          <w:rFonts w:ascii="Tahoma" w:hAnsi="Tahoma"/>
          <w:sz w:val="18"/>
        </w:rPr>
        <w:t>En pasientsentrert tilnærming til behandling, basert på pasientens behov og gjensidig respekt mellom pasienten og leverandøren, bør utvikles for alle pasienter.</w:t>
      </w:r>
    </w:p>
    <w:p w:rsidR="00DA3A70" w:rsidRPr="002F1C76" w:rsidRDefault="00EC1008" w:rsidP="00A82B43">
      <w:pPr>
        <w:shd w:val="clear" w:color="auto" w:fill="D9D9D9"/>
        <w:autoSpaceDE w:val="0"/>
        <w:autoSpaceDN w:val="0"/>
        <w:adjustRightInd w:val="0"/>
        <w:spacing w:after="0"/>
        <w:jc w:val="both"/>
        <w:rPr>
          <w:rFonts w:ascii="Tahoma" w:hAnsi="Tahoma" w:cs="Tahoma"/>
          <w:b/>
          <w:bCs/>
          <w:sz w:val="24"/>
          <w:szCs w:val="24"/>
        </w:rPr>
      </w:pPr>
      <w:r w:rsidRPr="002F1C76">
        <w:rPr>
          <w:rFonts w:ascii="Tahoma" w:hAnsi="Tahoma"/>
          <w:b/>
          <w:sz w:val="24"/>
        </w:rPr>
        <w:t>Standard 10</w:t>
      </w:r>
    </w:p>
    <w:p w:rsidR="00DA3A70" w:rsidRPr="002F1C76" w:rsidRDefault="00EC1008" w:rsidP="000D0DB0">
      <w:pPr>
        <w:spacing w:after="0"/>
        <w:rPr>
          <w:rFonts w:ascii="Tahoma" w:hAnsi="Tahoma" w:cs="Tahoma"/>
          <w:sz w:val="18"/>
          <w:szCs w:val="18"/>
        </w:rPr>
      </w:pPr>
      <w:r w:rsidRPr="002F1C76">
        <w:rPr>
          <w:rFonts w:ascii="Tahoma" w:hAnsi="Tahoma"/>
          <w:sz w:val="18"/>
        </w:rPr>
        <w:t xml:space="preserve">Respons på terapi hos pasienter med lungetuberkulose bør overvåkes av oppfølgende </w:t>
      </w:r>
      <w:r w:rsidRPr="002F1C76">
        <w:rPr>
          <w:rFonts w:ascii="Tahoma" w:hAnsi="Tahoma"/>
          <w:sz w:val="18"/>
        </w:rPr>
        <w:t>vevsmikroskopi og kultur, minst, på tidspunktet for fullføring av den innledende behandlingsfasen (to måneder for legemiddelmottakelig tuberkulose). Hvis spyttvevet og/eller kulturen er positiv ved fullføring av den innledende fasen, bør det straks gjennom</w:t>
      </w:r>
      <w:r w:rsidRPr="002F1C76">
        <w:rPr>
          <w:rFonts w:ascii="Tahoma" w:hAnsi="Tahoma"/>
          <w:sz w:val="18"/>
        </w:rPr>
        <w:t>føres molekyltester av legemiddelresistens og ytterligere DST. Hos pasienter med ekstrapulmonal tuberkulose og hos barn som ikke er i stand til å produsere spytt, vurderes den kliniske responsen på behandling (vekt, inflammatoriske markører og gjentatt avb</w:t>
      </w:r>
      <w:r w:rsidRPr="002F1C76">
        <w:rPr>
          <w:rFonts w:ascii="Tahoma" w:hAnsi="Tahoma"/>
          <w:sz w:val="18"/>
        </w:rPr>
        <w:t xml:space="preserve">ildning) objektivt. </w:t>
      </w:r>
    </w:p>
    <w:p w:rsidR="003663F5" w:rsidRPr="002F1C76" w:rsidRDefault="00EC1008" w:rsidP="003663F5">
      <w:pPr>
        <w:pStyle w:val="EC-Title-6"/>
      </w:pPr>
      <w:r w:rsidRPr="002F1C76">
        <w:t>EU-spesifikke krav</w:t>
      </w:r>
    </w:p>
    <w:p w:rsidR="00DA3A70" w:rsidRPr="002F1C76" w:rsidRDefault="00EC1008" w:rsidP="0028467E">
      <w:pPr>
        <w:spacing w:after="120"/>
        <w:rPr>
          <w:rFonts w:ascii="Tahoma" w:hAnsi="Tahoma" w:cs="Tahoma"/>
          <w:spacing w:val="-2"/>
          <w:sz w:val="18"/>
          <w:szCs w:val="18"/>
        </w:rPr>
      </w:pPr>
      <w:r w:rsidRPr="002F1C76">
        <w:rPr>
          <w:rFonts w:ascii="Tahoma" w:hAnsi="Tahoma"/>
          <w:spacing w:val="-2"/>
          <w:sz w:val="18"/>
        </w:rPr>
        <w:t>Behandlingsovervåking bør gjøres i henhold til internasjonale retningslinjer [2, 3, 6-8, 18-20]. I EU har land ressursene til å gjennomføre behandlingsovervåking på månedlig basis. For multi-legemiddelresistente tube</w:t>
      </w:r>
      <w:r w:rsidRPr="002F1C76">
        <w:rPr>
          <w:rFonts w:ascii="Tahoma" w:hAnsi="Tahoma"/>
          <w:spacing w:val="-2"/>
          <w:sz w:val="18"/>
        </w:rPr>
        <w:t>rkulosetilfeller (MDR-TB), bør denne månedlige overvåkingen gjøres basert på spyttvev og -kultur [21, 22].</w:t>
      </w:r>
    </w:p>
    <w:p w:rsidR="00DA3A70" w:rsidRPr="002F1C76" w:rsidRDefault="00EC1008" w:rsidP="00BE259C">
      <w:pPr>
        <w:shd w:val="clear" w:color="auto" w:fill="D9D9D9"/>
        <w:autoSpaceDE w:val="0"/>
        <w:autoSpaceDN w:val="0"/>
        <w:adjustRightInd w:val="0"/>
        <w:spacing w:after="0"/>
        <w:jc w:val="both"/>
        <w:rPr>
          <w:rFonts w:ascii="Tahoma" w:hAnsi="Tahoma" w:cs="Tahoma"/>
          <w:b/>
          <w:bCs/>
          <w:sz w:val="24"/>
          <w:szCs w:val="24"/>
        </w:rPr>
      </w:pPr>
      <w:r w:rsidRPr="002F1C76">
        <w:rPr>
          <w:rFonts w:ascii="Tahoma" w:hAnsi="Tahoma"/>
          <w:b/>
          <w:sz w:val="24"/>
          <w:shd w:val="clear" w:color="auto" w:fill="D9D9D9"/>
        </w:rPr>
        <w:t>Standard 11</w:t>
      </w:r>
    </w:p>
    <w:p w:rsidR="00DA3A70" w:rsidRPr="002F1C76" w:rsidRDefault="00EC1008" w:rsidP="0028467E">
      <w:pPr>
        <w:spacing w:after="120"/>
        <w:rPr>
          <w:rFonts w:ascii="Tahoma" w:hAnsi="Tahoma" w:cs="Tahoma"/>
          <w:sz w:val="18"/>
          <w:szCs w:val="18"/>
        </w:rPr>
      </w:pPr>
      <w:r w:rsidRPr="002F1C76">
        <w:rPr>
          <w:rFonts w:ascii="Tahoma" w:hAnsi="Tahoma"/>
          <w:sz w:val="18"/>
        </w:rPr>
        <w:t>En vurdering av sannsynligheten for legemiddelresistens, basert på historikk med tidligere behandling, eksponering for et mulig kildetilf</w:t>
      </w:r>
      <w:r w:rsidRPr="002F1C76">
        <w:rPr>
          <w:rFonts w:ascii="Tahoma" w:hAnsi="Tahoma"/>
          <w:sz w:val="18"/>
        </w:rPr>
        <w:t>elle med legemiddelresistent tuberkulose og lokal forekomst av legemiddelresistens, bør foretas, spesielt for pasienter som ikke er bakteriologisk bekreftet eller hvor legemiddelresistenstesting ikke kan gjennomføres. Korttidstesting (genotypisk rifampicin</w:t>
      </w:r>
      <w:r w:rsidRPr="002F1C76">
        <w:rPr>
          <w:rFonts w:ascii="Tahoma" w:hAnsi="Tahoma"/>
          <w:sz w:val="18"/>
        </w:rPr>
        <w:t>- og isoniazid-resistenstesting og genotypisk/fenotypisk annenhånds legemiddelresistenstesting for pasienter med rifampicin-resistens eller MDR-TB) bør gjennomføres for pasienter som definert i standardene 2-4 og 8. Dessuten bør pasientrådgivning og -utdan</w:t>
      </w:r>
      <w:r w:rsidRPr="002F1C76">
        <w:rPr>
          <w:rFonts w:ascii="Tahoma" w:hAnsi="Tahoma"/>
          <w:sz w:val="18"/>
        </w:rPr>
        <w:t>ning starte øyeblikkelig for alle tuberkulosepasienter, for å minimere potensialet for overføring. Smittekontrolltiltak passende for omgivelsene bør tas i bruk som anbefalt i ESTC offentlig helsestandard 20.</w:t>
      </w:r>
    </w:p>
    <w:p w:rsidR="00DA3A70" w:rsidRPr="002F1C76" w:rsidRDefault="00EC1008" w:rsidP="00DB519A">
      <w:pPr>
        <w:shd w:val="clear" w:color="auto" w:fill="D9D9D9"/>
        <w:autoSpaceDE w:val="0"/>
        <w:autoSpaceDN w:val="0"/>
        <w:adjustRightInd w:val="0"/>
        <w:spacing w:after="0"/>
        <w:jc w:val="both"/>
        <w:rPr>
          <w:rFonts w:ascii="Tahoma" w:hAnsi="Tahoma" w:cs="Tahoma"/>
          <w:b/>
          <w:bCs/>
          <w:sz w:val="24"/>
          <w:szCs w:val="24"/>
        </w:rPr>
      </w:pPr>
      <w:r w:rsidRPr="002F1C76">
        <w:rPr>
          <w:rFonts w:ascii="Tahoma" w:hAnsi="Tahoma"/>
          <w:b/>
          <w:sz w:val="24"/>
          <w:shd w:val="clear" w:color="auto" w:fill="D9D9D9"/>
        </w:rPr>
        <w:t xml:space="preserve">Standard 12 </w:t>
      </w:r>
    </w:p>
    <w:p w:rsidR="00DA3A70" w:rsidRPr="002F1C76" w:rsidRDefault="00EC1008" w:rsidP="0028467E">
      <w:pPr>
        <w:spacing w:after="120"/>
        <w:rPr>
          <w:rFonts w:ascii="Tahoma" w:hAnsi="Tahoma" w:cs="Tahoma"/>
          <w:sz w:val="18"/>
          <w:szCs w:val="18"/>
        </w:rPr>
      </w:pPr>
      <w:r w:rsidRPr="002F1C76">
        <w:rPr>
          <w:rFonts w:ascii="Tahoma" w:hAnsi="Tahoma"/>
          <w:sz w:val="18"/>
        </w:rPr>
        <w:t>Pasienter med, eller som har høy sa</w:t>
      </w:r>
      <w:r w:rsidRPr="002F1C76">
        <w:rPr>
          <w:rFonts w:ascii="Tahoma" w:hAnsi="Tahoma"/>
          <w:sz w:val="18"/>
        </w:rPr>
        <w:t>nnsynlighet for å ha, tuberkulose forårsaket av legemiddelresistente (spesielt rifampicin-resistente/MDR/omfattende legemiddelresistente (XDR)) organismer bør behandles med individuelt tilpassede kurer som inneholder annenhånds og ekstra anti-tuberkulosele</w:t>
      </w:r>
      <w:r w:rsidRPr="002F1C76">
        <w:rPr>
          <w:rFonts w:ascii="Tahoma" w:hAnsi="Tahoma"/>
          <w:sz w:val="18"/>
        </w:rPr>
        <w:t>gemidler. Kuren som velges bør være basert på bekreftede legemiddelresistensmønstre. Empiriske kurer kan forårsake ytterligere resistens og er ikke anbefalt, unntatt for kulturnegativ tuberkulose.</w:t>
      </w:r>
    </w:p>
    <w:p w:rsidR="00083CEE" w:rsidRPr="002F1C76" w:rsidRDefault="00EC1008" w:rsidP="00083CEE">
      <w:pPr>
        <w:spacing w:after="120"/>
        <w:rPr>
          <w:rFonts w:ascii="Tahoma" w:hAnsi="Tahoma" w:cs="Tahoma"/>
          <w:sz w:val="18"/>
          <w:szCs w:val="18"/>
        </w:rPr>
      </w:pPr>
      <w:r w:rsidRPr="002F1C76">
        <w:rPr>
          <w:rFonts w:ascii="Tahoma" w:hAnsi="Tahoma"/>
          <w:sz w:val="18"/>
        </w:rPr>
        <w:t>Avhengig av legemiddelresistensmønsteret, bør behandling me</w:t>
      </w:r>
      <w:r w:rsidRPr="002F1C76">
        <w:rPr>
          <w:rFonts w:ascii="Tahoma" w:hAnsi="Tahoma"/>
          <w:sz w:val="18"/>
        </w:rPr>
        <w:t xml:space="preserve">d minimum fem effektive anti-tuberkuloselegemidler gis i minst 20 måneder [5]. Hvis pasienten oppfyller kvalifiseringskriteriene for standard kortere MDR-TB-kur (9-11 måneder), kan denne brukes. </w:t>
      </w:r>
    </w:p>
    <w:p w:rsidR="00083CEE" w:rsidRPr="002F1C76" w:rsidRDefault="00EC1008" w:rsidP="0028467E">
      <w:r w:rsidRPr="002F1C76">
        <w:br w:type="page"/>
      </w:r>
    </w:p>
    <w:p w:rsidR="00835340" w:rsidRPr="002F1C76" w:rsidRDefault="00EC1008" w:rsidP="00835340">
      <w:pPr>
        <w:pStyle w:val="EC-Title-6"/>
      </w:pPr>
      <w:r w:rsidRPr="002F1C76">
        <w:lastRenderedPageBreak/>
        <w:t>EU-spesifikke krav</w:t>
      </w:r>
    </w:p>
    <w:p w:rsidR="00DA3A70" w:rsidRPr="002F1C76" w:rsidRDefault="00EC1008" w:rsidP="0028467E">
      <w:pPr>
        <w:spacing w:after="120"/>
        <w:rPr>
          <w:rFonts w:ascii="Tahoma" w:hAnsi="Tahoma" w:cs="Tahoma"/>
          <w:sz w:val="18"/>
          <w:szCs w:val="18"/>
        </w:rPr>
      </w:pPr>
      <w:r w:rsidRPr="002F1C76">
        <w:rPr>
          <w:rFonts w:ascii="Tahoma" w:hAnsi="Tahoma"/>
          <w:sz w:val="18"/>
        </w:rPr>
        <w:t>Ettersom behandlingen av MDR/XDR-TB oft</w:t>
      </w:r>
      <w:r w:rsidRPr="002F1C76">
        <w:rPr>
          <w:rFonts w:ascii="Tahoma" w:hAnsi="Tahoma"/>
          <w:sz w:val="18"/>
        </w:rPr>
        <w:t>e er en siste sjanse for å sikre pasientleging og -overlevelse, kreves det en rekke pasientsentrerte tiltak, inkludert rådgivning, observasjon og støtte til behandling, så vel som psykososial støtte for å sikre adheranse [5, 23-25]. Dette er spesielt vikti</w:t>
      </w:r>
      <w:r w:rsidRPr="002F1C76">
        <w:rPr>
          <w:rFonts w:ascii="Tahoma" w:hAnsi="Tahoma"/>
          <w:sz w:val="18"/>
        </w:rPr>
        <w:t>g gitt at disse pasientene ofte tilhører sosialt og økonomisk vanskeligstilte grupper.</w:t>
      </w:r>
    </w:p>
    <w:p w:rsidR="00DA3A70" w:rsidRPr="002F1C76" w:rsidRDefault="00EC1008" w:rsidP="0028467E">
      <w:pPr>
        <w:spacing w:after="120"/>
        <w:rPr>
          <w:rFonts w:ascii="Tahoma" w:hAnsi="Tahoma" w:cs="Tahoma"/>
          <w:sz w:val="18"/>
          <w:szCs w:val="18"/>
        </w:rPr>
      </w:pPr>
      <w:r w:rsidRPr="002F1C76">
        <w:rPr>
          <w:rFonts w:ascii="Tahoma" w:hAnsi="Tahoma"/>
          <w:sz w:val="18"/>
        </w:rPr>
        <w:t>For behandling av MDR-TB, bør ingen legemidler gis til en pasient med dokumentert resistens (enten gjennom molekylær eller fenotypisk DST). Annenhånds-DST bør derfor gje</w:t>
      </w:r>
      <w:r w:rsidRPr="002F1C76">
        <w:rPr>
          <w:rFonts w:ascii="Tahoma" w:hAnsi="Tahoma"/>
          <w:sz w:val="18"/>
        </w:rPr>
        <w:t>nnomføres for å bekrefte legemiddelresistensmønsteret samt veilede i riktig valg av behandling.</w:t>
      </w:r>
    </w:p>
    <w:p w:rsidR="00DA3A70" w:rsidRPr="002F1C76" w:rsidRDefault="00EC1008" w:rsidP="0028467E">
      <w:pPr>
        <w:spacing w:after="120"/>
        <w:rPr>
          <w:rFonts w:ascii="Tahoma" w:hAnsi="Tahoma" w:cs="Tahoma"/>
          <w:sz w:val="18"/>
          <w:szCs w:val="18"/>
        </w:rPr>
      </w:pPr>
      <w:r w:rsidRPr="002F1C76">
        <w:rPr>
          <w:rFonts w:ascii="Tahoma" w:hAnsi="Tahoma"/>
          <w:sz w:val="18"/>
        </w:rPr>
        <w:t>I EU/EØS er DST til etambutol vurdert som pålitelig når det gjennomføres på kvalitetssikrede laboratorier [26]. Pyrazinamid-testing kan utføres gjennom (deteksj</w:t>
      </w:r>
      <w:r w:rsidRPr="002F1C76">
        <w:rPr>
          <w:rFonts w:ascii="Tahoma" w:hAnsi="Tahoma"/>
          <w:sz w:val="18"/>
        </w:rPr>
        <w:t xml:space="preserve">on av </w:t>
      </w:r>
      <w:r w:rsidRPr="002F1C76">
        <w:rPr>
          <w:rFonts w:ascii="Tahoma" w:hAnsi="Tahoma"/>
          <w:i/>
          <w:sz w:val="18"/>
        </w:rPr>
        <w:t>pncA</w:t>
      </w:r>
      <w:r w:rsidRPr="002F1C76">
        <w:rPr>
          <w:rFonts w:ascii="Tahoma" w:hAnsi="Tahoma"/>
          <w:sz w:val="18"/>
        </w:rPr>
        <w:t>-mutasjoner) eller fenotypisk test (f.eks. vekstbaserte (væske) automatiserte metoder).</w:t>
      </w:r>
    </w:p>
    <w:p w:rsidR="00DA3A70" w:rsidRPr="002F1C76" w:rsidRDefault="00EC1008" w:rsidP="0028467E">
      <w:pPr>
        <w:spacing w:after="120"/>
        <w:rPr>
          <w:rFonts w:ascii="Tahoma" w:hAnsi="Tahoma" w:cs="Tahoma"/>
          <w:sz w:val="18"/>
          <w:szCs w:val="18"/>
        </w:rPr>
      </w:pPr>
      <w:r w:rsidRPr="002F1C76">
        <w:rPr>
          <w:rFonts w:ascii="Tahoma" w:hAnsi="Tahoma"/>
          <w:sz w:val="18"/>
        </w:rPr>
        <w:t>Den individuelt tilpassede kuren bør inkludere minst fem effektive tuberkulosemedisiner i den intensive fasen, inkludert pyrazinamid og fire annenhånds tuberk</w:t>
      </w:r>
      <w:r w:rsidRPr="002F1C76">
        <w:rPr>
          <w:rFonts w:ascii="Tahoma" w:hAnsi="Tahoma"/>
          <w:sz w:val="18"/>
        </w:rPr>
        <w:t xml:space="preserve">ulosekjernemedisiner. Legemidler bør velges som følger: én valgt fra gruppe A, en fra gruppe B og minst to fra gruppe C (tabell). Hvis minimumsantallet på fem effektive tuberkulosemedisiner ikke kan settes sammen fra legemidler inkludert i gruppe A til C, </w:t>
      </w:r>
      <w:r w:rsidRPr="002F1C76">
        <w:rPr>
          <w:rFonts w:ascii="Tahoma" w:hAnsi="Tahoma"/>
          <w:sz w:val="18"/>
        </w:rPr>
        <w:t>kan ett middel fra gruppe D2 og andre midler fra gruppe D3 tilsettes for å bringe totalen til fem. Hvis pyrazinamid ikke kan brukes (f.eks. på grunn av resistens eller toksisitet), kan et ekstra middel fra gruppe C eller D legges til for å styrke kuren. Sa</w:t>
      </w:r>
      <w:r w:rsidRPr="002F1C76">
        <w:rPr>
          <w:rFonts w:ascii="Tahoma" w:hAnsi="Tahoma"/>
          <w:sz w:val="18"/>
        </w:rPr>
        <w:t xml:space="preserve">mlet behandlingsvarighet varierer mellom 20 og 24 måneder, med en anbefalt intensiv fase på 8 måneder [5]. </w:t>
      </w:r>
    </w:p>
    <w:p w:rsidR="00DA3A70" w:rsidRPr="002F1C76" w:rsidRDefault="00EC1008" w:rsidP="0028467E">
      <w:pPr>
        <w:spacing w:after="120"/>
        <w:rPr>
          <w:rFonts w:ascii="Tahoma" w:hAnsi="Tahoma" w:cs="Tahoma"/>
          <w:sz w:val="18"/>
          <w:szCs w:val="18"/>
          <w:highlight w:val="yellow"/>
        </w:rPr>
      </w:pPr>
      <w:r w:rsidRPr="002F1C76">
        <w:rPr>
          <w:rFonts w:ascii="Tahoma" w:hAnsi="Tahoma"/>
          <w:sz w:val="18"/>
        </w:rPr>
        <w:t>Hos pasienter med rifampicin</w:t>
      </w:r>
      <w:r w:rsidRPr="002F1C76">
        <w:rPr>
          <w:rFonts w:ascii="Tahoma" w:hAnsi="Tahoma"/>
          <w:sz w:val="18"/>
        </w:rPr>
        <w:t>-resistent tuberkulose eller MDR-TB, som ikke tidligere har blitt behandlet med annenhånds legemidler og hvor resistens mot fluorokinoloner og annenhånds injiserbare midler har blitt utelukket eller anses som svært usannsynlig, kan man bruke en kortere MDR</w:t>
      </w:r>
      <w:r w:rsidRPr="002F1C76">
        <w:rPr>
          <w:rFonts w:ascii="Tahoma" w:hAnsi="Tahoma"/>
          <w:sz w:val="18"/>
        </w:rPr>
        <w:t xml:space="preserve">-TB på 9-11 måneder anbefalt av WHO i stedet for den konvensjonelle individuelt tilpassede kuren [5, 25, 27]. </w:t>
      </w:r>
    </w:p>
    <w:p w:rsidR="00DA3A70" w:rsidRPr="002F1C76" w:rsidRDefault="00EC1008" w:rsidP="0028467E">
      <w:pPr>
        <w:spacing w:after="120"/>
        <w:rPr>
          <w:rFonts w:ascii="Tahoma" w:hAnsi="Tahoma" w:cs="Tahoma"/>
          <w:sz w:val="18"/>
          <w:szCs w:val="18"/>
        </w:rPr>
      </w:pPr>
      <w:r w:rsidRPr="002F1C76">
        <w:rPr>
          <w:rFonts w:ascii="Tahoma" w:hAnsi="Tahoma"/>
          <w:sz w:val="18"/>
        </w:rPr>
        <w:t>Behandling med nye medisiner inkludert bedaquilin og delamanid sammen med medisiner som linezolid og clofazimin</w:t>
      </w:r>
      <w:r w:rsidRPr="002F1C76">
        <w:rPr>
          <w:rFonts w:ascii="Tahoma" w:hAnsi="Tahoma"/>
          <w:sz w:val="18"/>
        </w:rPr>
        <w:t xml:space="preserve"> og annenhånds medisiner det er sannsynlig at </w:t>
      </w:r>
      <w:r w:rsidRPr="002F1C76">
        <w:rPr>
          <w:rFonts w:ascii="Tahoma" w:hAnsi="Tahoma"/>
          <w:i/>
          <w:sz w:val="18"/>
        </w:rPr>
        <w:t>M. tuberculosis</w:t>
      </w:r>
      <w:r w:rsidRPr="002F1C76">
        <w:rPr>
          <w:rFonts w:ascii="Tahoma" w:hAnsi="Tahoma"/>
          <w:sz w:val="18"/>
        </w:rPr>
        <w:t>-forstrekning er sensitiv for kreves for pasienter som lider av XDR-TB eller pasienter som lider av forstrekningsresistens mot fluorokinoloner eller annenhånds injiserbare [28, 29]. For pasienter</w:t>
      </w:r>
      <w:r w:rsidRPr="002F1C76">
        <w:rPr>
          <w:rFonts w:ascii="Tahoma" w:hAnsi="Tahoma"/>
          <w:sz w:val="18"/>
        </w:rPr>
        <w:t xml:space="preserve"> med alvorlige negative hendelser til fluorokinoloner eller annenhånds injiserbare, kan nye og ombygde medisiner også vurderes.</w:t>
      </w:r>
    </w:p>
    <w:p w:rsidR="00DA3A70" w:rsidRPr="002F1C76" w:rsidRDefault="00EC1008" w:rsidP="000D0DB0">
      <w:pPr>
        <w:rPr>
          <w:rFonts w:ascii="Tahoma" w:hAnsi="Tahoma" w:cs="Tahoma"/>
          <w:spacing w:val="-2"/>
          <w:sz w:val="18"/>
          <w:szCs w:val="18"/>
        </w:rPr>
      </w:pPr>
      <w:r w:rsidRPr="002F1C76">
        <w:rPr>
          <w:rFonts w:ascii="Tahoma" w:hAnsi="Tahoma"/>
          <w:spacing w:val="-2"/>
          <w:sz w:val="18"/>
        </w:rPr>
        <w:t xml:space="preserve">Negative hendelser etter forordning av annenhånds legemidler bør håndteres i henhold til internasjonale anbefalinger med mål om </w:t>
      </w:r>
      <w:r w:rsidRPr="002F1C76">
        <w:rPr>
          <w:rFonts w:ascii="Tahoma" w:hAnsi="Tahoma"/>
          <w:spacing w:val="-2"/>
          <w:sz w:val="18"/>
        </w:rPr>
        <w:t>å begrense sannsynligheten for å miste et effektivt legemiddel på grunn av slike negative hendelser [2].</w:t>
      </w:r>
    </w:p>
    <w:p w:rsidR="00DA3A70" w:rsidRPr="002F1C76" w:rsidRDefault="00EC1008" w:rsidP="0028467E">
      <w:pPr>
        <w:spacing w:after="120"/>
        <w:rPr>
          <w:rFonts w:ascii="Tahoma" w:hAnsi="Tahoma" w:cs="Tahoma"/>
          <w:sz w:val="18"/>
          <w:szCs w:val="18"/>
        </w:rPr>
      </w:pPr>
      <w:r w:rsidRPr="002F1C76">
        <w:rPr>
          <w:rFonts w:ascii="Tahoma" w:hAnsi="Tahoma"/>
          <w:sz w:val="18"/>
        </w:rPr>
        <w:t>Negative hendelser, så vel som beslutningen om å starte, endre eller avbryte en annenhånds kur, bør håndteres av et team med eksperter (f.eks. "TB Cons</w:t>
      </w:r>
      <w:r w:rsidRPr="002F1C76">
        <w:rPr>
          <w:rFonts w:ascii="Tahoma" w:hAnsi="Tahoma"/>
          <w:sz w:val="18"/>
        </w:rPr>
        <w:t>ilium" eller lignende kropp), og ikke av individuelle leger, for å minimere feil og dele ansvar så vel som dele erfaring og ekspertise [28, 30, 31]. Alt bør gjøres for å unngå utvikling og ekstra legemiddelresistens.</w:t>
      </w:r>
    </w:p>
    <w:p w:rsidR="00DA3A70" w:rsidRPr="002F1C76" w:rsidRDefault="00EC1008" w:rsidP="0028467E">
      <w:pPr>
        <w:spacing w:after="120"/>
        <w:rPr>
          <w:rFonts w:ascii="Tahoma" w:hAnsi="Tahoma" w:cs="Tahoma"/>
          <w:sz w:val="18"/>
          <w:szCs w:val="18"/>
        </w:rPr>
      </w:pPr>
      <w:r w:rsidRPr="002F1C76">
        <w:rPr>
          <w:rFonts w:ascii="Tahoma" w:hAnsi="Tahoma"/>
          <w:sz w:val="18"/>
        </w:rPr>
        <w:t>WHO foreslo at man i tillegg til kjemot</w:t>
      </w:r>
      <w:r w:rsidRPr="002F1C76">
        <w:rPr>
          <w:rFonts w:ascii="Tahoma" w:hAnsi="Tahoma"/>
          <w:sz w:val="18"/>
        </w:rPr>
        <w:t>erapi kan bruke kirurgi i visse tilfeller med lungetuberkulose, f.eks. de med store hulrom begrenset til en lobe [23]. Det er nødvendig med mer forskning på dette.</w:t>
      </w:r>
    </w:p>
    <w:p w:rsidR="00835340" w:rsidRPr="002F1C76" w:rsidRDefault="00EC1008">
      <w:pPr>
        <w:spacing w:after="160" w:line="259" w:lineRule="auto"/>
        <w:rPr>
          <w:b/>
        </w:rPr>
      </w:pPr>
      <w:r w:rsidRPr="002F1C76">
        <w:br w:type="page"/>
      </w:r>
    </w:p>
    <w:p w:rsidR="00DA3A70" w:rsidRPr="002F1C76" w:rsidRDefault="00EC1008" w:rsidP="0028467E">
      <w:pPr>
        <w:spacing w:after="120"/>
        <w:rPr>
          <w:rFonts w:ascii="Tahoma" w:hAnsi="Tahoma" w:cs="Tahoma"/>
          <w:b/>
          <w:sz w:val="18"/>
          <w:szCs w:val="18"/>
        </w:rPr>
      </w:pPr>
      <w:r w:rsidRPr="002F1C76">
        <w:rPr>
          <w:rFonts w:ascii="Tahoma" w:hAnsi="Tahoma"/>
          <w:b/>
          <w:sz w:val="18"/>
        </w:rPr>
        <w:lastRenderedPageBreak/>
        <w:t>WHO-klassifisering av anti-tuberkuloselegemidler [23]</w:t>
      </w:r>
    </w:p>
    <w:tbl>
      <w:tblPr>
        <w:tblW w:w="906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3031"/>
        <w:gridCol w:w="675"/>
        <w:gridCol w:w="2528"/>
        <w:gridCol w:w="2835"/>
      </w:tblGrid>
      <w:tr w:rsidR="00663E78" w:rsidTr="0028467E">
        <w:tc>
          <w:tcPr>
            <w:tcW w:w="3031" w:type="dxa"/>
            <w:shd w:val="clear" w:color="auto" w:fill="69AF23"/>
          </w:tcPr>
          <w:p w:rsidR="00DA3A70" w:rsidRPr="002F1C76" w:rsidRDefault="00EC1008" w:rsidP="0028467E">
            <w:pPr>
              <w:autoSpaceDE w:val="0"/>
              <w:autoSpaceDN w:val="0"/>
              <w:adjustRightInd w:val="0"/>
              <w:spacing w:before="120" w:after="120" w:line="240" w:lineRule="auto"/>
              <w:ind w:left="720"/>
              <w:jc w:val="both"/>
              <w:rPr>
                <w:rFonts w:ascii="Tahoma" w:hAnsi="Tahoma" w:cs="Tahoma"/>
                <w:b/>
                <w:color w:val="FFFFFF" w:themeColor="background1"/>
                <w:sz w:val="18"/>
                <w:szCs w:val="18"/>
              </w:rPr>
            </w:pPr>
            <w:r w:rsidRPr="002F1C76">
              <w:rPr>
                <w:rFonts w:ascii="Tahoma" w:hAnsi="Tahoma"/>
                <w:b/>
                <w:color w:val="FFFFFF" w:themeColor="background1"/>
                <w:sz w:val="18"/>
              </w:rPr>
              <w:t>Gruppe</w:t>
            </w:r>
          </w:p>
        </w:tc>
        <w:tc>
          <w:tcPr>
            <w:tcW w:w="3203" w:type="dxa"/>
            <w:gridSpan w:val="2"/>
            <w:shd w:val="clear" w:color="auto" w:fill="69AF23"/>
          </w:tcPr>
          <w:p w:rsidR="00DA3A70" w:rsidRPr="002F1C76" w:rsidRDefault="00EC1008" w:rsidP="0028467E">
            <w:pPr>
              <w:autoSpaceDE w:val="0"/>
              <w:autoSpaceDN w:val="0"/>
              <w:adjustRightInd w:val="0"/>
              <w:spacing w:before="120" w:after="120" w:line="240" w:lineRule="auto"/>
              <w:jc w:val="both"/>
              <w:rPr>
                <w:rFonts w:ascii="Tahoma" w:hAnsi="Tahoma" w:cs="Tahoma"/>
                <w:b/>
                <w:color w:val="FFFFFF" w:themeColor="background1"/>
                <w:sz w:val="18"/>
                <w:szCs w:val="18"/>
              </w:rPr>
            </w:pPr>
            <w:r w:rsidRPr="002F1C76">
              <w:rPr>
                <w:rFonts w:ascii="Tahoma" w:hAnsi="Tahoma"/>
                <w:b/>
                <w:color w:val="FFFFFF" w:themeColor="background1"/>
                <w:sz w:val="18"/>
              </w:rPr>
              <w:t>Legemidler</w:t>
            </w:r>
          </w:p>
        </w:tc>
        <w:tc>
          <w:tcPr>
            <w:tcW w:w="2835" w:type="dxa"/>
            <w:shd w:val="clear" w:color="auto" w:fill="69AF23"/>
          </w:tcPr>
          <w:p w:rsidR="00DA3A70" w:rsidRPr="002F1C76" w:rsidRDefault="00EC1008" w:rsidP="0028467E">
            <w:pPr>
              <w:autoSpaceDE w:val="0"/>
              <w:autoSpaceDN w:val="0"/>
              <w:adjustRightInd w:val="0"/>
              <w:spacing w:before="120" w:after="120" w:line="240" w:lineRule="auto"/>
              <w:jc w:val="both"/>
              <w:rPr>
                <w:rFonts w:ascii="Tahoma" w:hAnsi="Tahoma" w:cs="Tahoma"/>
                <w:b/>
                <w:color w:val="FFFFFF" w:themeColor="background1"/>
                <w:sz w:val="18"/>
                <w:szCs w:val="18"/>
              </w:rPr>
            </w:pPr>
            <w:r w:rsidRPr="002F1C76">
              <w:rPr>
                <w:rFonts w:ascii="Tahoma" w:hAnsi="Tahoma"/>
                <w:b/>
                <w:color w:val="FFFFFF" w:themeColor="background1"/>
                <w:sz w:val="18"/>
              </w:rPr>
              <w:t>Forkortelse</w:t>
            </w:r>
          </w:p>
        </w:tc>
      </w:tr>
      <w:tr w:rsidR="00663E78" w:rsidTr="0028467E">
        <w:tc>
          <w:tcPr>
            <w:tcW w:w="3031" w:type="dxa"/>
            <w:shd w:val="clear" w:color="auto" w:fill="auto"/>
          </w:tcPr>
          <w:p w:rsidR="00DA3A70" w:rsidRPr="002F1C76" w:rsidRDefault="00EC1008" w:rsidP="00D40AC5">
            <w:pPr>
              <w:pStyle w:val="ListParagraph"/>
              <w:numPr>
                <w:ilvl w:val="0"/>
                <w:numId w:val="32"/>
              </w:numPr>
              <w:autoSpaceDE w:val="0"/>
              <w:autoSpaceDN w:val="0"/>
              <w:adjustRightInd w:val="0"/>
              <w:spacing w:after="0" w:line="240" w:lineRule="auto"/>
              <w:rPr>
                <w:rFonts w:ascii="Tahoma" w:hAnsi="Tahoma" w:cs="Tahoma"/>
                <w:sz w:val="18"/>
                <w:szCs w:val="18"/>
              </w:rPr>
            </w:pPr>
            <w:r w:rsidRPr="002F1C76">
              <w:rPr>
                <w:rFonts w:ascii="Tahoma" w:hAnsi="Tahoma"/>
                <w:sz w:val="18"/>
              </w:rPr>
              <w:t>Fluorokinoloner</w:t>
            </w:r>
          </w:p>
        </w:tc>
        <w:tc>
          <w:tcPr>
            <w:tcW w:w="3203" w:type="dxa"/>
            <w:gridSpan w:val="2"/>
            <w:shd w:val="clear" w:color="auto" w:fill="auto"/>
          </w:tcPr>
          <w:p w:rsidR="00DA3A70" w:rsidRPr="002F1C76" w:rsidRDefault="00EC1008" w:rsidP="000D0DB0">
            <w:pPr>
              <w:autoSpaceDE w:val="0"/>
              <w:autoSpaceDN w:val="0"/>
              <w:adjustRightInd w:val="0"/>
              <w:spacing w:after="0" w:line="240" w:lineRule="auto"/>
              <w:rPr>
                <w:rFonts w:ascii="Tahoma" w:hAnsi="Tahoma" w:cs="Tahoma"/>
                <w:sz w:val="18"/>
                <w:szCs w:val="18"/>
              </w:rPr>
            </w:pPr>
            <w:r w:rsidRPr="002F1C76">
              <w:rPr>
                <w:rFonts w:ascii="Tahoma" w:hAnsi="Tahoma"/>
                <w:sz w:val="18"/>
              </w:rPr>
              <w:t>Levofloxacin</w:t>
            </w:r>
          </w:p>
          <w:p w:rsidR="00DA3A70" w:rsidRPr="002F1C76" w:rsidRDefault="00EC1008" w:rsidP="000D0DB0">
            <w:pPr>
              <w:autoSpaceDE w:val="0"/>
              <w:autoSpaceDN w:val="0"/>
              <w:adjustRightInd w:val="0"/>
              <w:spacing w:after="0" w:line="240" w:lineRule="auto"/>
              <w:rPr>
                <w:rFonts w:ascii="Tahoma" w:hAnsi="Tahoma" w:cs="Tahoma"/>
                <w:sz w:val="18"/>
                <w:szCs w:val="18"/>
              </w:rPr>
            </w:pPr>
            <w:r w:rsidRPr="002F1C76">
              <w:rPr>
                <w:rFonts w:ascii="Tahoma" w:hAnsi="Tahoma"/>
                <w:sz w:val="18"/>
              </w:rPr>
              <w:t>Moxifloxacin</w:t>
            </w:r>
          </w:p>
          <w:p w:rsidR="00DA3A70" w:rsidRPr="002F1C76" w:rsidRDefault="00EC1008" w:rsidP="000D0DB0">
            <w:pPr>
              <w:autoSpaceDE w:val="0"/>
              <w:autoSpaceDN w:val="0"/>
              <w:adjustRightInd w:val="0"/>
              <w:spacing w:after="0" w:line="240" w:lineRule="auto"/>
              <w:rPr>
                <w:rFonts w:ascii="Tahoma" w:hAnsi="Tahoma" w:cs="Tahoma"/>
                <w:sz w:val="18"/>
                <w:szCs w:val="18"/>
              </w:rPr>
            </w:pPr>
            <w:r w:rsidRPr="002F1C76">
              <w:rPr>
                <w:rFonts w:ascii="Tahoma" w:hAnsi="Tahoma"/>
                <w:sz w:val="18"/>
              </w:rPr>
              <w:t>Gatifloxacin</w:t>
            </w:r>
          </w:p>
        </w:tc>
        <w:tc>
          <w:tcPr>
            <w:tcW w:w="2835" w:type="dxa"/>
            <w:shd w:val="clear" w:color="auto" w:fill="auto"/>
          </w:tcPr>
          <w:p w:rsidR="00DA3A70" w:rsidRPr="002F1C76" w:rsidRDefault="00EC1008" w:rsidP="000D0DB0">
            <w:pPr>
              <w:autoSpaceDE w:val="0"/>
              <w:autoSpaceDN w:val="0"/>
              <w:adjustRightInd w:val="0"/>
              <w:spacing w:after="0" w:line="240" w:lineRule="auto"/>
              <w:rPr>
                <w:rFonts w:ascii="Tahoma" w:hAnsi="Tahoma" w:cs="Tahoma"/>
                <w:sz w:val="18"/>
                <w:szCs w:val="18"/>
              </w:rPr>
            </w:pPr>
            <w:r w:rsidRPr="002F1C76">
              <w:rPr>
                <w:rFonts w:ascii="Tahoma" w:hAnsi="Tahoma"/>
                <w:sz w:val="18"/>
              </w:rPr>
              <w:t>Lfx</w:t>
            </w:r>
          </w:p>
          <w:p w:rsidR="00DA3A70" w:rsidRPr="002F1C76" w:rsidRDefault="00EC1008" w:rsidP="000D0DB0">
            <w:pPr>
              <w:autoSpaceDE w:val="0"/>
              <w:autoSpaceDN w:val="0"/>
              <w:adjustRightInd w:val="0"/>
              <w:spacing w:after="0" w:line="240" w:lineRule="auto"/>
              <w:rPr>
                <w:rFonts w:ascii="Tahoma" w:hAnsi="Tahoma" w:cs="Tahoma"/>
                <w:sz w:val="18"/>
                <w:szCs w:val="18"/>
              </w:rPr>
            </w:pPr>
            <w:r w:rsidRPr="002F1C76">
              <w:rPr>
                <w:rFonts w:ascii="Tahoma" w:hAnsi="Tahoma"/>
                <w:sz w:val="18"/>
              </w:rPr>
              <w:t>Mfx</w:t>
            </w:r>
          </w:p>
          <w:p w:rsidR="00DA3A70" w:rsidRPr="002F1C76" w:rsidRDefault="00EC1008" w:rsidP="000D0DB0">
            <w:pPr>
              <w:autoSpaceDE w:val="0"/>
              <w:autoSpaceDN w:val="0"/>
              <w:adjustRightInd w:val="0"/>
              <w:spacing w:after="0" w:line="240" w:lineRule="auto"/>
              <w:rPr>
                <w:rFonts w:ascii="Tahoma" w:hAnsi="Tahoma" w:cs="Tahoma"/>
                <w:sz w:val="18"/>
                <w:szCs w:val="18"/>
              </w:rPr>
            </w:pPr>
            <w:r w:rsidRPr="002F1C76">
              <w:rPr>
                <w:rFonts w:ascii="Tahoma" w:hAnsi="Tahoma"/>
                <w:sz w:val="18"/>
              </w:rPr>
              <w:t>Gfx</w:t>
            </w:r>
          </w:p>
        </w:tc>
      </w:tr>
      <w:tr w:rsidR="00663E78" w:rsidTr="0028467E">
        <w:tc>
          <w:tcPr>
            <w:tcW w:w="3031" w:type="dxa"/>
            <w:shd w:val="clear" w:color="auto" w:fill="auto"/>
          </w:tcPr>
          <w:p w:rsidR="00DA3A70" w:rsidRPr="002F1C76" w:rsidRDefault="00EC1008" w:rsidP="00D40AC5">
            <w:pPr>
              <w:pStyle w:val="ListParagraph"/>
              <w:numPr>
                <w:ilvl w:val="0"/>
                <w:numId w:val="32"/>
              </w:numPr>
              <w:autoSpaceDE w:val="0"/>
              <w:autoSpaceDN w:val="0"/>
              <w:adjustRightInd w:val="0"/>
              <w:spacing w:after="0" w:line="240" w:lineRule="auto"/>
              <w:rPr>
                <w:rFonts w:ascii="Tahoma" w:hAnsi="Tahoma" w:cs="Tahoma"/>
                <w:sz w:val="18"/>
                <w:szCs w:val="18"/>
              </w:rPr>
            </w:pPr>
            <w:r w:rsidRPr="002F1C76">
              <w:rPr>
                <w:rFonts w:ascii="Tahoma" w:hAnsi="Tahoma"/>
                <w:sz w:val="18"/>
              </w:rPr>
              <w:t>Annenhånds injiserbare</w:t>
            </w:r>
          </w:p>
        </w:tc>
        <w:tc>
          <w:tcPr>
            <w:tcW w:w="3203" w:type="dxa"/>
            <w:gridSpan w:val="2"/>
            <w:shd w:val="clear" w:color="auto" w:fill="auto"/>
          </w:tcPr>
          <w:p w:rsidR="00DA3A70" w:rsidRPr="002F1C76" w:rsidRDefault="00EC1008" w:rsidP="006F6381">
            <w:pPr>
              <w:autoSpaceDE w:val="0"/>
              <w:autoSpaceDN w:val="0"/>
              <w:adjustRightInd w:val="0"/>
              <w:spacing w:after="0" w:line="240" w:lineRule="auto"/>
              <w:jc w:val="both"/>
              <w:rPr>
                <w:rFonts w:ascii="Tahoma" w:hAnsi="Tahoma" w:cs="Tahoma"/>
                <w:sz w:val="18"/>
                <w:szCs w:val="18"/>
              </w:rPr>
            </w:pPr>
            <w:r w:rsidRPr="002F1C76">
              <w:rPr>
                <w:rFonts w:ascii="Tahoma" w:hAnsi="Tahoma"/>
                <w:sz w:val="18"/>
              </w:rPr>
              <w:t>Amikacin</w:t>
            </w:r>
          </w:p>
          <w:p w:rsidR="00DA3A70" w:rsidRPr="002F1C76" w:rsidRDefault="00EC1008" w:rsidP="006F6381">
            <w:pPr>
              <w:autoSpaceDE w:val="0"/>
              <w:autoSpaceDN w:val="0"/>
              <w:adjustRightInd w:val="0"/>
              <w:spacing w:after="0" w:line="240" w:lineRule="auto"/>
              <w:jc w:val="both"/>
              <w:rPr>
                <w:rFonts w:ascii="Tahoma" w:hAnsi="Tahoma" w:cs="Tahoma"/>
                <w:sz w:val="18"/>
                <w:szCs w:val="18"/>
              </w:rPr>
            </w:pPr>
            <w:r w:rsidRPr="002F1C76">
              <w:rPr>
                <w:rFonts w:ascii="Tahoma" w:hAnsi="Tahoma"/>
                <w:sz w:val="18"/>
              </w:rPr>
              <w:t>Capreomycin</w:t>
            </w:r>
          </w:p>
          <w:p w:rsidR="00DA3A70" w:rsidRPr="002F1C76" w:rsidRDefault="00EC1008" w:rsidP="006F6381">
            <w:pPr>
              <w:autoSpaceDE w:val="0"/>
              <w:autoSpaceDN w:val="0"/>
              <w:adjustRightInd w:val="0"/>
              <w:spacing w:after="0" w:line="240" w:lineRule="auto"/>
              <w:jc w:val="both"/>
              <w:rPr>
                <w:rFonts w:ascii="Tahoma" w:hAnsi="Tahoma" w:cs="Tahoma"/>
                <w:sz w:val="18"/>
                <w:szCs w:val="18"/>
              </w:rPr>
            </w:pPr>
            <w:r w:rsidRPr="002F1C76">
              <w:rPr>
                <w:rFonts w:ascii="Tahoma" w:hAnsi="Tahoma"/>
                <w:sz w:val="18"/>
              </w:rPr>
              <w:t>Kanamycin</w:t>
            </w:r>
          </w:p>
          <w:p w:rsidR="00DA3A70" w:rsidRPr="002F1C76" w:rsidRDefault="00EC1008" w:rsidP="006F6381">
            <w:pPr>
              <w:autoSpaceDE w:val="0"/>
              <w:autoSpaceDN w:val="0"/>
              <w:adjustRightInd w:val="0"/>
              <w:spacing w:after="0" w:line="240" w:lineRule="auto"/>
              <w:jc w:val="both"/>
              <w:rPr>
                <w:rFonts w:ascii="Tahoma" w:hAnsi="Tahoma" w:cs="Tahoma"/>
                <w:sz w:val="18"/>
                <w:szCs w:val="18"/>
              </w:rPr>
            </w:pPr>
            <w:r w:rsidRPr="002F1C76">
              <w:rPr>
                <w:rFonts w:ascii="Tahoma" w:hAnsi="Tahoma"/>
                <w:sz w:val="18"/>
              </w:rPr>
              <w:t>(Streptomycin)</w:t>
            </w:r>
          </w:p>
        </w:tc>
        <w:tc>
          <w:tcPr>
            <w:tcW w:w="2835" w:type="dxa"/>
            <w:shd w:val="clear" w:color="auto" w:fill="auto"/>
          </w:tcPr>
          <w:p w:rsidR="00DA3A70" w:rsidRPr="002F1C76" w:rsidRDefault="00EC1008" w:rsidP="006F6381">
            <w:pPr>
              <w:autoSpaceDE w:val="0"/>
              <w:autoSpaceDN w:val="0"/>
              <w:adjustRightInd w:val="0"/>
              <w:spacing w:after="0" w:line="240" w:lineRule="auto"/>
              <w:jc w:val="both"/>
              <w:rPr>
                <w:rFonts w:ascii="Tahoma" w:hAnsi="Tahoma" w:cs="Tahoma"/>
                <w:sz w:val="18"/>
                <w:szCs w:val="18"/>
              </w:rPr>
            </w:pPr>
            <w:r w:rsidRPr="002F1C76">
              <w:rPr>
                <w:rFonts w:ascii="Tahoma" w:hAnsi="Tahoma"/>
                <w:sz w:val="18"/>
              </w:rPr>
              <w:t>Am</w:t>
            </w:r>
          </w:p>
          <w:p w:rsidR="00DA3A70" w:rsidRPr="002F1C76" w:rsidRDefault="00EC1008" w:rsidP="006F6381">
            <w:pPr>
              <w:autoSpaceDE w:val="0"/>
              <w:autoSpaceDN w:val="0"/>
              <w:adjustRightInd w:val="0"/>
              <w:spacing w:after="0" w:line="240" w:lineRule="auto"/>
              <w:jc w:val="both"/>
              <w:rPr>
                <w:rFonts w:ascii="Tahoma" w:hAnsi="Tahoma" w:cs="Tahoma"/>
                <w:sz w:val="18"/>
                <w:szCs w:val="18"/>
              </w:rPr>
            </w:pPr>
            <w:r w:rsidRPr="002F1C76">
              <w:rPr>
                <w:rFonts w:ascii="Tahoma" w:hAnsi="Tahoma"/>
                <w:sz w:val="18"/>
              </w:rPr>
              <w:t>Cm</w:t>
            </w:r>
          </w:p>
          <w:p w:rsidR="00DA3A70" w:rsidRPr="002F1C76" w:rsidRDefault="00EC1008" w:rsidP="006F6381">
            <w:pPr>
              <w:autoSpaceDE w:val="0"/>
              <w:autoSpaceDN w:val="0"/>
              <w:adjustRightInd w:val="0"/>
              <w:spacing w:after="0" w:line="240" w:lineRule="auto"/>
              <w:jc w:val="both"/>
              <w:rPr>
                <w:rFonts w:ascii="Tahoma" w:hAnsi="Tahoma" w:cs="Tahoma"/>
                <w:sz w:val="18"/>
                <w:szCs w:val="18"/>
              </w:rPr>
            </w:pPr>
            <w:r w:rsidRPr="002F1C76">
              <w:rPr>
                <w:rFonts w:ascii="Tahoma" w:hAnsi="Tahoma"/>
                <w:sz w:val="18"/>
              </w:rPr>
              <w:t>Km</w:t>
            </w:r>
          </w:p>
          <w:p w:rsidR="00DA3A70" w:rsidRPr="002F1C76" w:rsidRDefault="00EC1008" w:rsidP="006F6381">
            <w:pPr>
              <w:autoSpaceDE w:val="0"/>
              <w:autoSpaceDN w:val="0"/>
              <w:adjustRightInd w:val="0"/>
              <w:spacing w:after="0" w:line="240" w:lineRule="auto"/>
              <w:jc w:val="both"/>
              <w:rPr>
                <w:rFonts w:ascii="Tahoma" w:hAnsi="Tahoma" w:cs="Tahoma"/>
                <w:sz w:val="18"/>
                <w:szCs w:val="18"/>
              </w:rPr>
            </w:pPr>
            <w:r w:rsidRPr="002F1C76">
              <w:rPr>
                <w:rFonts w:ascii="Tahoma" w:hAnsi="Tahoma"/>
                <w:sz w:val="18"/>
              </w:rPr>
              <w:t>(S)</w:t>
            </w:r>
          </w:p>
        </w:tc>
      </w:tr>
      <w:tr w:rsidR="00663E78" w:rsidTr="0028467E">
        <w:tc>
          <w:tcPr>
            <w:tcW w:w="3031" w:type="dxa"/>
            <w:shd w:val="clear" w:color="auto" w:fill="auto"/>
          </w:tcPr>
          <w:p w:rsidR="00DA3A70" w:rsidRPr="002F1C76" w:rsidRDefault="00EC1008" w:rsidP="00D40AC5">
            <w:pPr>
              <w:pStyle w:val="ListParagraph"/>
              <w:numPr>
                <w:ilvl w:val="0"/>
                <w:numId w:val="32"/>
              </w:numPr>
              <w:autoSpaceDE w:val="0"/>
              <w:autoSpaceDN w:val="0"/>
              <w:adjustRightInd w:val="0"/>
              <w:spacing w:after="0" w:line="240" w:lineRule="auto"/>
              <w:rPr>
                <w:rFonts w:ascii="Tahoma" w:hAnsi="Tahoma" w:cs="Tahoma"/>
                <w:sz w:val="18"/>
                <w:szCs w:val="18"/>
              </w:rPr>
            </w:pPr>
            <w:r w:rsidRPr="002F1C76">
              <w:rPr>
                <w:rFonts w:ascii="Tahoma" w:hAnsi="Tahoma"/>
                <w:sz w:val="18"/>
              </w:rPr>
              <w:t>Andre annenhånds kjernemidler</w:t>
            </w:r>
          </w:p>
        </w:tc>
        <w:tc>
          <w:tcPr>
            <w:tcW w:w="3203" w:type="dxa"/>
            <w:gridSpan w:val="2"/>
            <w:shd w:val="clear" w:color="auto" w:fill="auto"/>
          </w:tcPr>
          <w:p w:rsidR="00DA3A70" w:rsidRPr="002F1C76" w:rsidRDefault="00EC1008" w:rsidP="006F6381">
            <w:pPr>
              <w:autoSpaceDE w:val="0"/>
              <w:autoSpaceDN w:val="0"/>
              <w:adjustRightInd w:val="0"/>
              <w:spacing w:after="0" w:line="240" w:lineRule="auto"/>
              <w:jc w:val="both"/>
              <w:rPr>
                <w:rFonts w:ascii="Tahoma" w:hAnsi="Tahoma" w:cs="Tahoma"/>
                <w:sz w:val="18"/>
                <w:szCs w:val="18"/>
              </w:rPr>
            </w:pPr>
            <w:r w:rsidRPr="002F1C76">
              <w:rPr>
                <w:rFonts w:ascii="Tahoma" w:hAnsi="Tahoma"/>
                <w:sz w:val="18"/>
              </w:rPr>
              <w:t>Etionamid/Protionamid</w:t>
            </w:r>
          </w:p>
          <w:p w:rsidR="00DA3A70" w:rsidRPr="002F1C76" w:rsidRDefault="00EC1008" w:rsidP="006F6381">
            <w:pPr>
              <w:autoSpaceDE w:val="0"/>
              <w:autoSpaceDN w:val="0"/>
              <w:adjustRightInd w:val="0"/>
              <w:spacing w:after="0" w:line="240" w:lineRule="auto"/>
              <w:jc w:val="both"/>
              <w:rPr>
                <w:rFonts w:ascii="Tahoma" w:hAnsi="Tahoma" w:cs="Tahoma"/>
                <w:sz w:val="18"/>
                <w:szCs w:val="18"/>
              </w:rPr>
            </w:pPr>
            <w:r w:rsidRPr="002F1C76">
              <w:rPr>
                <w:rFonts w:ascii="Tahoma" w:hAnsi="Tahoma"/>
                <w:sz w:val="18"/>
              </w:rPr>
              <w:t>Sykloserin/Terizidon</w:t>
            </w:r>
          </w:p>
          <w:p w:rsidR="00DA3A70" w:rsidRPr="002F1C76" w:rsidRDefault="00EC1008" w:rsidP="006F6381">
            <w:pPr>
              <w:autoSpaceDE w:val="0"/>
              <w:autoSpaceDN w:val="0"/>
              <w:adjustRightInd w:val="0"/>
              <w:spacing w:after="0" w:line="240" w:lineRule="auto"/>
              <w:jc w:val="both"/>
              <w:rPr>
                <w:rFonts w:ascii="Tahoma" w:hAnsi="Tahoma" w:cs="Tahoma"/>
                <w:sz w:val="18"/>
                <w:szCs w:val="18"/>
              </w:rPr>
            </w:pPr>
            <w:r w:rsidRPr="002F1C76">
              <w:rPr>
                <w:rFonts w:ascii="Tahoma" w:hAnsi="Tahoma"/>
                <w:sz w:val="18"/>
              </w:rPr>
              <w:t>Linezolid</w:t>
            </w:r>
          </w:p>
          <w:p w:rsidR="00DA3A70" w:rsidRPr="002F1C76" w:rsidRDefault="00EC1008" w:rsidP="00BD3F81">
            <w:pPr>
              <w:autoSpaceDE w:val="0"/>
              <w:autoSpaceDN w:val="0"/>
              <w:adjustRightInd w:val="0"/>
              <w:spacing w:after="0" w:line="240" w:lineRule="auto"/>
              <w:jc w:val="both"/>
              <w:rPr>
                <w:rFonts w:ascii="Tahoma" w:hAnsi="Tahoma" w:cs="Tahoma"/>
                <w:sz w:val="18"/>
                <w:szCs w:val="18"/>
              </w:rPr>
            </w:pPr>
            <w:r w:rsidRPr="002F1C76">
              <w:rPr>
                <w:rFonts w:ascii="Tahoma" w:hAnsi="Tahoma"/>
                <w:sz w:val="18"/>
              </w:rPr>
              <w:t>Clofazimin</w:t>
            </w:r>
          </w:p>
        </w:tc>
        <w:tc>
          <w:tcPr>
            <w:tcW w:w="2835" w:type="dxa"/>
            <w:shd w:val="clear" w:color="auto" w:fill="auto"/>
          </w:tcPr>
          <w:p w:rsidR="00DA3A70" w:rsidRPr="002F1C76" w:rsidRDefault="00EC1008" w:rsidP="006F6381">
            <w:pPr>
              <w:autoSpaceDE w:val="0"/>
              <w:autoSpaceDN w:val="0"/>
              <w:adjustRightInd w:val="0"/>
              <w:spacing w:after="0" w:line="240" w:lineRule="auto"/>
              <w:jc w:val="both"/>
              <w:rPr>
                <w:rFonts w:ascii="Tahoma" w:hAnsi="Tahoma" w:cs="Tahoma"/>
                <w:sz w:val="18"/>
                <w:szCs w:val="18"/>
              </w:rPr>
            </w:pPr>
            <w:r w:rsidRPr="002F1C76">
              <w:rPr>
                <w:rFonts w:ascii="Tahoma" w:hAnsi="Tahoma"/>
                <w:sz w:val="18"/>
              </w:rPr>
              <w:t>Eto/Pto</w:t>
            </w:r>
          </w:p>
          <w:p w:rsidR="00DA3A70" w:rsidRPr="002F1C76" w:rsidRDefault="00EC1008" w:rsidP="006F6381">
            <w:pPr>
              <w:autoSpaceDE w:val="0"/>
              <w:autoSpaceDN w:val="0"/>
              <w:adjustRightInd w:val="0"/>
              <w:spacing w:after="0" w:line="240" w:lineRule="auto"/>
              <w:jc w:val="both"/>
              <w:rPr>
                <w:rFonts w:ascii="Tahoma" w:hAnsi="Tahoma" w:cs="Tahoma"/>
                <w:sz w:val="18"/>
                <w:szCs w:val="18"/>
              </w:rPr>
            </w:pPr>
            <w:r w:rsidRPr="002F1C76">
              <w:rPr>
                <w:rFonts w:ascii="Tahoma" w:hAnsi="Tahoma"/>
                <w:sz w:val="18"/>
              </w:rPr>
              <w:t>Cs/</w:t>
            </w:r>
            <w:r w:rsidRPr="002F1C76">
              <w:rPr>
                <w:rFonts w:ascii="Tahoma" w:hAnsi="Tahoma"/>
                <w:sz w:val="18"/>
              </w:rPr>
              <w:t>Trd</w:t>
            </w:r>
          </w:p>
          <w:p w:rsidR="00DA3A70" w:rsidRPr="002F1C76" w:rsidRDefault="00EC1008" w:rsidP="006F6381">
            <w:pPr>
              <w:autoSpaceDE w:val="0"/>
              <w:autoSpaceDN w:val="0"/>
              <w:adjustRightInd w:val="0"/>
              <w:spacing w:after="0" w:line="240" w:lineRule="auto"/>
              <w:jc w:val="both"/>
              <w:rPr>
                <w:rFonts w:ascii="Tahoma" w:hAnsi="Tahoma" w:cs="Tahoma"/>
                <w:sz w:val="18"/>
                <w:szCs w:val="18"/>
              </w:rPr>
            </w:pPr>
            <w:r w:rsidRPr="002F1C76">
              <w:rPr>
                <w:rFonts w:ascii="Tahoma" w:hAnsi="Tahoma"/>
                <w:sz w:val="18"/>
              </w:rPr>
              <w:t>Lzd</w:t>
            </w:r>
          </w:p>
          <w:p w:rsidR="00DA3A70" w:rsidRPr="002F1C76" w:rsidRDefault="00EC1008" w:rsidP="006F6381">
            <w:pPr>
              <w:autoSpaceDE w:val="0"/>
              <w:autoSpaceDN w:val="0"/>
              <w:adjustRightInd w:val="0"/>
              <w:spacing w:after="0" w:line="240" w:lineRule="auto"/>
              <w:jc w:val="both"/>
              <w:rPr>
                <w:rFonts w:ascii="Tahoma" w:hAnsi="Tahoma" w:cs="Tahoma"/>
                <w:sz w:val="18"/>
                <w:szCs w:val="18"/>
              </w:rPr>
            </w:pPr>
            <w:r w:rsidRPr="002F1C76">
              <w:rPr>
                <w:rFonts w:ascii="Tahoma" w:hAnsi="Tahoma"/>
                <w:sz w:val="18"/>
              </w:rPr>
              <w:t>Cfz</w:t>
            </w:r>
          </w:p>
        </w:tc>
      </w:tr>
      <w:tr w:rsidR="00663E78" w:rsidTr="0028467E">
        <w:tc>
          <w:tcPr>
            <w:tcW w:w="3031" w:type="dxa"/>
            <w:vMerge w:val="restart"/>
            <w:shd w:val="clear" w:color="auto" w:fill="auto"/>
          </w:tcPr>
          <w:p w:rsidR="00DA3A70" w:rsidRPr="002F1C76" w:rsidRDefault="00EC1008" w:rsidP="00D40AC5">
            <w:pPr>
              <w:pStyle w:val="ListParagraph"/>
              <w:numPr>
                <w:ilvl w:val="0"/>
                <w:numId w:val="32"/>
              </w:numPr>
              <w:autoSpaceDE w:val="0"/>
              <w:autoSpaceDN w:val="0"/>
              <w:adjustRightInd w:val="0"/>
              <w:spacing w:after="0" w:line="240" w:lineRule="auto"/>
              <w:rPr>
                <w:rFonts w:ascii="Tahoma" w:hAnsi="Tahoma" w:cs="Tahoma"/>
                <w:sz w:val="18"/>
                <w:szCs w:val="18"/>
              </w:rPr>
            </w:pPr>
            <w:r w:rsidRPr="002F1C76">
              <w:rPr>
                <w:rFonts w:ascii="Tahoma" w:hAnsi="Tahoma"/>
                <w:sz w:val="18"/>
              </w:rPr>
              <w:t>Tilleggsmidler</w:t>
            </w:r>
            <w:r w:rsidRPr="002F1C76">
              <w:rPr>
                <w:rFonts w:ascii="Tahoma" w:hAnsi="Tahoma" w:cs="Tahoma"/>
                <w:sz w:val="18"/>
                <w:szCs w:val="18"/>
              </w:rPr>
              <w:br/>
            </w:r>
            <w:r w:rsidRPr="002F1C76">
              <w:rPr>
                <w:rFonts w:ascii="Tahoma" w:hAnsi="Tahoma"/>
                <w:sz w:val="18"/>
              </w:rPr>
              <w:t>(ikke del av MDR-TB-kjernekuren)</w:t>
            </w:r>
          </w:p>
        </w:tc>
        <w:tc>
          <w:tcPr>
            <w:tcW w:w="675" w:type="dxa"/>
            <w:shd w:val="clear" w:color="auto" w:fill="auto"/>
          </w:tcPr>
          <w:p w:rsidR="00DA3A70" w:rsidRPr="002F1C76" w:rsidRDefault="00EC1008" w:rsidP="006F6381">
            <w:pPr>
              <w:autoSpaceDE w:val="0"/>
              <w:autoSpaceDN w:val="0"/>
              <w:adjustRightInd w:val="0"/>
              <w:spacing w:after="0" w:line="240" w:lineRule="auto"/>
              <w:jc w:val="both"/>
              <w:rPr>
                <w:rFonts w:ascii="Tahoma" w:hAnsi="Tahoma" w:cs="Tahoma"/>
                <w:sz w:val="18"/>
                <w:szCs w:val="18"/>
              </w:rPr>
            </w:pPr>
            <w:r w:rsidRPr="002F1C76">
              <w:rPr>
                <w:rFonts w:ascii="Tahoma" w:hAnsi="Tahoma"/>
                <w:sz w:val="18"/>
              </w:rPr>
              <w:t>D1</w:t>
            </w:r>
          </w:p>
        </w:tc>
        <w:tc>
          <w:tcPr>
            <w:tcW w:w="2528" w:type="dxa"/>
            <w:shd w:val="clear" w:color="auto" w:fill="auto"/>
          </w:tcPr>
          <w:p w:rsidR="00DA3A70" w:rsidRPr="002F1C76" w:rsidRDefault="00EC1008" w:rsidP="006F6381">
            <w:pPr>
              <w:autoSpaceDE w:val="0"/>
              <w:autoSpaceDN w:val="0"/>
              <w:adjustRightInd w:val="0"/>
              <w:spacing w:after="0" w:line="240" w:lineRule="auto"/>
              <w:jc w:val="both"/>
              <w:rPr>
                <w:rFonts w:ascii="Tahoma" w:hAnsi="Tahoma" w:cs="Tahoma"/>
                <w:sz w:val="18"/>
                <w:szCs w:val="18"/>
              </w:rPr>
            </w:pPr>
            <w:r w:rsidRPr="002F1C76">
              <w:rPr>
                <w:rFonts w:ascii="Tahoma" w:hAnsi="Tahoma"/>
                <w:sz w:val="18"/>
              </w:rPr>
              <w:t>Pyrazinamid</w:t>
            </w:r>
          </w:p>
          <w:p w:rsidR="00DA3A70" w:rsidRPr="002F1C76" w:rsidRDefault="00EC1008" w:rsidP="006F6381">
            <w:pPr>
              <w:autoSpaceDE w:val="0"/>
              <w:autoSpaceDN w:val="0"/>
              <w:adjustRightInd w:val="0"/>
              <w:spacing w:after="0" w:line="240" w:lineRule="auto"/>
              <w:jc w:val="both"/>
              <w:rPr>
                <w:rFonts w:ascii="Tahoma" w:hAnsi="Tahoma" w:cs="Tahoma"/>
                <w:sz w:val="18"/>
                <w:szCs w:val="18"/>
              </w:rPr>
            </w:pPr>
            <w:r w:rsidRPr="002F1C76">
              <w:rPr>
                <w:rFonts w:ascii="Tahoma" w:hAnsi="Tahoma"/>
                <w:sz w:val="18"/>
              </w:rPr>
              <w:t>Etambutol</w:t>
            </w:r>
          </w:p>
          <w:p w:rsidR="00DA3A70" w:rsidRPr="002F1C76" w:rsidRDefault="00EC1008" w:rsidP="006F6381">
            <w:pPr>
              <w:autoSpaceDE w:val="0"/>
              <w:autoSpaceDN w:val="0"/>
              <w:adjustRightInd w:val="0"/>
              <w:spacing w:after="0" w:line="240" w:lineRule="auto"/>
              <w:jc w:val="both"/>
              <w:rPr>
                <w:rFonts w:ascii="Tahoma" w:hAnsi="Tahoma" w:cs="Tahoma"/>
                <w:sz w:val="18"/>
                <w:szCs w:val="18"/>
              </w:rPr>
            </w:pPr>
            <w:r w:rsidRPr="002F1C76">
              <w:rPr>
                <w:rFonts w:ascii="Tahoma" w:hAnsi="Tahoma"/>
                <w:sz w:val="18"/>
              </w:rPr>
              <w:t>Isoniazid med høy dose</w:t>
            </w:r>
          </w:p>
        </w:tc>
        <w:tc>
          <w:tcPr>
            <w:tcW w:w="2835" w:type="dxa"/>
            <w:shd w:val="clear" w:color="auto" w:fill="auto"/>
          </w:tcPr>
          <w:p w:rsidR="00DA3A70" w:rsidRPr="002F1C76" w:rsidRDefault="00EC1008" w:rsidP="006F6381">
            <w:pPr>
              <w:autoSpaceDE w:val="0"/>
              <w:autoSpaceDN w:val="0"/>
              <w:adjustRightInd w:val="0"/>
              <w:spacing w:after="0" w:line="240" w:lineRule="auto"/>
              <w:jc w:val="both"/>
              <w:rPr>
                <w:rFonts w:ascii="Tahoma" w:hAnsi="Tahoma" w:cs="Tahoma"/>
                <w:sz w:val="18"/>
                <w:szCs w:val="18"/>
              </w:rPr>
            </w:pPr>
            <w:r w:rsidRPr="002F1C76">
              <w:rPr>
                <w:rFonts w:ascii="Tahoma" w:hAnsi="Tahoma"/>
                <w:sz w:val="18"/>
              </w:rPr>
              <w:t>Z</w:t>
            </w:r>
          </w:p>
          <w:p w:rsidR="00DA3A70" w:rsidRPr="002F1C76" w:rsidRDefault="00EC1008" w:rsidP="006F6381">
            <w:pPr>
              <w:autoSpaceDE w:val="0"/>
              <w:autoSpaceDN w:val="0"/>
              <w:adjustRightInd w:val="0"/>
              <w:spacing w:after="0" w:line="240" w:lineRule="auto"/>
              <w:jc w:val="both"/>
              <w:rPr>
                <w:rFonts w:ascii="Tahoma" w:hAnsi="Tahoma" w:cs="Tahoma"/>
                <w:sz w:val="18"/>
                <w:szCs w:val="18"/>
              </w:rPr>
            </w:pPr>
            <w:r w:rsidRPr="002F1C76">
              <w:rPr>
                <w:rFonts w:ascii="Tahoma" w:hAnsi="Tahoma"/>
                <w:sz w:val="18"/>
              </w:rPr>
              <w:t>E</w:t>
            </w:r>
          </w:p>
          <w:p w:rsidR="00DA3A70" w:rsidRPr="002F1C76" w:rsidRDefault="00EC1008" w:rsidP="006F6381">
            <w:pPr>
              <w:autoSpaceDE w:val="0"/>
              <w:autoSpaceDN w:val="0"/>
              <w:adjustRightInd w:val="0"/>
              <w:spacing w:after="0" w:line="240" w:lineRule="auto"/>
              <w:jc w:val="both"/>
              <w:rPr>
                <w:rFonts w:ascii="Tahoma" w:hAnsi="Tahoma" w:cs="Tahoma"/>
                <w:sz w:val="18"/>
                <w:szCs w:val="18"/>
                <w:vertAlign w:val="superscript"/>
              </w:rPr>
            </w:pPr>
            <w:r w:rsidRPr="002F1C76">
              <w:rPr>
                <w:rFonts w:ascii="Tahoma" w:hAnsi="Tahoma"/>
                <w:sz w:val="18"/>
              </w:rPr>
              <w:t xml:space="preserve">H </w:t>
            </w:r>
            <w:r w:rsidRPr="002F1C76">
              <w:rPr>
                <w:rFonts w:ascii="Tahoma" w:hAnsi="Tahoma"/>
                <w:b/>
                <w:sz w:val="18"/>
                <w:vertAlign w:val="subscript"/>
              </w:rPr>
              <w:t>(høy dose)</w:t>
            </w:r>
          </w:p>
        </w:tc>
      </w:tr>
      <w:tr w:rsidR="00663E78" w:rsidTr="0028467E">
        <w:tc>
          <w:tcPr>
            <w:tcW w:w="3031" w:type="dxa"/>
            <w:vMerge/>
            <w:shd w:val="clear" w:color="auto" w:fill="auto"/>
          </w:tcPr>
          <w:p w:rsidR="00DA3A70" w:rsidRPr="002F1C76" w:rsidRDefault="00DA3A70" w:rsidP="006F6381">
            <w:pPr>
              <w:autoSpaceDE w:val="0"/>
              <w:autoSpaceDN w:val="0"/>
              <w:adjustRightInd w:val="0"/>
              <w:spacing w:after="0" w:line="240" w:lineRule="auto"/>
              <w:jc w:val="both"/>
              <w:rPr>
                <w:rFonts w:ascii="Tahoma" w:hAnsi="Tahoma" w:cs="Tahoma"/>
                <w:sz w:val="18"/>
                <w:szCs w:val="18"/>
              </w:rPr>
            </w:pPr>
          </w:p>
        </w:tc>
        <w:tc>
          <w:tcPr>
            <w:tcW w:w="675" w:type="dxa"/>
            <w:shd w:val="clear" w:color="auto" w:fill="auto"/>
          </w:tcPr>
          <w:p w:rsidR="00DA3A70" w:rsidRPr="002F1C76" w:rsidRDefault="00EC1008" w:rsidP="006F6381">
            <w:pPr>
              <w:autoSpaceDE w:val="0"/>
              <w:autoSpaceDN w:val="0"/>
              <w:adjustRightInd w:val="0"/>
              <w:spacing w:after="0" w:line="240" w:lineRule="auto"/>
              <w:jc w:val="both"/>
              <w:rPr>
                <w:rFonts w:ascii="Tahoma" w:hAnsi="Tahoma" w:cs="Tahoma"/>
                <w:sz w:val="18"/>
                <w:szCs w:val="18"/>
              </w:rPr>
            </w:pPr>
            <w:r w:rsidRPr="002F1C76">
              <w:rPr>
                <w:rFonts w:ascii="Tahoma" w:hAnsi="Tahoma"/>
                <w:sz w:val="18"/>
              </w:rPr>
              <w:t>D2</w:t>
            </w:r>
          </w:p>
        </w:tc>
        <w:tc>
          <w:tcPr>
            <w:tcW w:w="2528" w:type="dxa"/>
            <w:shd w:val="clear" w:color="auto" w:fill="auto"/>
          </w:tcPr>
          <w:p w:rsidR="00DA3A70" w:rsidRPr="002F1C76" w:rsidRDefault="00EC1008" w:rsidP="006F6381">
            <w:pPr>
              <w:autoSpaceDE w:val="0"/>
              <w:autoSpaceDN w:val="0"/>
              <w:adjustRightInd w:val="0"/>
              <w:spacing w:after="0" w:line="240" w:lineRule="auto"/>
              <w:jc w:val="both"/>
              <w:rPr>
                <w:rFonts w:ascii="Tahoma" w:hAnsi="Tahoma" w:cs="Tahoma"/>
                <w:sz w:val="18"/>
                <w:szCs w:val="18"/>
              </w:rPr>
            </w:pPr>
            <w:r w:rsidRPr="002F1C76">
              <w:rPr>
                <w:rFonts w:ascii="Tahoma" w:hAnsi="Tahoma"/>
                <w:sz w:val="18"/>
              </w:rPr>
              <w:t>Bedaquilin</w:t>
            </w:r>
          </w:p>
          <w:p w:rsidR="00DA3A70" w:rsidRPr="002F1C76" w:rsidRDefault="00EC1008" w:rsidP="006F6381">
            <w:pPr>
              <w:autoSpaceDE w:val="0"/>
              <w:autoSpaceDN w:val="0"/>
              <w:adjustRightInd w:val="0"/>
              <w:spacing w:after="0" w:line="240" w:lineRule="auto"/>
              <w:jc w:val="both"/>
              <w:rPr>
                <w:rFonts w:ascii="Tahoma" w:hAnsi="Tahoma" w:cs="Tahoma"/>
                <w:sz w:val="18"/>
                <w:szCs w:val="18"/>
              </w:rPr>
            </w:pPr>
            <w:r w:rsidRPr="002F1C76">
              <w:rPr>
                <w:rFonts w:ascii="Tahoma" w:hAnsi="Tahoma"/>
                <w:sz w:val="18"/>
              </w:rPr>
              <w:t>Delamanid</w:t>
            </w:r>
          </w:p>
        </w:tc>
        <w:tc>
          <w:tcPr>
            <w:tcW w:w="2835" w:type="dxa"/>
            <w:shd w:val="clear" w:color="auto" w:fill="auto"/>
          </w:tcPr>
          <w:p w:rsidR="00DA3A70" w:rsidRPr="002F1C76" w:rsidRDefault="00EC1008" w:rsidP="006F6381">
            <w:pPr>
              <w:autoSpaceDE w:val="0"/>
              <w:autoSpaceDN w:val="0"/>
              <w:adjustRightInd w:val="0"/>
              <w:spacing w:after="0" w:line="240" w:lineRule="auto"/>
              <w:jc w:val="both"/>
              <w:rPr>
                <w:rFonts w:ascii="Tahoma" w:hAnsi="Tahoma" w:cs="Tahoma"/>
                <w:sz w:val="18"/>
                <w:szCs w:val="18"/>
              </w:rPr>
            </w:pPr>
            <w:r w:rsidRPr="002F1C76">
              <w:rPr>
                <w:rFonts w:ascii="Tahoma" w:hAnsi="Tahoma"/>
                <w:sz w:val="18"/>
              </w:rPr>
              <w:t>Bdq</w:t>
            </w:r>
          </w:p>
          <w:p w:rsidR="00DA3A70" w:rsidRPr="002F1C76" w:rsidRDefault="00EC1008" w:rsidP="006F6381">
            <w:pPr>
              <w:autoSpaceDE w:val="0"/>
              <w:autoSpaceDN w:val="0"/>
              <w:adjustRightInd w:val="0"/>
              <w:spacing w:after="0" w:line="240" w:lineRule="auto"/>
              <w:jc w:val="both"/>
              <w:rPr>
                <w:rFonts w:ascii="Tahoma" w:hAnsi="Tahoma" w:cs="Tahoma"/>
                <w:sz w:val="18"/>
                <w:szCs w:val="18"/>
              </w:rPr>
            </w:pPr>
            <w:r w:rsidRPr="002F1C76">
              <w:rPr>
                <w:rFonts w:ascii="Tahoma" w:hAnsi="Tahoma"/>
                <w:sz w:val="18"/>
              </w:rPr>
              <w:t>Dlm</w:t>
            </w:r>
          </w:p>
        </w:tc>
      </w:tr>
      <w:tr w:rsidR="00663E78" w:rsidTr="0028467E">
        <w:tc>
          <w:tcPr>
            <w:tcW w:w="3031" w:type="dxa"/>
            <w:vMerge/>
            <w:shd w:val="clear" w:color="auto" w:fill="auto"/>
          </w:tcPr>
          <w:p w:rsidR="00DA3A70" w:rsidRPr="002F1C76" w:rsidRDefault="00DA3A70" w:rsidP="006F6381">
            <w:pPr>
              <w:autoSpaceDE w:val="0"/>
              <w:autoSpaceDN w:val="0"/>
              <w:adjustRightInd w:val="0"/>
              <w:spacing w:after="0" w:line="240" w:lineRule="auto"/>
              <w:jc w:val="both"/>
              <w:rPr>
                <w:rFonts w:ascii="Tahoma" w:hAnsi="Tahoma" w:cs="Tahoma"/>
                <w:sz w:val="18"/>
                <w:szCs w:val="18"/>
              </w:rPr>
            </w:pPr>
          </w:p>
        </w:tc>
        <w:tc>
          <w:tcPr>
            <w:tcW w:w="675" w:type="dxa"/>
            <w:shd w:val="clear" w:color="auto" w:fill="auto"/>
          </w:tcPr>
          <w:p w:rsidR="00DA3A70" w:rsidRPr="002F1C76" w:rsidRDefault="00EC1008" w:rsidP="006F6381">
            <w:pPr>
              <w:autoSpaceDE w:val="0"/>
              <w:autoSpaceDN w:val="0"/>
              <w:adjustRightInd w:val="0"/>
              <w:spacing w:after="0" w:line="240" w:lineRule="auto"/>
              <w:jc w:val="both"/>
              <w:rPr>
                <w:rFonts w:ascii="Tahoma" w:hAnsi="Tahoma" w:cs="Tahoma"/>
                <w:sz w:val="18"/>
                <w:szCs w:val="18"/>
              </w:rPr>
            </w:pPr>
            <w:r w:rsidRPr="002F1C76">
              <w:rPr>
                <w:rFonts w:ascii="Tahoma" w:hAnsi="Tahoma"/>
                <w:sz w:val="18"/>
              </w:rPr>
              <w:t>D3</w:t>
            </w:r>
          </w:p>
        </w:tc>
        <w:tc>
          <w:tcPr>
            <w:tcW w:w="2528" w:type="dxa"/>
            <w:shd w:val="clear" w:color="auto" w:fill="auto"/>
          </w:tcPr>
          <w:p w:rsidR="00DA3A70" w:rsidRPr="002F1C76" w:rsidRDefault="00EC1008" w:rsidP="006F6381">
            <w:pPr>
              <w:autoSpaceDE w:val="0"/>
              <w:autoSpaceDN w:val="0"/>
              <w:adjustRightInd w:val="0"/>
              <w:spacing w:after="0" w:line="240" w:lineRule="auto"/>
              <w:jc w:val="both"/>
              <w:rPr>
                <w:rFonts w:ascii="Tahoma" w:hAnsi="Tahoma" w:cs="Tahoma"/>
                <w:sz w:val="18"/>
                <w:szCs w:val="18"/>
              </w:rPr>
            </w:pPr>
            <w:r w:rsidRPr="002F1C76">
              <w:rPr>
                <w:rFonts w:ascii="Tahoma" w:hAnsi="Tahoma"/>
                <w:sz w:val="18"/>
              </w:rPr>
              <w:t>p-aminosalisylsyre</w:t>
            </w:r>
          </w:p>
          <w:p w:rsidR="00DA3A70" w:rsidRPr="002F1C76" w:rsidRDefault="00EC1008" w:rsidP="006F6381">
            <w:pPr>
              <w:autoSpaceDE w:val="0"/>
              <w:autoSpaceDN w:val="0"/>
              <w:adjustRightInd w:val="0"/>
              <w:spacing w:after="0" w:line="240" w:lineRule="auto"/>
              <w:jc w:val="both"/>
              <w:rPr>
                <w:rFonts w:ascii="Tahoma" w:hAnsi="Tahoma" w:cs="Tahoma"/>
                <w:sz w:val="18"/>
                <w:szCs w:val="18"/>
              </w:rPr>
            </w:pPr>
            <w:r w:rsidRPr="002F1C76">
              <w:rPr>
                <w:rFonts w:ascii="Tahoma" w:hAnsi="Tahoma"/>
                <w:sz w:val="18"/>
              </w:rPr>
              <w:t>Imipenem-cilastatin</w:t>
            </w:r>
          </w:p>
          <w:p w:rsidR="00DA3A70" w:rsidRPr="002F1C76" w:rsidRDefault="00EC1008" w:rsidP="006F6381">
            <w:pPr>
              <w:autoSpaceDE w:val="0"/>
              <w:autoSpaceDN w:val="0"/>
              <w:adjustRightInd w:val="0"/>
              <w:spacing w:after="0" w:line="240" w:lineRule="auto"/>
              <w:jc w:val="both"/>
              <w:rPr>
                <w:rFonts w:ascii="Tahoma" w:hAnsi="Tahoma" w:cs="Tahoma"/>
                <w:sz w:val="18"/>
                <w:szCs w:val="18"/>
              </w:rPr>
            </w:pPr>
            <w:r w:rsidRPr="002F1C76">
              <w:rPr>
                <w:rFonts w:ascii="Tahoma" w:hAnsi="Tahoma"/>
                <w:sz w:val="18"/>
              </w:rPr>
              <w:t>Meropenem</w:t>
            </w:r>
          </w:p>
          <w:p w:rsidR="00DA3A70" w:rsidRPr="002F1C76" w:rsidRDefault="00EC1008" w:rsidP="006F6381">
            <w:pPr>
              <w:autoSpaceDE w:val="0"/>
              <w:autoSpaceDN w:val="0"/>
              <w:adjustRightInd w:val="0"/>
              <w:spacing w:after="0" w:line="240" w:lineRule="auto"/>
              <w:jc w:val="both"/>
              <w:rPr>
                <w:rFonts w:ascii="Tahoma" w:hAnsi="Tahoma" w:cs="Tahoma"/>
                <w:sz w:val="18"/>
                <w:szCs w:val="18"/>
              </w:rPr>
            </w:pPr>
            <w:r w:rsidRPr="002F1C76">
              <w:rPr>
                <w:rFonts w:ascii="Tahoma" w:hAnsi="Tahoma"/>
                <w:sz w:val="18"/>
              </w:rPr>
              <w:t>Amoxicillin-klavulansyre</w:t>
            </w:r>
          </w:p>
          <w:p w:rsidR="00DA3A70" w:rsidRPr="002F1C76" w:rsidRDefault="00EC1008" w:rsidP="006F6381">
            <w:pPr>
              <w:autoSpaceDE w:val="0"/>
              <w:autoSpaceDN w:val="0"/>
              <w:adjustRightInd w:val="0"/>
              <w:spacing w:after="0" w:line="240" w:lineRule="auto"/>
              <w:jc w:val="both"/>
              <w:rPr>
                <w:rFonts w:ascii="Tahoma" w:hAnsi="Tahoma" w:cs="Tahoma"/>
                <w:sz w:val="18"/>
                <w:szCs w:val="18"/>
              </w:rPr>
            </w:pPr>
            <w:r w:rsidRPr="002F1C76">
              <w:rPr>
                <w:rFonts w:ascii="Tahoma" w:hAnsi="Tahoma"/>
                <w:sz w:val="18"/>
              </w:rPr>
              <w:t>(Thioacetazon)</w:t>
            </w:r>
          </w:p>
        </w:tc>
        <w:tc>
          <w:tcPr>
            <w:tcW w:w="2835" w:type="dxa"/>
            <w:shd w:val="clear" w:color="auto" w:fill="auto"/>
          </w:tcPr>
          <w:p w:rsidR="00DA3A70" w:rsidRPr="002F1C76" w:rsidRDefault="00EC1008" w:rsidP="006F6381">
            <w:pPr>
              <w:autoSpaceDE w:val="0"/>
              <w:autoSpaceDN w:val="0"/>
              <w:adjustRightInd w:val="0"/>
              <w:spacing w:after="0" w:line="240" w:lineRule="auto"/>
              <w:jc w:val="both"/>
              <w:rPr>
                <w:rFonts w:ascii="Tahoma" w:hAnsi="Tahoma" w:cs="Tahoma"/>
                <w:sz w:val="18"/>
                <w:szCs w:val="18"/>
              </w:rPr>
            </w:pPr>
            <w:r w:rsidRPr="002F1C76">
              <w:rPr>
                <w:rFonts w:ascii="Tahoma" w:hAnsi="Tahoma"/>
                <w:sz w:val="18"/>
              </w:rPr>
              <w:t>PAS</w:t>
            </w:r>
          </w:p>
          <w:p w:rsidR="00DA3A70" w:rsidRPr="002F1C76" w:rsidRDefault="00EC1008" w:rsidP="006F6381">
            <w:pPr>
              <w:autoSpaceDE w:val="0"/>
              <w:autoSpaceDN w:val="0"/>
              <w:adjustRightInd w:val="0"/>
              <w:spacing w:after="0" w:line="240" w:lineRule="auto"/>
              <w:jc w:val="both"/>
              <w:rPr>
                <w:rFonts w:ascii="Tahoma" w:hAnsi="Tahoma" w:cs="Tahoma"/>
                <w:sz w:val="18"/>
                <w:szCs w:val="18"/>
              </w:rPr>
            </w:pPr>
            <w:r w:rsidRPr="002F1C76">
              <w:rPr>
                <w:rFonts w:ascii="Tahoma" w:hAnsi="Tahoma"/>
                <w:sz w:val="18"/>
              </w:rPr>
              <w:t>Ipm</w:t>
            </w:r>
          </w:p>
          <w:p w:rsidR="00DA3A70" w:rsidRPr="002F1C76" w:rsidRDefault="00EC1008" w:rsidP="006F6381">
            <w:pPr>
              <w:autoSpaceDE w:val="0"/>
              <w:autoSpaceDN w:val="0"/>
              <w:adjustRightInd w:val="0"/>
              <w:spacing w:after="0" w:line="240" w:lineRule="auto"/>
              <w:jc w:val="both"/>
              <w:rPr>
                <w:rFonts w:ascii="Tahoma" w:hAnsi="Tahoma" w:cs="Tahoma"/>
                <w:sz w:val="18"/>
                <w:szCs w:val="18"/>
              </w:rPr>
            </w:pPr>
            <w:r w:rsidRPr="002F1C76">
              <w:rPr>
                <w:rFonts w:ascii="Tahoma" w:hAnsi="Tahoma"/>
                <w:sz w:val="18"/>
              </w:rPr>
              <w:t>Mpm</w:t>
            </w:r>
          </w:p>
          <w:p w:rsidR="00DA3A70" w:rsidRPr="002F1C76" w:rsidRDefault="00EC1008" w:rsidP="006F6381">
            <w:pPr>
              <w:autoSpaceDE w:val="0"/>
              <w:autoSpaceDN w:val="0"/>
              <w:adjustRightInd w:val="0"/>
              <w:spacing w:after="0" w:line="240" w:lineRule="auto"/>
              <w:jc w:val="both"/>
              <w:rPr>
                <w:rFonts w:ascii="Tahoma" w:hAnsi="Tahoma" w:cs="Tahoma"/>
                <w:sz w:val="18"/>
                <w:szCs w:val="18"/>
              </w:rPr>
            </w:pPr>
            <w:r w:rsidRPr="002F1C76">
              <w:rPr>
                <w:rFonts w:ascii="Tahoma" w:hAnsi="Tahoma"/>
                <w:sz w:val="18"/>
              </w:rPr>
              <w:t>Amx-Clv</w:t>
            </w:r>
          </w:p>
          <w:p w:rsidR="00DA3A70" w:rsidRPr="002F1C76" w:rsidRDefault="00EC1008" w:rsidP="006F6381">
            <w:pPr>
              <w:autoSpaceDE w:val="0"/>
              <w:autoSpaceDN w:val="0"/>
              <w:adjustRightInd w:val="0"/>
              <w:spacing w:after="0" w:line="240" w:lineRule="auto"/>
              <w:jc w:val="both"/>
              <w:rPr>
                <w:rFonts w:ascii="Tahoma" w:hAnsi="Tahoma" w:cs="Tahoma"/>
                <w:sz w:val="18"/>
                <w:szCs w:val="18"/>
              </w:rPr>
            </w:pPr>
            <w:r w:rsidRPr="002F1C76">
              <w:rPr>
                <w:rFonts w:ascii="Tahoma" w:hAnsi="Tahoma"/>
                <w:sz w:val="18"/>
              </w:rPr>
              <w:t>(T)</w:t>
            </w:r>
          </w:p>
        </w:tc>
      </w:tr>
    </w:tbl>
    <w:p w:rsidR="00DA3A70" w:rsidRPr="002F1C76" w:rsidRDefault="00DA3A70" w:rsidP="00DB519A">
      <w:pPr>
        <w:autoSpaceDE w:val="0"/>
        <w:autoSpaceDN w:val="0"/>
        <w:adjustRightInd w:val="0"/>
        <w:spacing w:after="0"/>
        <w:jc w:val="both"/>
        <w:rPr>
          <w:rFonts w:ascii="Tahoma" w:hAnsi="Tahoma" w:cs="Tahoma"/>
          <w:szCs w:val="24"/>
        </w:rPr>
      </w:pPr>
    </w:p>
    <w:p w:rsidR="00DA3A70" w:rsidRPr="002F1C76" w:rsidRDefault="00EC1008" w:rsidP="00DB519A">
      <w:pPr>
        <w:shd w:val="clear" w:color="auto" w:fill="D9D9D9"/>
        <w:autoSpaceDE w:val="0"/>
        <w:autoSpaceDN w:val="0"/>
        <w:adjustRightInd w:val="0"/>
        <w:spacing w:after="0"/>
        <w:jc w:val="both"/>
        <w:rPr>
          <w:rFonts w:ascii="Tahoma" w:hAnsi="Tahoma" w:cs="Tahoma"/>
          <w:b/>
          <w:bCs/>
          <w:sz w:val="24"/>
          <w:szCs w:val="24"/>
        </w:rPr>
      </w:pPr>
      <w:r w:rsidRPr="002F1C76">
        <w:rPr>
          <w:rFonts w:ascii="Tahoma" w:hAnsi="Tahoma"/>
          <w:b/>
          <w:sz w:val="24"/>
          <w:shd w:val="clear" w:color="auto" w:fill="D9D9D9"/>
        </w:rPr>
        <w:t>Standard 13</w:t>
      </w:r>
    </w:p>
    <w:p w:rsidR="00DA3A70" w:rsidRPr="002F1C76" w:rsidRDefault="00EC1008" w:rsidP="0028467E">
      <w:pPr>
        <w:spacing w:after="120"/>
        <w:rPr>
          <w:rFonts w:ascii="Tahoma" w:hAnsi="Tahoma" w:cs="Tahoma"/>
          <w:sz w:val="18"/>
          <w:szCs w:val="18"/>
        </w:rPr>
      </w:pPr>
      <w:r w:rsidRPr="002F1C76">
        <w:rPr>
          <w:rFonts w:ascii="Tahoma" w:hAnsi="Tahoma"/>
          <w:sz w:val="18"/>
        </w:rPr>
        <w:t xml:space="preserve">En skriftlig eller elektronisk journal av alle medisiner behandlet, behandlingsovervåking (inkludert bakteriologisk respons), negative reaksjoner og behandlingsutfall, bør beholdes for alle pasienter. </w:t>
      </w:r>
    </w:p>
    <w:p w:rsidR="00835340" w:rsidRPr="002F1C76" w:rsidRDefault="00EC1008" w:rsidP="000D0DB0">
      <w:pPr>
        <w:pStyle w:val="EC-Title-6"/>
        <w:rPr>
          <w:sz w:val="18"/>
          <w:szCs w:val="18"/>
        </w:rPr>
      </w:pPr>
      <w:r w:rsidRPr="002F1C76">
        <w:t xml:space="preserve">EU-spesifikke </w:t>
      </w:r>
      <w:r w:rsidRPr="002F1C76">
        <w:t>krav</w:t>
      </w:r>
    </w:p>
    <w:p w:rsidR="00DA3A70" w:rsidRPr="002F1C76" w:rsidRDefault="00EC1008" w:rsidP="00604B0D">
      <w:pPr>
        <w:widowControl w:val="0"/>
        <w:spacing w:after="0"/>
        <w:jc w:val="both"/>
        <w:rPr>
          <w:rFonts w:ascii="Tahoma" w:hAnsi="Tahoma" w:cs="Tahoma"/>
          <w:sz w:val="18"/>
          <w:szCs w:val="18"/>
        </w:rPr>
      </w:pPr>
      <w:r w:rsidRPr="002F1C76">
        <w:rPr>
          <w:rFonts w:ascii="Tahoma" w:hAnsi="Tahoma"/>
          <w:sz w:val="18"/>
        </w:rPr>
        <w:t>Ved første kontakt med hver pasient, bør fullstendig klinisk og sosial historikk hentes inn og inkluderes i sykejournalene. Den bør inkludere tilgjengelig informasjon om tidligere diagnose, behandling (kur, doser, varighet, endringer i kuren, osv.) og</w:t>
      </w:r>
      <w:r w:rsidRPr="002F1C76">
        <w:rPr>
          <w:rFonts w:ascii="Tahoma" w:hAnsi="Tahoma"/>
          <w:sz w:val="18"/>
        </w:rPr>
        <w:t xml:space="preserve"> adheranse, så vel som fullstendig informasjon om bakteriologi ved diagnose og under oppfølging (spyttvev, kultur og artidentifikasjon, legemiddelresistenstesting for førstehånds og annenhånds legemidler). Denne informasjonen bør rapporteres i dokumentasjo</w:t>
      </w:r>
      <w:r w:rsidRPr="002F1C76">
        <w:rPr>
          <w:rFonts w:ascii="Tahoma" w:hAnsi="Tahoma"/>
          <w:sz w:val="18"/>
        </w:rPr>
        <w:t>nen som frigis til pasienten (utskrivningspapirer, overføringsskjema eller tilsvarende dokument) for å gjøre sammenhengende pleie lettere hvis pasienter flytter/flyttes til en annen helseenhet [32, 33].</w:t>
      </w:r>
    </w:p>
    <w:p w:rsidR="00D830C5" w:rsidRPr="002F1C76" w:rsidRDefault="00EC1008" w:rsidP="000D0DB0">
      <w:pPr>
        <w:pStyle w:val="EC-Title-5"/>
        <w:spacing w:before="120"/>
      </w:pPr>
      <w:r w:rsidRPr="002F1C76">
        <w:t>Standarder for å adressere HIV-smitte og samtidige sy</w:t>
      </w:r>
      <w:r w:rsidRPr="002F1C76">
        <w:t xml:space="preserve">kdommer </w:t>
      </w:r>
    </w:p>
    <w:p w:rsidR="00DA3A70" w:rsidRPr="002F1C76" w:rsidRDefault="00EC1008" w:rsidP="00DB519A">
      <w:pPr>
        <w:shd w:val="clear" w:color="auto" w:fill="D9D9D9"/>
        <w:autoSpaceDE w:val="0"/>
        <w:autoSpaceDN w:val="0"/>
        <w:adjustRightInd w:val="0"/>
        <w:spacing w:after="0"/>
        <w:jc w:val="both"/>
        <w:rPr>
          <w:rFonts w:ascii="Tahoma" w:hAnsi="Tahoma" w:cs="Tahoma"/>
          <w:b/>
          <w:bCs/>
          <w:i/>
          <w:sz w:val="24"/>
          <w:szCs w:val="24"/>
        </w:rPr>
      </w:pPr>
      <w:r w:rsidRPr="002F1C76">
        <w:rPr>
          <w:rFonts w:ascii="Tahoma" w:hAnsi="Tahoma"/>
          <w:b/>
          <w:sz w:val="24"/>
          <w:shd w:val="clear" w:color="auto" w:fill="D9D9D9"/>
        </w:rPr>
        <w:t>Standard 14</w:t>
      </w:r>
    </w:p>
    <w:p w:rsidR="00DA3A70" w:rsidRPr="002F1C76" w:rsidRDefault="00EC1008" w:rsidP="0028467E">
      <w:pPr>
        <w:spacing w:after="120"/>
        <w:rPr>
          <w:rFonts w:ascii="Tahoma" w:hAnsi="Tahoma" w:cs="Tahoma"/>
          <w:sz w:val="18"/>
          <w:szCs w:val="18"/>
        </w:rPr>
      </w:pPr>
      <w:r w:rsidRPr="002F1C76">
        <w:rPr>
          <w:rFonts w:ascii="Tahoma" w:hAnsi="Tahoma"/>
          <w:sz w:val="18"/>
        </w:rPr>
        <w:t xml:space="preserve">HIV-rådgivning bør gjennomføres og HIV-testing bør anbefales til alle pasienter med, eller som antas å ha, tuberkulose. Testing er spesielt viktig som del av rutinemessig behandling av alle pasienter i områder med høy HIV-smitte i den </w:t>
      </w:r>
      <w:r w:rsidRPr="002F1C76">
        <w:rPr>
          <w:rFonts w:ascii="Tahoma" w:hAnsi="Tahoma"/>
          <w:sz w:val="18"/>
        </w:rPr>
        <w:t xml:space="preserve">generelle befolkningen, eller hvis pasienten er fra en populasjon med høy risiko eller har symptomer og/eller tegn på HIV-relaterte tilstander. På grunn av den tette interaksjonen mellom tuberkulose og HIV-smitte, anbefaler man integrerte tilnærminger til </w:t>
      </w:r>
      <w:r w:rsidRPr="002F1C76">
        <w:rPr>
          <w:rFonts w:ascii="Tahoma" w:hAnsi="Tahoma"/>
          <w:sz w:val="18"/>
        </w:rPr>
        <w:t>forebygging og behandling av begge infeksjoner [34].</w:t>
      </w:r>
    </w:p>
    <w:p w:rsidR="00DA3A70" w:rsidRPr="002F1C76" w:rsidRDefault="00EC1008" w:rsidP="00DB519A">
      <w:pPr>
        <w:shd w:val="clear" w:color="auto" w:fill="D9D9D9"/>
        <w:autoSpaceDE w:val="0"/>
        <w:autoSpaceDN w:val="0"/>
        <w:adjustRightInd w:val="0"/>
        <w:spacing w:after="0"/>
        <w:jc w:val="both"/>
        <w:rPr>
          <w:rFonts w:ascii="Tahoma" w:hAnsi="Tahoma" w:cs="Tahoma"/>
          <w:b/>
          <w:bCs/>
          <w:sz w:val="24"/>
          <w:szCs w:val="24"/>
        </w:rPr>
      </w:pPr>
      <w:r w:rsidRPr="002F1C76">
        <w:rPr>
          <w:rFonts w:ascii="Tahoma" w:hAnsi="Tahoma"/>
          <w:b/>
          <w:sz w:val="24"/>
          <w:shd w:val="clear" w:color="auto" w:fill="D9D9D9"/>
        </w:rPr>
        <w:t>Standard 15</w:t>
      </w:r>
    </w:p>
    <w:p w:rsidR="00DA3A70" w:rsidRPr="002F1C76" w:rsidRDefault="00EC1008" w:rsidP="0028467E">
      <w:pPr>
        <w:spacing w:after="120"/>
        <w:rPr>
          <w:rFonts w:ascii="Tahoma" w:hAnsi="Tahoma" w:cs="Tahoma"/>
          <w:sz w:val="18"/>
          <w:szCs w:val="18"/>
        </w:rPr>
      </w:pPr>
      <w:r w:rsidRPr="002F1C76">
        <w:rPr>
          <w:rFonts w:ascii="Tahoma" w:hAnsi="Tahoma"/>
          <w:sz w:val="18"/>
        </w:rPr>
        <w:t>Alle pasienter med tuberkulose og HIV-smitte bør evalueres grundig: antiretroviral terapi anbefales for alle HIV-positive tuberkulosepasienter. Tuberkulosebehandling bør startes umiddelbart o</w:t>
      </w:r>
      <w:r w:rsidRPr="002F1C76">
        <w:rPr>
          <w:rFonts w:ascii="Tahoma" w:hAnsi="Tahoma"/>
          <w:sz w:val="18"/>
        </w:rPr>
        <w:t xml:space="preserve">g antiretroviral behandling forordnes så snart som mulig. </w:t>
      </w:r>
    </w:p>
    <w:p w:rsidR="00DA3A70" w:rsidRPr="002F1C76" w:rsidRDefault="00EC1008" w:rsidP="00DB519A">
      <w:pPr>
        <w:shd w:val="clear" w:color="auto" w:fill="D9D9D9"/>
        <w:autoSpaceDE w:val="0"/>
        <w:autoSpaceDN w:val="0"/>
        <w:adjustRightInd w:val="0"/>
        <w:spacing w:after="0"/>
        <w:jc w:val="both"/>
        <w:rPr>
          <w:rFonts w:ascii="Tahoma" w:hAnsi="Tahoma" w:cs="Tahoma"/>
          <w:i/>
          <w:sz w:val="24"/>
          <w:szCs w:val="24"/>
          <w:shd w:val="clear" w:color="auto" w:fill="D9D9D9"/>
        </w:rPr>
      </w:pPr>
      <w:r w:rsidRPr="002F1C76">
        <w:rPr>
          <w:rFonts w:ascii="Tahoma" w:hAnsi="Tahoma"/>
          <w:b/>
          <w:sz w:val="24"/>
          <w:shd w:val="clear" w:color="auto" w:fill="D9D9D9"/>
        </w:rPr>
        <w:t>Standard 16</w:t>
      </w:r>
    </w:p>
    <w:p w:rsidR="00DA3A70" w:rsidRPr="002F1C76" w:rsidRDefault="00EC1008" w:rsidP="0028467E">
      <w:pPr>
        <w:spacing w:after="120"/>
        <w:rPr>
          <w:rFonts w:ascii="Tahoma" w:hAnsi="Tahoma" w:cs="Tahoma"/>
          <w:sz w:val="18"/>
          <w:szCs w:val="18"/>
        </w:rPr>
      </w:pPr>
      <w:r w:rsidRPr="002F1C76">
        <w:rPr>
          <w:rFonts w:ascii="Tahoma" w:hAnsi="Tahoma"/>
          <w:sz w:val="18"/>
        </w:rPr>
        <w:t xml:space="preserve">Personer med HIV-medsmitte som, etter grundig evaluering, har en positiv test (TST og/eller IGRA-er) for antatt latent smitte med </w:t>
      </w:r>
      <w:r w:rsidRPr="002F1C76">
        <w:rPr>
          <w:rFonts w:ascii="Tahoma" w:hAnsi="Tahoma"/>
          <w:i/>
          <w:sz w:val="18"/>
        </w:rPr>
        <w:t>M. tuberculosis</w:t>
      </w:r>
      <w:r w:rsidRPr="002F1C76">
        <w:rPr>
          <w:rFonts w:ascii="Tahoma" w:hAnsi="Tahoma"/>
          <w:sz w:val="18"/>
        </w:rPr>
        <w:t xml:space="preserve"> men ikke har aktiv tuberkulose, bør tilbys forebyggende behandling.</w:t>
      </w:r>
    </w:p>
    <w:p w:rsidR="00835340" w:rsidRPr="002F1C76" w:rsidRDefault="00EC1008" w:rsidP="000D0DB0">
      <w:pPr>
        <w:pStyle w:val="EC-Title-6"/>
        <w:rPr>
          <w:sz w:val="18"/>
          <w:szCs w:val="18"/>
        </w:rPr>
      </w:pPr>
      <w:r w:rsidRPr="002F1C76">
        <w:t>EU-spesifikke krav</w:t>
      </w:r>
    </w:p>
    <w:p w:rsidR="00DA3A70" w:rsidRPr="002F1C76" w:rsidRDefault="00EC1008" w:rsidP="000D0DB0">
      <w:pPr>
        <w:rPr>
          <w:rFonts w:ascii="Tahoma" w:hAnsi="Tahoma" w:cs="Tahoma"/>
          <w:sz w:val="18"/>
          <w:szCs w:val="18"/>
        </w:rPr>
      </w:pPr>
      <w:r w:rsidRPr="002F1C76">
        <w:rPr>
          <w:rFonts w:ascii="Tahoma" w:hAnsi="Tahoma"/>
          <w:sz w:val="18"/>
        </w:rPr>
        <w:t>Som HIV, er medsmitte kjent for å øke sannsynligheten for å utvikle aktiv tuberkulosesykdom ved smitte. HIV-seropositive personer som har vært i kontakt med et indeksti</w:t>
      </w:r>
      <w:r w:rsidRPr="002F1C76">
        <w:rPr>
          <w:rFonts w:ascii="Tahoma" w:hAnsi="Tahoma"/>
          <w:sz w:val="18"/>
        </w:rPr>
        <w:t>lfelle som skjuler en MDR-TB-forstrekning, bør aller først gjennomgå en individuell risikovurdering. Regelmessig klinisk overvåking og oppfølging bør gis til personer med bevis på latent smitte. [35].</w:t>
      </w:r>
    </w:p>
    <w:p w:rsidR="00DA3A70" w:rsidRPr="002F1C76" w:rsidRDefault="00EC1008" w:rsidP="0028467E">
      <w:pPr>
        <w:spacing w:after="120"/>
        <w:rPr>
          <w:rFonts w:ascii="Tahoma" w:hAnsi="Tahoma" w:cs="Tahoma"/>
          <w:sz w:val="18"/>
          <w:szCs w:val="18"/>
        </w:rPr>
      </w:pPr>
      <w:r w:rsidRPr="002F1C76">
        <w:rPr>
          <w:rFonts w:ascii="Tahoma" w:hAnsi="Tahoma"/>
          <w:sz w:val="18"/>
        </w:rPr>
        <w:lastRenderedPageBreak/>
        <w:t>Forebyggende behandling bør ta hensyn til legemiddelres</w:t>
      </w:r>
      <w:r w:rsidRPr="002F1C76">
        <w:rPr>
          <w:rFonts w:ascii="Tahoma" w:hAnsi="Tahoma"/>
          <w:sz w:val="18"/>
        </w:rPr>
        <w:t xml:space="preserve">istensmønsteret til kildetilfellet, CD4-tallet og bruk av antiretroviral behandling. Forebyggende behandling bør gis med 6 måneder med isoniazid, eller 9 måneder med isoniazid, eller en 3 måneder lang kur med ukentlig rifapentin pluss isoniazid, eller 3-4 </w:t>
      </w:r>
      <w:r w:rsidRPr="002F1C76">
        <w:rPr>
          <w:rFonts w:ascii="Tahoma" w:hAnsi="Tahoma"/>
          <w:sz w:val="18"/>
        </w:rPr>
        <w:t>måneder med isoniazid pluss rifampicin eller 3-4 måneder med bare rifampicin [36, 37]. Rifampicin- og rifapentin-inneholdende kurer bør forordnes med forsiktighet til personer som har HIV, som er på antiretroviral behandling på grunn av potensielle legemid</w:t>
      </w:r>
      <w:r w:rsidRPr="002F1C76">
        <w:rPr>
          <w:rFonts w:ascii="Tahoma" w:hAnsi="Tahoma"/>
          <w:sz w:val="18"/>
        </w:rPr>
        <w:t>del til legemiddel-transaksjoner [36, 38].</w:t>
      </w:r>
    </w:p>
    <w:p w:rsidR="00DA3A70" w:rsidRPr="002F1C76" w:rsidRDefault="00EC1008" w:rsidP="00DB519A">
      <w:pPr>
        <w:shd w:val="clear" w:color="auto" w:fill="D9D9D9"/>
        <w:autoSpaceDE w:val="0"/>
        <w:autoSpaceDN w:val="0"/>
        <w:adjustRightInd w:val="0"/>
        <w:spacing w:after="0"/>
        <w:jc w:val="both"/>
        <w:rPr>
          <w:rFonts w:ascii="Tahoma" w:hAnsi="Tahoma" w:cs="Tahoma"/>
          <w:sz w:val="24"/>
          <w:szCs w:val="24"/>
        </w:rPr>
      </w:pPr>
      <w:r w:rsidRPr="002F1C76">
        <w:rPr>
          <w:rFonts w:ascii="Tahoma" w:hAnsi="Tahoma"/>
          <w:b/>
          <w:sz w:val="24"/>
        </w:rPr>
        <w:t>Standard 17</w:t>
      </w:r>
    </w:p>
    <w:p w:rsidR="00DA3A70" w:rsidRPr="002F1C76" w:rsidRDefault="00EC1008" w:rsidP="0028467E">
      <w:pPr>
        <w:spacing w:after="120"/>
        <w:rPr>
          <w:rFonts w:ascii="Tahoma" w:hAnsi="Tahoma" w:cs="Tahoma"/>
          <w:sz w:val="18"/>
          <w:szCs w:val="18"/>
        </w:rPr>
      </w:pPr>
      <w:r w:rsidRPr="002F1C76">
        <w:rPr>
          <w:rFonts w:ascii="Tahoma" w:hAnsi="Tahoma"/>
          <w:sz w:val="18"/>
        </w:rPr>
        <w:t>Alle leverandører bør utføre en grundig vurdering av tilstander som kan påvirke tuberkulosebehandlingsrespons eller -utfall. På tidspunktet saksbehandlingsplanen utvikles, bør leverandøren identifisere</w:t>
      </w:r>
      <w:r w:rsidRPr="002F1C76">
        <w:rPr>
          <w:rFonts w:ascii="Tahoma" w:hAnsi="Tahoma"/>
          <w:sz w:val="18"/>
        </w:rPr>
        <w:t xml:space="preserve"> tilleggstjenester som vil bidra til et optimalt utfall for hver pasient og inkorporere disse tjeneste til en individuelt tilpasset pleieplan. Denne planen bør inkludere vurdering av og henvisninger til behandling for andre sykdommer med spesiell oppmerkso</w:t>
      </w:r>
      <w:r w:rsidRPr="002F1C76">
        <w:rPr>
          <w:rFonts w:ascii="Tahoma" w:hAnsi="Tahoma"/>
          <w:sz w:val="18"/>
        </w:rPr>
        <w:t>mhet for de som er kjent for å påvirke behandlingsutfall, for eksempel HIV, diabetes mellitus, narkotika- og alkoholavhengighet, tobakksrøyking og andre psyko-sosiale problemer [39]. Tjenester som helsetjeneste for kommende mødre eller well-baby care bør o</w:t>
      </w:r>
      <w:r w:rsidRPr="002F1C76">
        <w:rPr>
          <w:rFonts w:ascii="Tahoma" w:hAnsi="Tahoma"/>
          <w:sz w:val="18"/>
        </w:rPr>
        <w:t>gså ytes når det trengs.</w:t>
      </w:r>
    </w:p>
    <w:p w:rsidR="00835340" w:rsidRPr="002F1C76" w:rsidRDefault="00EC1008" w:rsidP="000D0DB0">
      <w:pPr>
        <w:pStyle w:val="EC-Title-6"/>
      </w:pPr>
      <w:r w:rsidRPr="002F1C76">
        <w:t>EU-spesifikke krav</w:t>
      </w:r>
    </w:p>
    <w:p w:rsidR="00DA3A70" w:rsidRPr="002F1C76" w:rsidRDefault="00EC1008" w:rsidP="0028467E">
      <w:pPr>
        <w:spacing w:after="120"/>
        <w:rPr>
          <w:rFonts w:ascii="Tahoma" w:hAnsi="Tahoma" w:cs="Tahoma"/>
          <w:sz w:val="18"/>
          <w:szCs w:val="18"/>
        </w:rPr>
      </w:pPr>
      <w:r w:rsidRPr="002F1C76">
        <w:rPr>
          <w:rFonts w:ascii="Tahoma" w:hAnsi="Tahoma"/>
          <w:sz w:val="18"/>
        </w:rPr>
        <w:t>Implementering av hele pakken beskrevet i WHOs retningslinjer for hvordan man kan utarbeide TB/HIV-aktiviteter bør gjennomføres for alle aktivitetene, både de som dekkes her og andre inkludert i WHO-pakken [34].</w:t>
      </w:r>
    </w:p>
    <w:p w:rsidR="00DA3A70" w:rsidRPr="002F1C76" w:rsidRDefault="00EC1008" w:rsidP="0028467E">
      <w:pPr>
        <w:pStyle w:val="EC-Title-5"/>
        <w:spacing w:before="120"/>
        <w:rPr>
          <w:b w:val="0"/>
          <w:sz w:val="24"/>
          <w:szCs w:val="24"/>
        </w:rPr>
      </w:pPr>
      <w:r w:rsidRPr="002F1C76">
        <w:t>Standarder for offentlig helse og tuberkuloseforebygging</w:t>
      </w:r>
    </w:p>
    <w:p w:rsidR="00DA3A70" w:rsidRPr="002F1C76" w:rsidRDefault="00EC1008" w:rsidP="00DB519A">
      <w:pPr>
        <w:shd w:val="clear" w:color="auto" w:fill="D9D9D9"/>
        <w:autoSpaceDE w:val="0"/>
        <w:autoSpaceDN w:val="0"/>
        <w:adjustRightInd w:val="0"/>
        <w:spacing w:after="0"/>
        <w:jc w:val="both"/>
        <w:rPr>
          <w:rFonts w:ascii="Tahoma" w:hAnsi="Tahoma" w:cs="Tahoma"/>
          <w:sz w:val="24"/>
          <w:szCs w:val="24"/>
        </w:rPr>
      </w:pPr>
      <w:r w:rsidRPr="002F1C76">
        <w:rPr>
          <w:rFonts w:ascii="Tahoma" w:hAnsi="Tahoma"/>
          <w:b/>
          <w:sz w:val="24"/>
        </w:rPr>
        <w:t>Standard 18</w:t>
      </w:r>
    </w:p>
    <w:p w:rsidR="00DA3A70" w:rsidRPr="002F1C76" w:rsidRDefault="00EC1008" w:rsidP="0028467E">
      <w:pPr>
        <w:spacing w:after="120"/>
        <w:rPr>
          <w:rFonts w:ascii="Tahoma" w:hAnsi="Tahoma" w:cs="Tahoma"/>
          <w:sz w:val="18"/>
          <w:szCs w:val="18"/>
        </w:rPr>
      </w:pPr>
      <w:r w:rsidRPr="002F1C76">
        <w:rPr>
          <w:rFonts w:ascii="Tahoma" w:hAnsi="Tahoma"/>
          <w:sz w:val="18"/>
        </w:rPr>
        <w:t>Alle omsorgspersoner for pasienter med tuberkulose bør sikre at personer som har vært i nær kontakt med aktive og smittsomme tuberkulosepasienter evalueres og håndteres i henhold til inte</w:t>
      </w:r>
      <w:r w:rsidRPr="002F1C76">
        <w:rPr>
          <w:rFonts w:ascii="Tahoma" w:hAnsi="Tahoma"/>
          <w:sz w:val="18"/>
        </w:rPr>
        <w:t>rnasjonale anbefalinger. Nære kontakter inkluderer husholdnings- og familiemedlemmer, og personer med intensiv eller langvarig kontakt i lukkede omgivelser som fengsler, herberger eller asylmottak og innendørssteder som skoler eller kontorer.</w:t>
      </w:r>
    </w:p>
    <w:p w:rsidR="00DA3A70" w:rsidRPr="002F1C76" w:rsidRDefault="00EC1008" w:rsidP="0028467E">
      <w:pPr>
        <w:spacing w:after="120"/>
        <w:rPr>
          <w:rFonts w:ascii="Tahoma" w:hAnsi="Tahoma" w:cs="Tahoma"/>
          <w:sz w:val="18"/>
          <w:szCs w:val="18"/>
        </w:rPr>
      </w:pPr>
      <w:r w:rsidRPr="002F1C76">
        <w:rPr>
          <w:rFonts w:ascii="Tahoma" w:hAnsi="Tahoma"/>
          <w:sz w:val="18"/>
        </w:rPr>
        <w:t xml:space="preserve">Risikoen for </w:t>
      </w:r>
      <w:r w:rsidRPr="002F1C76">
        <w:rPr>
          <w:rFonts w:ascii="Tahoma" w:hAnsi="Tahoma"/>
          <w:sz w:val="18"/>
        </w:rPr>
        <w:t xml:space="preserve">tuberkuloseoverføring avhenger av konsentrasjonen av tuberkulosebasiller i luften, luftstrømmen, varigheten på kontakten og mottakeligheten kontakten har for smitte. Bestemmelse av prioriteringer for kontaktundersøkelse er basert på sannsynligheten for at </w:t>
      </w:r>
      <w:r w:rsidRPr="002F1C76">
        <w:rPr>
          <w:rFonts w:ascii="Tahoma" w:hAnsi="Tahoma"/>
          <w:sz w:val="18"/>
        </w:rPr>
        <w:t>en kontakt: 1) har udiagnostisert og dermed ubehandlet tuberkulose; 2) står i høy fare for å ha blitt smittet av indekstilfellet; 3) står i høy fare for å utvikle tuberkulose hvis smittet; 4) står i fare for å få alvorlig tuberkulose hvis sykdommen utvikle</w:t>
      </w:r>
      <w:r w:rsidRPr="002F1C76">
        <w:rPr>
          <w:rFonts w:ascii="Tahoma" w:hAnsi="Tahoma"/>
          <w:sz w:val="18"/>
        </w:rPr>
        <w:t>r seg.</w:t>
      </w:r>
    </w:p>
    <w:p w:rsidR="00835340" w:rsidRPr="002F1C76" w:rsidRDefault="00EC1008" w:rsidP="00835340">
      <w:pPr>
        <w:pStyle w:val="EC-Title-6"/>
      </w:pPr>
      <w:r w:rsidRPr="002F1C76">
        <w:t>EU-spesifikke krav</w:t>
      </w:r>
    </w:p>
    <w:p w:rsidR="00DA3A70" w:rsidRPr="002F1C76" w:rsidRDefault="00EC1008" w:rsidP="0028467E">
      <w:pPr>
        <w:spacing w:after="120"/>
        <w:rPr>
          <w:rFonts w:ascii="Tahoma" w:hAnsi="Tahoma" w:cs="Tahoma"/>
          <w:sz w:val="18"/>
          <w:szCs w:val="18"/>
        </w:rPr>
      </w:pPr>
      <w:r w:rsidRPr="002F1C76">
        <w:rPr>
          <w:rFonts w:ascii="Tahoma" w:hAnsi="Tahoma"/>
          <w:sz w:val="18"/>
        </w:rPr>
        <w:t xml:space="preserve">Bestemmelse av tuberkuloseoverføring og -mottakelighet bør vurderes nøye når man vurderer om det er sannsynlig at overføring har inntruffet og behovet for igangsetting av kontaktsporing [40]. </w:t>
      </w:r>
    </w:p>
    <w:p w:rsidR="00DA3A70" w:rsidRPr="002F1C76" w:rsidRDefault="00EC1008" w:rsidP="0028467E">
      <w:pPr>
        <w:spacing w:after="120"/>
        <w:rPr>
          <w:rFonts w:ascii="Tahoma" w:hAnsi="Tahoma" w:cs="Tahoma"/>
          <w:sz w:val="18"/>
          <w:szCs w:val="18"/>
        </w:rPr>
      </w:pPr>
      <w:r w:rsidRPr="002F1C76">
        <w:rPr>
          <w:rFonts w:ascii="Tahoma" w:hAnsi="Tahoma"/>
          <w:sz w:val="18"/>
        </w:rPr>
        <w:t xml:space="preserve">Nære kontakter av MDR- og </w:t>
      </w:r>
      <w:r w:rsidRPr="002F1C76">
        <w:rPr>
          <w:rFonts w:ascii="Tahoma" w:hAnsi="Tahoma"/>
          <w:sz w:val="18"/>
        </w:rPr>
        <w:t>XDR-TR-pasienter bør testes for latent tuberkuloseinfeksjon (LTBI) og tuberkulose i henhold til nasjonale retningslinjer. Kontakter hvor tuberkulosesykdom har blitt utelukket, og som er diagnostisert med LTBI, bør gjennomgå en individuell risikovurdering f</w:t>
      </w:r>
      <w:r w:rsidRPr="002F1C76">
        <w:rPr>
          <w:rFonts w:ascii="Tahoma" w:hAnsi="Tahoma"/>
          <w:sz w:val="18"/>
        </w:rPr>
        <w:t>or å fastslå: 1) kontaktens risiko for utvikling til tuberkulosesykdom; 2) legemiddelresistensmønsteret i kildetilfellet; og 3) kontaktens risiko for negative hendelser hvis LTBI-behandling igangsettes [36, 38]. Uavhengig av kliniske råd angående LTBI-beha</w:t>
      </w:r>
      <w:r w:rsidRPr="002F1C76">
        <w:rPr>
          <w:rFonts w:ascii="Tahoma" w:hAnsi="Tahoma"/>
          <w:sz w:val="18"/>
        </w:rPr>
        <w:t>ndling, bør disse kontaktene få nøye klinisk observasjon, informasjon og helseutdanning av helsearbeidere med erfaring i håndtering av LTBI og tuberkulosesykdom [35, 41].</w:t>
      </w:r>
    </w:p>
    <w:p w:rsidR="00DA3A70" w:rsidRPr="002F1C76" w:rsidRDefault="00EC1008" w:rsidP="0028467E">
      <w:pPr>
        <w:spacing w:after="120"/>
        <w:rPr>
          <w:rFonts w:ascii="Tahoma" w:hAnsi="Tahoma" w:cs="Tahoma"/>
          <w:sz w:val="18"/>
          <w:szCs w:val="18"/>
        </w:rPr>
      </w:pPr>
      <w:r w:rsidRPr="002F1C76">
        <w:rPr>
          <w:rFonts w:ascii="Tahoma" w:hAnsi="Tahoma"/>
          <w:sz w:val="18"/>
        </w:rPr>
        <w:t>Involvering av lokale, fellesskapsbaserte organisasjoner (inkludert helsearbeidere, i</w:t>
      </w:r>
      <w:r w:rsidRPr="002F1C76">
        <w:rPr>
          <w:rFonts w:ascii="Tahoma" w:hAnsi="Tahoma"/>
          <w:sz w:val="18"/>
        </w:rPr>
        <w:t>kke-kliniske fagfolk og kolleger), er tilrådelig ved gjennomføring av kontaktsporing blant sårbare populasjoner som er vanskelige å nå. Denne tilnærmingen kan bidra til vellykket identifikasjon av potensielle kontakter [42, 43].</w:t>
      </w:r>
    </w:p>
    <w:p w:rsidR="0098145B" w:rsidRPr="002F1C76" w:rsidRDefault="00EC1008" w:rsidP="0028467E">
      <w:pPr>
        <w:spacing w:after="120"/>
        <w:rPr>
          <w:rFonts w:ascii="Tahoma" w:hAnsi="Tahoma" w:cs="Tahoma"/>
          <w:sz w:val="18"/>
          <w:szCs w:val="18"/>
        </w:rPr>
      </w:pPr>
      <w:r w:rsidRPr="002F1C76">
        <w:rPr>
          <w:rFonts w:ascii="Tahoma" w:hAnsi="Tahoma"/>
          <w:sz w:val="18"/>
        </w:rPr>
        <w:t xml:space="preserve">Leger og nasjonale </w:t>
      </w:r>
      <w:r w:rsidRPr="002F1C76">
        <w:rPr>
          <w:rFonts w:ascii="Tahoma" w:hAnsi="Tahoma"/>
          <w:sz w:val="18"/>
        </w:rPr>
        <w:t xml:space="preserve">programsjefer skal ha interaksjon med relevante helsemyndigheter i verts- og/eller hjemland for tuberkulosepasienter som tilhører migrantgrupper eller mobile populasjoner, for å sikre sammenhengende pleie og kontaktundersøkelse der det er passende [44]. </w:t>
      </w:r>
    </w:p>
    <w:p w:rsidR="0098145B" w:rsidRPr="002F1C76" w:rsidRDefault="00EC1008" w:rsidP="000D0DB0">
      <w:r w:rsidRPr="002F1C76">
        <w:br w:type="page"/>
      </w:r>
    </w:p>
    <w:p w:rsidR="00DA3A70" w:rsidRPr="002F1C76" w:rsidRDefault="00EC1008" w:rsidP="00604B0D">
      <w:pPr>
        <w:shd w:val="clear" w:color="auto" w:fill="D9D9D9"/>
        <w:autoSpaceDE w:val="0"/>
        <w:autoSpaceDN w:val="0"/>
        <w:adjustRightInd w:val="0"/>
        <w:spacing w:after="0"/>
        <w:jc w:val="both"/>
        <w:rPr>
          <w:rFonts w:ascii="Tahoma" w:hAnsi="Tahoma" w:cs="Tahoma"/>
          <w:b/>
          <w:bCs/>
          <w:i/>
          <w:sz w:val="24"/>
          <w:szCs w:val="24"/>
        </w:rPr>
      </w:pPr>
      <w:r w:rsidRPr="002F1C76">
        <w:rPr>
          <w:rFonts w:ascii="Tahoma" w:hAnsi="Tahoma"/>
          <w:b/>
          <w:sz w:val="24"/>
          <w:shd w:val="clear" w:color="auto" w:fill="D9D9D9"/>
        </w:rPr>
        <w:lastRenderedPageBreak/>
        <w:t>Standard 19</w:t>
      </w:r>
    </w:p>
    <w:p w:rsidR="00DA3A70" w:rsidRPr="002F1C76" w:rsidRDefault="00EC1008" w:rsidP="0028467E">
      <w:pPr>
        <w:spacing w:after="120"/>
        <w:rPr>
          <w:rFonts w:ascii="Tahoma" w:hAnsi="Tahoma" w:cs="Tahoma"/>
          <w:sz w:val="18"/>
          <w:szCs w:val="18"/>
        </w:rPr>
      </w:pPr>
      <w:r w:rsidRPr="002F1C76">
        <w:rPr>
          <w:rFonts w:ascii="Tahoma" w:hAnsi="Tahoma"/>
          <w:sz w:val="18"/>
        </w:rPr>
        <w:t>Kontakter med en smittsom tuberkulosepasient, personer med HIV-smitte, pasienter som initierer antitumor nekrosefaktorbehandling (TNF), pasienter som får dialyse, pasienter som gjør seg klare for organ- eller hematologisk transplantasjon og pa</w:t>
      </w:r>
      <w:r w:rsidRPr="002F1C76">
        <w:rPr>
          <w:rFonts w:ascii="Tahoma" w:hAnsi="Tahoma"/>
          <w:sz w:val="18"/>
        </w:rPr>
        <w:t>sienter med silikose bør testes for latent tuberkuloseinfeksjon. Hvis latent tuberkuloseinfeksjon identifiseres, bør de evalueres grundig for aktiv tuberkulose. Når aktiv tuberkulose er utelukket, bør man tilby forebyggende behandling ved hjelp av en WHO-a</w:t>
      </w:r>
      <w:r w:rsidRPr="002F1C76">
        <w:rPr>
          <w:rFonts w:ascii="Tahoma" w:hAnsi="Tahoma"/>
          <w:sz w:val="18"/>
        </w:rPr>
        <w:t>nbefalt kur.</w:t>
      </w:r>
    </w:p>
    <w:p w:rsidR="00DA3A70" w:rsidRPr="002F1C76" w:rsidRDefault="00EC1008" w:rsidP="000D0DB0">
      <w:pPr>
        <w:pStyle w:val="EC-Title-6"/>
        <w:rPr>
          <w:b w:val="0"/>
          <w:sz w:val="24"/>
          <w:szCs w:val="24"/>
        </w:rPr>
      </w:pPr>
      <w:r w:rsidRPr="002F1C76">
        <w:rPr>
          <w:sz w:val="24"/>
        </w:rPr>
        <w:t>EU-spesifikke krav</w:t>
      </w:r>
    </w:p>
    <w:p w:rsidR="00DA3A70" w:rsidRPr="002F1C76" w:rsidRDefault="00EC1008" w:rsidP="0028467E">
      <w:pPr>
        <w:spacing w:after="120"/>
        <w:rPr>
          <w:rFonts w:ascii="Tahoma" w:hAnsi="Tahoma" w:cs="Tahoma"/>
          <w:sz w:val="18"/>
          <w:szCs w:val="18"/>
        </w:rPr>
      </w:pPr>
      <w:r w:rsidRPr="002F1C76">
        <w:rPr>
          <w:rFonts w:ascii="Tahoma" w:hAnsi="Tahoma"/>
          <w:sz w:val="18"/>
        </w:rPr>
        <w:t>Leger bør samarbeide med offentlige helsemyndigheter i implementeringen av tilstrekkelige kontaktsporingsprosedyrer, gjennomført i henhold til nasjonale og internasjonale anbefalinger for progressive sirkler, når et smittsom</w:t>
      </w:r>
      <w:r w:rsidRPr="002F1C76">
        <w:rPr>
          <w:rFonts w:ascii="Tahoma" w:hAnsi="Tahoma"/>
          <w:sz w:val="18"/>
        </w:rPr>
        <w:t xml:space="preserve">t indekstilfelle er diagnostisert og varslet [40, 41, 45, 46]. Både kildefunn og kontaktundersøkelser bør igangsettes hvis et barn med tuberkulose (uansett smittested) har blitt identifisert og der ingen kilde har blitt identifisert [41, 47]. </w:t>
      </w:r>
    </w:p>
    <w:p w:rsidR="00DA3A70" w:rsidRPr="002F1C76" w:rsidRDefault="00EC1008" w:rsidP="0028467E">
      <w:pPr>
        <w:spacing w:after="120"/>
        <w:rPr>
          <w:rFonts w:ascii="Tahoma" w:hAnsi="Tahoma" w:cs="Tahoma"/>
          <w:sz w:val="18"/>
          <w:szCs w:val="18"/>
        </w:rPr>
      </w:pPr>
      <w:r w:rsidRPr="002F1C76">
        <w:rPr>
          <w:rFonts w:ascii="Tahoma" w:hAnsi="Tahoma"/>
          <w:sz w:val="18"/>
        </w:rPr>
        <w:t>Personer som</w:t>
      </w:r>
      <w:r w:rsidRPr="002F1C76">
        <w:rPr>
          <w:rFonts w:ascii="Tahoma" w:hAnsi="Tahoma"/>
          <w:sz w:val="18"/>
        </w:rPr>
        <w:t xml:space="preserve"> gjennomgår behandling med anti-TNF-ɑ bør vurderes som høyrisikokontakter. Ifølge ESTC nummer16, bør man hos personer som er HIV-smittet eller berørt av samtidige sykdommer, straks igangsette behandling av latent smitte hvis tuberkulosesmitte identifiseres</w:t>
      </w:r>
      <w:r w:rsidRPr="002F1C76">
        <w:rPr>
          <w:rFonts w:ascii="Tahoma" w:hAnsi="Tahoma"/>
          <w:sz w:val="18"/>
        </w:rPr>
        <w:t xml:space="preserve"> av TST og/eller IGRA-er og aktiv tuberkulosesykdom er utelukket [10, 36, 38, 40, 48, 49].</w:t>
      </w:r>
    </w:p>
    <w:p w:rsidR="00DA3A70" w:rsidRPr="002F1C76" w:rsidRDefault="00EC1008" w:rsidP="00DB519A">
      <w:pPr>
        <w:shd w:val="clear" w:color="auto" w:fill="D9D9D9"/>
        <w:autoSpaceDE w:val="0"/>
        <w:autoSpaceDN w:val="0"/>
        <w:adjustRightInd w:val="0"/>
        <w:spacing w:after="0"/>
        <w:jc w:val="both"/>
        <w:rPr>
          <w:rFonts w:ascii="Tahoma" w:hAnsi="Tahoma" w:cs="Tahoma"/>
          <w:bCs/>
          <w:sz w:val="24"/>
          <w:szCs w:val="24"/>
        </w:rPr>
      </w:pPr>
      <w:r w:rsidRPr="002F1C76">
        <w:rPr>
          <w:rFonts w:ascii="Tahoma" w:hAnsi="Tahoma"/>
          <w:b/>
          <w:sz w:val="24"/>
          <w:shd w:val="clear" w:color="auto" w:fill="D9D9D9"/>
        </w:rPr>
        <w:t>Standard 20</w:t>
      </w:r>
    </w:p>
    <w:p w:rsidR="00DA3A70" w:rsidRPr="002F1C76" w:rsidRDefault="00EC1008" w:rsidP="0028467E">
      <w:pPr>
        <w:spacing w:after="120"/>
        <w:rPr>
          <w:rFonts w:ascii="Tahoma" w:hAnsi="Tahoma" w:cs="Tahoma"/>
          <w:sz w:val="18"/>
          <w:szCs w:val="18"/>
        </w:rPr>
      </w:pPr>
      <w:r w:rsidRPr="002F1C76">
        <w:rPr>
          <w:rFonts w:ascii="Tahoma" w:hAnsi="Tahoma"/>
          <w:sz w:val="18"/>
        </w:rPr>
        <w:t>Hver helsefasilitet som pleier pasienter som har, eller antas å ha smittsom tuberkulose, bør utvikle og implementere en passende smittekontrollplan for t</w:t>
      </w:r>
      <w:r w:rsidRPr="002F1C76">
        <w:rPr>
          <w:rFonts w:ascii="Tahoma" w:hAnsi="Tahoma"/>
          <w:sz w:val="18"/>
        </w:rPr>
        <w:t xml:space="preserve">uberkulose. </w:t>
      </w:r>
    </w:p>
    <w:p w:rsidR="0098145B" w:rsidRPr="002F1C76" w:rsidRDefault="00EC1008" w:rsidP="0098145B">
      <w:pPr>
        <w:pStyle w:val="EC-Title-6"/>
        <w:rPr>
          <w:sz w:val="24"/>
          <w:szCs w:val="24"/>
        </w:rPr>
      </w:pPr>
      <w:r w:rsidRPr="002F1C76">
        <w:rPr>
          <w:sz w:val="24"/>
        </w:rPr>
        <w:t>EU-spesifikke krav</w:t>
      </w:r>
    </w:p>
    <w:p w:rsidR="00DA3A70" w:rsidRPr="002F1C76" w:rsidRDefault="00EC1008" w:rsidP="0028467E">
      <w:pPr>
        <w:spacing w:after="120"/>
        <w:rPr>
          <w:rFonts w:ascii="Tahoma" w:hAnsi="Tahoma" w:cs="Tahoma"/>
          <w:spacing w:val="-2"/>
          <w:sz w:val="18"/>
          <w:szCs w:val="18"/>
        </w:rPr>
      </w:pPr>
      <w:r w:rsidRPr="002F1C76">
        <w:rPr>
          <w:rFonts w:ascii="Tahoma" w:hAnsi="Tahoma"/>
          <w:spacing w:val="-2"/>
          <w:sz w:val="18"/>
        </w:rPr>
        <w:t>Fellesskapsbasert behandling, hjulpet av smittekontrolltiltak hjemme, bør være tilgjengelig for pasienter som foretrekker å gjennomgå behandling hjemme [5, 24].</w:t>
      </w:r>
    </w:p>
    <w:p w:rsidR="00DA3A70" w:rsidRPr="002F1C76" w:rsidRDefault="00EC1008" w:rsidP="0028467E">
      <w:pPr>
        <w:spacing w:after="120"/>
        <w:rPr>
          <w:rFonts w:ascii="Tahoma" w:hAnsi="Tahoma" w:cs="Tahoma"/>
          <w:spacing w:val="-2"/>
          <w:sz w:val="18"/>
          <w:szCs w:val="18"/>
        </w:rPr>
      </w:pPr>
      <w:r w:rsidRPr="002F1C76">
        <w:rPr>
          <w:rFonts w:ascii="Tahoma" w:hAnsi="Tahoma"/>
          <w:spacing w:val="-2"/>
          <w:sz w:val="18"/>
        </w:rPr>
        <w:t>Hvis det er nødvendig med sykehusinnleggelse, bør leger sørge f</w:t>
      </w:r>
      <w:r w:rsidRPr="002F1C76">
        <w:rPr>
          <w:rFonts w:ascii="Tahoma" w:hAnsi="Tahoma"/>
          <w:spacing w:val="-2"/>
          <w:sz w:val="18"/>
        </w:rPr>
        <w:t xml:space="preserve">or at alle nylig innlagte pasienter man antar har smittsom tuberkulose underlegges respiratorisk isolasjon til diagnosen deres bekreftes eller utelukkes [2]. </w:t>
      </w:r>
    </w:p>
    <w:p w:rsidR="00DA3A70" w:rsidRPr="002F1C76" w:rsidRDefault="00EC1008" w:rsidP="0028467E">
      <w:pPr>
        <w:spacing w:after="120"/>
        <w:rPr>
          <w:rFonts w:ascii="Tahoma" w:hAnsi="Tahoma" w:cs="Tahoma"/>
          <w:spacing w:val="-2"/>
          <w:sz w:val="18"/>
          <w:szCs w:val="18"/>
        </w:rPr>
      </w:pPr>
      <w:r w:rsidRPr="002F1C76">
        <w:rPr>
          <w:rFonts w:ascii="Tahoma" w:hAnsi="Tahoma"/>
          <w:spacing w:val="-2"/>
          <w:sz w:val="18"/>
        </w:rPr>
        <w:t>For å forhindre overføring av til andre pasienter, staben og/eller besøkende, bør vevspositive tu</w:t>
      </w:r>
      <w:r w:rsidRPr="002F1C76">
        <w:rPr>
          <w:rFonts w:ascii="Tahoma" w:hAnsi="Tahoma"/>
          <w:spacing w:val="-2"/>
          <w:sz w:val="18"/>
        </w:rPr>
        <w:t xml:space="preserve">berkulosepasienter ideelt sett isoleres i egnede rom til de oppnår bakteriologisk konvertering (negativ spyttmikroskopi). Isolasjon bør være i rom med negativ trykkventilering. </w:t>
      </w:r>
    </w:p>
    <w:p w:rsidR="00DA3A70" w:rsidRPr="002F1C76" w:rsidRDefault="00EC1008" w:rsidP="0028467E">
      <w:pPr>
        <w:spacing w:after="120"/>
        <w:rPr>
          <w:rFonts w:ascii="Tahoma" w:hAnsi="Tahoma" w:cs="Tahoma"/>
          <w:spacing w:val="-2"/>
          <w:sz w:val="18"/>
          <w:szCs w:val="18"/>
        </w:rPr>
      </w:pPr>
      <w:r w:rsidRPr="002F1C76">
        <w:rPr>
          <w:rFonts w:ascii="Tahoma" w:hAnsi="Tahoma"/>
          <w:spacing w:val="-2"/>
          <w:sz w:val="18"/>
        </w:rPr>
        <w:t>En passende smittekontrollplan, administrert av en utnevnt person, bør inklude</w:t>
      </w:r>
      <w:r w:rsidRPr="002F1C76">
        <w:rPr>
          <w:rFonts w:ascii="Tahoma" w:hAnsi="Tahoma"/>
          <w:spacing w:val="-2"/>
          <w:sz w:val="18"/>
        </w:rPr>
        <w:t xml:space="preserve">re følgende fire komponenter; lederaktiviteter, administrative kontroller, miljøkontroller og personlige beskyttelsesintervensjoner [5, 50]. Tilstrekkelige administrative tiltak for tuberkulosesmittekontroll bør være på plass hos alle helsefasiliteter, så </w:t>
      </w:r>
      <w:r w:rsidRPr="002F1C76">
        <w:rPr>
          <w:rFonts w:ascii="Tahoma" w:hAnsi="Tahoma"/>
          <w:spacing w:val="-2"/>
          <w:sz w:val="18"/>
        </w:rPr>
        <w:t>vel som tilstrekkelige respiratoriske beskyttelsestiltak (inkludert bruk av respiratorer etter testing av respiratoregnethet for stab og bruk av munnbind for smittsomme pasienter). Passende opplæring i smittekontroll til staben og standardisert helseutdann</w:t>
      </w:r>
      <w:r w:rsidRPr="002F1C76">
        <w:rPr>
          <w:rFonts w:ascii="Tahoma" w:hAnsi="Tahoma"/>
          <w:spacing w:val="-2"/>
          <w:sz w:val="18"/>
        </w:rPr>
        <w:t>ing av pasienter i hosteetikette, basert på validerte verktøy, bør også være en del av smittekontrollplanen. Smittekontrollkomiteer, som dekker luftbårne sykdommer og inkluderer smittekontrolleksperter, bør også implementeres [5, 50-52].</w:t>
      </w:r>
    </w:p>
    <w:p w:rsidR="00DA3A70" w:rsidRPr="002F1C76" w:rsidRDefault="00EC1008" w:rsidP="00496312">
      <w:pPr>
        <w:shd w:val="clear" w:color="auto" w:fill="E7E6E6"/>
        <w:autoSpaceDE w:val="0"/>
        <w:autoSpaceDN w:val="0"/>
        <w:adjustRightInd w:val="0"/>
        <w:spacing w:after="0"/>
        <w:jc w:val="both"/>
        <w:rPr>
          <w:rFonts w:ascii="Tahoma" w:hAnsi="Tahoma" w:cs="Tahoma"/>
          <w:bCs/>
          <w:sz w:val="24"/>
          <w:szCs w:val="24"/>
        </w:rPr>
      </w:pPr>
      <w:r w:rsidRPr="002F1C76">
        <w:rPr>
          <w:rFonts w:ascii="Tahoma" w:hAnsi="Tahoma"/>
          <w:b/>
          <w:sz w:val="24"/>
          <w:shd w:val="clear" w:color="auto" w:fill="D9D9D9"/>
        </w:rPr>
        <w:t>Standard 21</w:t>
      </w:r>
    </w:p>
    <w:p w:rsidR="00DA3A70" w:rsidRPr="002F1C76" w:rsidRDefault="00EC1008" w:rsidP="0028467E">
      <w:pPr>
        <w:spacing w:after="120"/>
        <w:rPr>
          <w:rFonts w:ascii="Tahoma" w:hAnsi="Tahoma" w:cs="Tahoma"/>
          <w:sz w:val="18"/>
          <w:szCs w:val="18"/>
        </w:rPr>
      </w:pPr>
      <w:r w:rsidRPr="002F1C76">
        <w:rPr>
          <w:rFonts w:ascii="Tahoma" w:hAnsi="Tahoma"/>
          <w:sz w:val="18"/>
        </w:rPr>
        <w:t>Alle l</w:t>
      </w:r>
      <w:r w:rsidRPr="002F1C76">
        <w:rPr>
          <w:rFonts w:ascii="Tahoma" w:hAnsi="Tahoma"/>
          <w:sz w:val="18"/>
        </w:rPr>
        <w:t xml:space="preserve">everandører må rapportere både nye tuberkulosetilfeller og ny behandling av tuberkulosetilfeller og deres behandlingsutfall til lokale offentlige helsemyndigheter, i samsvar med gjeldende rettslige krav og retningslinjer. </w:t>
      </w:r>
    </w:p>
    <w:p w:rsidR="0098145B" w:rsidRPr="002F1C76" w:rsidRDefault="00EC1008" w:rsidP="0098145B">
      <w:pPr>
        <w:pStyle w:val="EC-Title-6"/>
        <w:rPr>
          <w:sz w:val="24"/>
          <w:szCs w:val="24"/>
        </w:rPr>
      </w:pPr>
      <w:r w:rsidRPr="002F1C76">
        <w:rPr>
          <w:sz w:val="24"/>
        </w:rPr>
        <w:t>EU-spesifikke krav</w:t>
      </w:r>
    </w:p>
    <w:p w:rsidR="00DA3A70" w:rsidRPr="002F1C76" w:rsidRDefault="00EC1008" w:rsidP="000D0DB0">
      <w:pPr>
        <w:rPr>
          <w:rFonts w:ascii="Tahoma" w:hAnsi="Tahoma" w:cs="Tahoma"/>
          <w:spacing w:val="-2"/>
          <w:sz w:val="18"/>
          <w:szCs w:val="18"/>
        </w:rPr>
      </w:pPr>
      <w:r w:rsidRPr="002F1C76">
        <w:rPr>
          <w:rFonts w:ascii="Tahoma" w:hAnsi="Tahoma"/>
          <w:spacing w:val="-2"/>
          <w:sz w:val="18"/>
        </w:rPr>
        <w:t xml:space="preserve">Leger bør </w:t>
      </w:r>
      <w:r w:rsidRPr="002F1C76">
        <w:rPr>
          <w:rFonts w:ascii="Tahoma" w:hAnsi="Tahoma"/>
          <w:spacing w:val="-2"/>
          <w:sz w:val="18"/>
        </w:rPr>
        <w:t>gjennomføre behandlingsutfallevalueringer på klinikkenheten deres med jevne mellomrom (f.eks. kvartalsvis) [18, 53]. Behandlingsutfall bør rapporteres til lokale offentlige helsemyndigheter, i samsvar med gjeldende krav og retningslinjer og samtidig brukes</w:t>
      </w:r>
      <w:r w:rsidRPr="002F1C76">
        <w:rPr>
          <w:rFonts w:ascii="Tahoma" w:hAnsi="Tahoma"/>
          <w:spacing w:val="-2"/>
          <w:sz w:val="18"/>
        </w:rPr>
        <w:t xml:space="preserve"> som et overvåkings- og evalueringsverktøy for å forbedre kvaliteten på pasientbehandlingen.</w:t>
      </w:r>
      <w:r w:rsidRPr="002F1C76">
        <w:rPr>
          <w:rFonts w:ascii="Tahoma" w:hAnsi="Tahoma"/>
          <w:b/>
          <w:spacing w:val="-2"/>
          <w:sz w:val="18"/>
        </w:rPr>
        <w:t xml:space="preserve"> </w:t>
      </w:r>
      <w:r w:rsidRPr="002F1C76">
        <w:rPr>
          <w:rFonts w:ascii="Tahoma" w:hAnsi="Tahoma"/>
          <w:spacing w:val="-2"/>
          <w:sz w:val="18"/>
        </w:rPr>
        <w:t xml:space="preserve">Informasjon om behandlingsutfall bør også regelmessig kanaliseres tilbake fra den offentlige helseavdelingen til helsepersonell, for å gi en koordinert evaluering </w:t>
      </w:r>
      <w:r w:rsidRPr="002F1C76">
        <w:rPr>
          <w:rFonts w:ascii="Tahoma" w:hAnsi="Tahoma"/>
          <w:spacing w:val="-2"/>
          <w:sz w:val="18"/>
        </w:rPr>
        <w:t>av utfallene. Informasjon om det endelige utfallet for pasienter bør være tilgjengelig hos den kliniske enheten som initierte behandling, selv når pasienten overføres ut. Tilstrekkelig opplæring må gis til helsestab med ansvar for å rapportere behandlingsu</w:t>
      </w:r>
      <w:r w:rsidRPr="002F1C76">
        <w:rPr>
          <w:rFonts w:ascii="Tahoma" w:hAnsi="Tahoma"/>
          <w:spacing w:val="-2"/>
          <w:sz w:val="18"/>
        </w:rPr>
        <w:t>tfall til offentlige helsemyndigheter og gjennomføre kvartalsvis evaluering av klinikkens egne tilfeller. Dette prinsippet gjelder også tuberkulosepasienter som beveger seg over EU-grenser [54-57].</w:t>
      </w:r>
    </w:p>
    <w:p w:rsidR="00E9311A" w:rsidRPr="002F1C76" w:rsidRDefault="00EC1008" w:rsidP="0028467E">
      <w:pPr>
        <w:rPr>
          <w:rFonts w:ascii="Tahoma" w:eastAsia="Batang" w:hAnsi="Tahoma" w:cs="Tahoma"/>
          <w:color w:val="69AE23"/>
          <w:sz w:val="30"/>
          <w:szCs w:val="30"/>
        </w:rPr>
      </w:pPr>
      <w:r w:rsidRPr="002F1C76">
        <w:br w:type="page"/>
      </w:r>
    </w:p>
    <w:p w:rsidR="00CC0F38" w:rsidRPr="002F1C76" w:rsidRDefault="00EC1008" w:rsidP="0028467E">
      <w:pPr>
        <w:pStyle w:val="EC-Title-5"/>
        <w:spacing w:before="120"/>
      </w:pPr>
      <w:r w:rsidRPr="002F1C76">
        <w:lastRenderedPageBreak/>
        <w:t>Referanser</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1.</w:t>
      </w:r>
      <w:r w:rsidRPr="002F1C76">
        <w:tab/>
      </w:r>
      <w:r w:rsidRPr="002F1C76">
        <w:rPr>
          <w:rFonts w:ascii="Tahoma" w:hAnsi="Tahoma"/>
          <w:sz w:val="16"/>
        </w:rPr>
        <w:t>Schoch OD, Rieder P, Tueller C, Altpeter E</w:t>
      </w:r>
      <w:r w:rsidRPr="002F1C76">
        <w:rPr>
          <w:rFonts w:ascii="Tahoma" w:hAnsi="Tahoma"/>
          <w:sz w:val="16"/>
        </w:rPr>
        <w:t>, Zellweger JP, Rieder HL, et al. Diagnostic yield of sputum, induced sputum, and bronchoscopy after radiologic tuberculosis screening. Am J Respir Crit Care Med. 2007;175(1):80-86.</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2.</w:t>
      </w:r>
      <w:r w:rsidRPr="002F1C76">
        <w:tab/>
      </w:r>
      <w:r w:rsidRPr="002F1C76">
        <w:rPr>
          <w:rFonts w:ascii="Tahoma" w:hAnsi="Tahoma"/>
          <w:sz w:val="16"/>
        </w:rPr>
        <w:t>TB CARE I. International Standards for Tuberculosis Care. 3rd ed. The H</w:t>
      </w:r>
      <w:r w:rsidRPr="002F1C76">
        <w:rPr>
          <w:rFonts w:ascii="Tahoma" w:hAnsi="Tahoma"/>
          <w:sz w:val="16"/>
        </w:rPr>
        <w:t>ague: TB CARE; 2014.</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3.</w:t>
      </w:r>
      <w:r w:rsidRPr="002F1C76">
        <w:tab/>
      </w:r>
      <w:r w:rsidRPr="002F1C76">
        <w:rPr>
          <w:rFonts w:ascii="Tahoma" w:hAnsi="Tahoma"/>
          <w:sz w:val="16"/>
        </w:rPr>
        <w:t>Lewinsohn DM, Leonard MK, LoBue PA, Cohn DL, Daley CL, Desmond E, et al. Official American Thoracic Society/Infectious Diseases Society of America/Centers for Disease Control and Prevention Clinical Practice Guidelines: Diagnosis of</w:t>
      </w:r>
      <w:r w:rsidRPr="002F1C76">
        <w:rPr>
          <w:rFonts w:ascii="Tahoma" w:hAnsi="Tahoma"/>
          <w:sz w:val="16"/>
        </w:rPr>
        <w:t xml:space="preserve"> Tuberculosis in Adults and Children. Clin Infect Dis. 2017;64(2):e1-e33.</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4.</w:t>
      </w:r>
      <w:r w:rsidRPr="002F1C76">
        <w:tab/>
      </w:r>
      <w:r w:rsidRPr="002F1C76">
        <w:rPr>
          <w:rFonts w:ascii="Tahoma" w:hAnsi="Tahoma"/>
          <w:sz w:val="16"/>
        </w:rPr>
        <w:t>European Centre for Disease Prevention and Control. Use of interferon-gamma release assays in support of TB diagnosis. Stockholm: ECDC; 2011.</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5.</w:t>
      </w:r>
      <w:r w:rsidRPr="002F1C76">
        <w:tab/>
      </w:r>
      <w:r w:rsidRPr="002F1C76">
        <w:rPr>
          <w:rFonts w:ascii="Tahoma" w:hAnsi="Tahoma"/>
          <w:sz w:val="16"/>
        </w:rPr>
        <w:t>World Health Organization. Compend</w:t>
      </w:r>
      <w:r w:rsidRPr="002F1C76">
        <w:rPr>
          <w:rFonts w:ascii="Tahoma" w:hAnsi="Tahoma"/>
          <w:sz w:val="16"/>
        </w:rPr>
        <w:t>ium of WHO guidelines and associated standards: ensuring optimum delivery of the cascade of care for patients with tuberculosis. Geneva: World Health Organization; 2017.</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6.</w:t>
      </w:r>
      <w:r w:rsidRPr="002F1C76">
        <w:tab/>
      </w:r>
      <w:r w:rsidRPr="002F1C76">
        <w:rPr>
          <w:rFonts w:ascii="Tahoma" w:hAnsi="Tahoma"/>
          <w:sz w:val="16"/>
        </w:rPr>
        <w:t>Drobniewski FA, Hoffner S, Rusch-Gerdes S, Skenders G, Thomsen V. Recommended stand</w:t>
      </w:r>
      <w:r w:rsidRPr="002F1C76">
        <w:rPr>
          <w:rFonts w:ascii="Tahoma" w:hAnsi="Tahoma"/>
          <w:sz w:val="16"/>
        </w:rPr>
        <w:t>ards for modern tuberculosis laboratory services in Europe. Eur Respir J. 2006;28(5):903-909.</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7.</w:t>
      </w:r>
      <w:r w:rsidRPr="002F1C76">
        <w:tab/>
      </w:r>
      <w:r w:rsidRPr="002F1C76">
        <w:rPr>
          <w:rFonts w:ascii="Tahoma" w:hAnsi="Tahoma"/>
          <w:sz w:val="16"/>
        </w:rPr>
        <w:t xml:space="preserve">World Health Organization Regional Office for Europe. Algorithm for laboratory diagnosis and treatment-monitoring of pulmonary tuberculosis and drug-resistant </w:t>
      </w:r>
      <w:r w:rsidRPr="002F1C76">
        <w:rPr>
          <w:rFonts w:ascii="Tahoma" w:hAnsi="Tahoma"/>
          <w:sz w:val="16"/>
        </w:rPr>
        <w:t>tuberculosis using state-of-the-art rapid molecular diagnostic technologies. Expert opinion of the European Tuberculosis Laboratory Initiative core group members for the WHO European Region. Copenhagen: WHO Regional Office for Europe; 2017.</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8.</w:t>
      </w:r>
      <w:r w:rsidRPr="002F1C76">
        <w:tab/>
      </w:r>
      <w:r w:rsidRPr="002F1C76">
        <w:rPr>
          <w:rFonts w:ascii="Tahoma" w:hAnsi="Tahoma"/>
          <w:sz w:val="16"/>
        </w:rPr>
        <w:t>European Cen</w:t>
      </w:r>
      <w:r w:rsidRPr="002F1C76">
        <w:rPr>
          <w:rFonts w:ascii="Tahoma" w:hAnsi="Tahoma"/>
          <w:sz w:val="16"/>
        </w:rPr>
        <w:t>tre for Disease Prevention and Control. Handbook on TB laboratory diagnostic methods for the European Union. Stockholm: ECDC; 2016.</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9.</w:t>
      </w:r>
      <w:r w:rsidRPr="002F1C76">
        <w:tab/>
      </w:r>
      <w:r w:rsidRPr="002F1C76">
        <w:rPr>
          <w:rFonts w:ascii="Tahoma" w:hAnsi="Tahoma"/>
          <w:sz w:val="16"/>
        </w:rPr>
        <w:t>Sotgiu G, Tiberi S, D'Ambrosio L, Centis R, Zumla A, Migliori GB. WHO recommendations on shorter treatment of multidrug-r</w:t>
      </w:r>
      <w:r w:rsidRPr="002F1C76">
        <w:rPr>
          <w:rFonts w:ascii="Tahoma" w:hAnsi="Tahoma"/>
          <w:sz w:val="16"/>
        </w:rPr>
        <w:t>esistant tuberculosis. Lancet. 2016;387(10037):2486-2487.</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10.</w:t>
      </w:r>
      <w:r w:rsidRPr="002F1C76">
        <w:tab/>
      </w:r>
      <w:r w:rsidRPr="002F1C76">
        <w:rPr>
          <w:rFonts w:ascii="Tahoma" w:hAnsi="Tahoma"/>
          <w:sz w:val="16"/>
        </w:rPr>
        <w:t>Diel R, Goletti D, Ferrara G, Bothamley G, Cirillo D, Kampmann B, et al. Interferon-gamma release assays for the diagnosis of latent Mycobacterium tuberculosis infection: a systematic review and</w:t>
      </w:r>
      <w:r w:rsidRPr="002F1C76">
        <w:rPr>
          <w:rFonts w:ascii="Tahoma" w:hAnsi="Tahoma"/>
          <w:sz w:val="16"/>
        </w:rPr>
        <w:t xml:space="preserve"> meta-analysis. Eur Respir J. 2011;37(1):88-99.</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11.</w:t>
      </w:r>
      <w:r w:rsidRPr="002F1C76">
        <w:tab/>
      </w:r>
      <w:r w:rsidRPr="002F1C76">
        <w:rPr>
          <w:rFonts w:ascii="Tahoma" w:hAnsi="Tahoma"/>
          <w:sz w:val="16"/>
        </w:rPr>
        <w:t xml:space="preserve">Sester M, Sotgiu G, Lange C, Giehl C, Girardi E, Migliori GB, et al. Interferon-gamma release assays for the diagnosis of active tuberculosis: a systematic review and meta-analysis. Eur Respir J. </w:t>
      </w:r>
      <w:r w:rsidRPr="002F1C76">
        <w:rPr>
          <w:rFonts w:ascii="Tahoma" w:hAnsi="Tahoma"/>
          <w:sz w:val="16"/>
        </w:rPr>
        <w:t>2011;37(1):100-111.</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12.</w:t>
      </w:r>
      <w:r w:rsidRPr="002F1C76">
        <w:tab/>
      </w:r>
      <w:r w:rsidRPr="002F1C76">
        <w:rPr>
          <w:rFonts w:ascii="Tahoma" w:hAnsi="Tahoma"/>
          <w:sz w:val="16"/>
        </w:rPr>
        <w:t>Petruccioli E, Scriba TJ, Petrone L, Hatherill M, Cirillo DM, Joosten SA, et al. Correlates of tuberculosis risk: predictive biomarkers for progression to active tuberculosis. Eur Respir J. 2016;48(6):1751-1763.</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13.</w:t>
      </w:r>
      <w:r w:rsidRPr="002F1C76">
        <w:tab/>
      </w:r>
      <w:r w:rsidRPr="002F1C76">
        <w:rPr>
          <w:rFonts w:ascii="Tahoma" w:hAnsi="Tahoma"/>
          <w:sz w:val="16"/>
        </w:rPr>
        <w:t>Goletti D, Petru</w:t>
      </w:r>
      <w:r w:rsidRPr="002F1C76">
        <w:rPr>
          <w:rFonts w:ascii="Tahoma" w:hAnsi="Tahoma"/>
          <w:sz w:val="16"/>
        </w:rPr>
        <w:t>ccioli E, Joosten SA, Ottenhoff TH. Tuberculosis Biomarkers: From Diagnosis to Protection. Infectious disease reports. 2016;8(2):6568.</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14.</w:t>
      </w:r>
      <w:r w:rsidRPr="002F1C76">
        <w:tab/>
      </w:r>
      <w:r w:rsidRPr="002F1C76">
        <w:rPr>
          <w:rFonts w:ascii="Tahoma" w:hAnsi="Tahoma"/>
          <w:sz w:val="16"/>
        </w:rPr>
        <w:t>Seddon JA, Furin JJ, Gale M, Del Castillo Barrientos H, Hurtado RM, Amanullah F, et al. Caring for children with drug</w:t>
      </w:r>
      <w:r w:rsidRPr="002F1C76">
        <w:rPr>
          <w:rFonts w:ascii="Tahoma" w:hAnsi="Tahoma"/>
          <w:sz w:val="16"/>
        </w:rPr>
        <w:t>-resistant tuberculosis: practice-based recommendations. Am J Respir Crit Care Med. 2012;186(10):953-964.</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15.</w:t>
      </w:r>
      <w:r w:rsidRPr="002F1C76">
        <w:tab/>
      </w:r>
      <w:r w:rsidRPr="002F1C76">
        <w:rPr>
          <w:rFonts w:ascii="Tahoma" w:hAnsi="Tahoma"/>
          <w:sz w:val="16"/>
        </w:rPr>
        <w:t>World Health Organization. Guidance for national tuberculosis programmes on the management of tuberculosis in children. Second ed. Geneva: World H</w:t>
      </w:r>
      <w:r w:rsidRPr="002F1C76">
        <w:rPr>
          <w:rFonts w:ascii="Tahoma" w:hAnsi="Tahoma"/>
          <w:sz w:val="16"/>
        </w:rPr>
        <w:t>ealth Organization; 2014.</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16.</w:t>
      </w:r>
      <w:r w:rsidRPr="002F1C76">
        <w:tab/>
      </w:r>
      <w:r w:rsidRPr="002F1C76">
        <w:rPr>
          <w:rFonts w:ascii="Tahoma" w:hAnsi="Tahoma"/>
          <w:sz w:val="16"/>
        </w:rPr>
        <w:t>World Health Organization. Report of a WHO consultation on strengthening the active engagement of civil society organizations in the global TB prevention, care and control efforts. Geneva: World Health Organization; 2010. Repo</w:t>
      </w:r>
      <w:r w:rsidRPr="002F1C76">
        <w:rPr>
          <w:rFonts w:ascii="Tahoma" w:hAnsi="Tahoma"/>
          <w:sz w:val="16"/>
        </w:rPr>
        <w:t>rt No.: WHO/HTM/TB/2010.15.</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17.</w:t>
      </w:r>
      <w:r w:rsidRPr="002F1C76">
        <w:tab/>
      </w:r>
      <w:r w:rsidRPr="002F1C76">
        <w:rPr>
          <w:rFonts w:ascii="Tahoma" w:hAnsi="Tahoma"/>
          <w:sz w:val="16"/>
        </w:rPr>
        <w:t>Patients’ Charter for Tuberculosis Care: World Care Council; 2006.</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18.</w:t>
      </w:r>
      <w:r w:rsidRPr="002F1C76">
        <w:tab/>
      </w:r>
      <w:r w:rsidRPr="002F1C76">
        <w:rPr>
          <w:rFonts w:ascii="Tahoma" w:hAnsi="Tahoma"/>
          <w:sz w:val="16"/>
        </w:rPr>
        <w:t>World Health Organization. Definitions and reporting framework for tuberculosis – 2013 revision. Geneva: Word Health Organization; 2013.</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19.</w:t>
      </w:r>
      <w:r w:rsidRPr="002F1C76">
        <w:tab/>
      </w:r>
      <w:r w:rsidRPr="002F1C76">
        <w:rPr>
          <w:rFonts w:ascii="Tahoma" w:hAnsi="Tahoma"/>
          <w:sz w:val="16"/>
        </w:rPr>
        <w:t>Nahid P, Dor</w:t>
      </w:r>
      <w:r w:rsidRPr="002F1C76">
        <w:rPr>
          <w:rFonts w:ascii="Tahoma" w:hAnsi="Tahoma"/>
          <w:sz w:val="16"/>
        </w:rPr>
        <w:t>man SE, Alipanah N, Barry PM, Brozek JL, Cattamanchi A, et al. Official American Thoracic Society/Centers for Disease Control and Prevention/Infectious Diseases Society of America Clinical Practice Guidelines: Treatment of Drug-Susceptible Tuberculosis. Cl</w:t>
      </w:r>
      <w:r w:rsidRPr="002F1C76">
        <w:rPr>
          <w:rFonts w:ascii="Tahoma" w:hAnsi="Tahoma"/>
          <w:sz w:val="16"/>
        </w:rPr>
        <w:t>in Infect Dis. 2016;63(7):e147-e195.</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20.</w:t>
      </w:r>
      <w:r w:rsidRPr="002F1C76">
        <w:tab/>
      </w:r>
      <w:r w:rsidRPr="002F1C76">
        <w:rPr>
          <w:rFonts w:ascii="Tahoma" w:hAnsi="Tahoma"/>
          <w:sz w:val="16"/>
        </w:rPr>
        <w:t>Sotgiu G, Nahid P, Loddenkemper R, Abubakar I, Miravitlles M, Migliori GB. The ERS-endorsed official ATS/CDC/IDSA clinical practice guidelines on treatment of drug-susceptible tuberculosis. Eur Respir J. 2016;48(4):</w:t>
      </w:r>
      <w:r w:rsidRPr="002F1C76">
        <w:rPr>
          <w:rFonts w:ascii="Tahoma" w:hAnsi="Tahoma"/>
          <w:sz w:val="16"/>
        </w:rPr>
        <w:t>963-971.</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21.</w:t>
      </w:r>
      <w:r w:rsidRPr="002F1C76">
        <w:tab/>
      </w:r>
      <w:r w:rsidRPr="002F1C76">
        <w:rPr>
          <w:rFonts w:ascii="Tahoma" w:hAnsi="Tahoma"/>
          <w:sz w:val="16"/>
        </w:rPr>
        <w:t>Falzon D, Jaramillo E, Schunemann HJ, Arentz M, Bauer M, Bayona J, et al. WHO guidelines for the programmatic management of drug-resistant tuberculosis: 2011 update. Eur Respir J. 2011;38(3):516-528.</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22.</w:t>
      </w:r>
      <w:r w:rsidRPr="002F1C76">
        <w:tab/>
      </w:r>
      <w:r w:rsidRPr="002F1C76">
        <w:rPr>
          <w:rFonts w:ascii="Tahoma" w:hAnsi="Tahoma"/>
          <w:sz w:val="16"/>
        </w:rPr>
        <w:t xml:space="preserve">Mitnick CD, White RA, Lu C, Rodriguez </w:t>
      </w:r>
      <w:r w:rsidRPr="002F1C76">
        <w:rPr>
          <w:rFonts w:ascii="Tahoma" w:hAnsi="Tahoma"/>
          <w:sz w:val="16"/>
        </w:rPr>
        <w:t>CA, Bayona J, Becerra MC, et al. on behalf of the Collaborative Group for Analysis of Bacteriology Data in MDRTBT. Multidrug-resistant tuberculosis treatment failure detection depends on monitoring interval and microbiological method. Eur Respir J. 2016;48</w:t>
      </w:r>
      <w:r w:rsidRPr="002F1C76">
        <w:rPr>
          <w:rFonts w:ascii="Tahoma" w:hAnsi="Tahoma"/>
          <w:sz w:val="16"/>
        </w:rPr>
        <w:t>(4):1160-1170.</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23.</w:t>
      </w:r>
      <w:r w:rsidRPr="002F1C76">
        <w:tab/>
      </w:r>
      <w:r w:rsidRPr="002F1C76">
        <w:rPr>
          <w:rFonts w:ascii="Tahoma" w:hAnsi="Tahoma"/>
          <w:sz w:val="16"/>
        </w:rPr>
        <w:t>World Health Organization. WHO treatment guidelines for drug-resistant tuberculosis: 2016 update. Geneva: World Health Organization; 2016.</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24.</w:t>
      </w:r>
      <w:r w:rsidRPr="002F1C76">
        <w:tab/>
      </w:r>
      <w:r w:rsidRPr="002F1C76">
        <w:rPr>
          <w:rFonts w:ascii="Tahoma" w:hAnsi="Tahoma"/>
          <w:sz w:val="16"/>
        </w:rPr>
        <w:t>World Health Organization. Guidelines for treatment of drug-susceptible tuberculosis and patie</w:t>
      </w:r>
      <w:r w:rsidRPr="002F1C76">
        <w:rPr>
          <w:rFonts w:ascii="Tahoma" w:hAnsi="Tahoma"/>
          <w:sz w:val="16"/>
        </w:rPr>
        <w:t>nt care, 2017 update. Geneva: World Health Organization; 2017.</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25.</w:t>
      </w:r>
      <w:r w:rsidRPr="002F1C76">
        <w:tab/>
      </w:r>
      <w:r w:rsidRPr="002F1C76">
        <w:rPr>
          <w:rFonts w:ascii="Tahoma" w:hAnsi="Tahoma"/>
          <w:sz w:val="16"/>
        </w:rPr>
        <w:t>Falzon D, Schunemann HJ, Harausz E, Gonzalez-Angulo L, Lienhardt C, Jaramillo E, et al. World Health Organization treatment guidelines for drug-resistant tuberculosis, 2016 update. Eur Resp</w:t>
      </w:r>
      <w:r w:rsidRPr="002F1C76">
        <w:rPr>
          <w:rFonts w:ascii="Tahoma" w:hAnsi="Tahoma"/>
          <w:sz w:val="16"/>
        </w:rPr>
        <w:t>ir J. 2017;49(3).</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26.</w:t>
      </w:r>
      <w:r w:rsidRPr="002F1C76">
        <w:tab/>
      </w:r>
      <w:r w:rsidRPr="002F1C76">
        <w:rPr>
          <w:rFonts w:ascii="Tahoma" w:hAnsi="Tahoma"/>
          <w:sz w:val="16"/>
        </w:rPr>
        <w:t>van der Werf MJ, Kodmon C, Dara M, Catchpole M. Shorter regimens for multidrug-resistant tuberculosis should also be applicable in Europe. Eur Respir J 2017;49(6).</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27.</w:t>
      </w:r>
      <w:r w:rsidRPr="002F1C76">
        <w:tab/>
      </w:r>
      <w:r w:rsidRPr="002F1C76">
        <w:rPr>
          <w:rFonts w:ascii="Tahoma" w:hAnsi="Tahoma"/>
          <w:sz w:val="16"/>
        </w:rPr>
        <w:t xml:space="preserve">Caminero JA, Piubello A, Scardigli A, Migliori GB. Proposal for a </w:t>
      </w:r>
      <w:r w:rsidRPr="002F1C76">
        <w:rPr>
          <w:rFonts w:ascii="Tahoma" w:hAnsi="Tahoma"/>
          <w:sz w:val="16"/>
        </w:rPr>
        <w:t>standardised treatment regimen to manage pre- and extensively drug-resistant tuberculosis cases. Eur Respir J. 2017;50(1).</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28.</w:t>
      </w:r>
      <w:r w:rsidRPr="002F1C76">
        <w:tab/>
      </w:r>
      <w:r w:rsidRPr="002F1C76">
        <w:rPr>
          <w:rFonts w:ascii="Tahoma" w:hAnsi="Tahoma"/>
          <w:sz w:val="16"/>
        </w:rPr>
        <w:t>Esposito S, D'Ambrosio L, Tadolini M, Schaaf HS, Caminero Luna J, Marais B, et al. ERS/WHO Tuberculosis Consilium assistance with</w:t>
      </w:r>
      <w:r w:rsidRPr="002F1C76">
        <w:rPr>
          <w:rFonts w:ascii="Tahoma" w:hAnsi="Tahoma"/>
          <w:sz w:val="16"/>
        </w:rPr>
        <w:t xml:space="preserve"> extensively drug-resistant tuberculosis management in a child: case study of compassionate delamanid use. Eur Respir J. 2014;44(3):811-815.</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29.</w:t>
      </w:r>
      <w:r w:rsidRPr="002F1C76">
        <w:tab/>
      </w:r>
      <w:r w:rsidRPr="002F1C76">
        <w:rPr>
          <w:rFonts w:ascii="Tahoma" w:hAnsi="Tahoma"/>
          <w:sz w:val="16"/>
        </w:rPr>
        <w:t>Borisov SE, Dheda K, Enwerem M, Romero Leyet R, D'Ambrosio L, Centis R, et al. Effectiveness and safety of beda</w:t>
      </w:r>
      <w:r w:rsidRPr="002F1C76">
        <w:rPr>
          <w:rFonts w:ascii="Tahoma" w:hAnsi="Tahoma"/>
          <w:sz w:val="16"/>
        </w:rPr>
        <w:t>quiline-containing regimens in the treatment of MDR- and XDR-TB: a multicentre study. Eur Respir J. 2017;49(5).</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30.</w:t>
      </w:r>
      <w:r w:rsidRPr="002F1C76">
        <w:tab/>
      </w:r>
      <w:r w:rsidRPr="002F1C76">
        <w:rPr>
          <w:rFonts w:ascii="Tahoma" w:hAnsi="Tahoma"/>
          <w:sz w:val="16"/>
        </w:rPr>
        <w:t>Blasi F, Dara M, van der Werf MJ, Migliori GB. Supporting TB clinicians managing difficult cases: the ERS/WHO Consilium. Eur Respir J. 2013;</w:t>
      </w:r>
      <w:r w:rsidRPr="002F1C76">
        <w:rPr>
          <w:rFonts w:ascii="Tahoma" w:hAnsi="Tahoma"/>
          <w:sz w:val="16"/>
        </w:rPr>
        <w:t>41(3):491-494.</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31.</w:t>
      </w:r>
      <w:r w:rsidRPr="002F1C76">
        <w:tab/>
      </w:r>
      <w:r w:rsidRPr="002F1C76">
        <w:rPr>
          <w:rFonts w:ascii="Tahoma" w:hAnsi="Tahoma"/>
          <w:sz w:val="16"/>
        </w:rPr>
        <w:t>Tadolini M, Garcia-Prats AJ, D'Ambrosio L, Hewison C, Centis R, Schaaf HS, et al. Compassionate use of new drugs in children and adolescents with multidrug-resistant and extensively drug-resistant tuberculosis: early experiences and chal</w:t>
      </w:r>
      <w:r w:rsidRPr="002F1C76">
        <w:rPr>
          <w:rFonts w:ascii="Tahoma" w:hAnsi="Tahoma"/>
          <w:sz w:val="16"/>
        </w:rPr>
        <w:t>lenges. Eur Respir J. 2016;48(3):938-943.</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32.</w:t>
      </w:r>
      <w:r w:rsidRPr="002F1C76">
        <w:tab/>
      </w:r>
      <w:r w:rsidRPr="002F1C76">
        <w:rPr>
          <w:rFonts w:ascii="Tahoma" w:hAnsi="Tahoma"/>
          <w:sz w:val="16"/>
        </w:rPr>
        <w:t>Lange C, Abubakar I, Alffenaar JW, Bothamley G, Caminero JA, Carvalho AC, et al. Management of patients with multidrug-resistant/extensively drug-resistant tuberculosis in Europe: a TBNET consensus statement. E</w:t>
      </w:r>
      <w:r w:rsidRPr="002F1C76">
        <w:rPr>
          <w:rFonts w:ascii="Tahoma" w:hAnsi="Tahoma"/>
          <w:sz w:val="16"/>
        </w:rPr>
        <w:t>ur Respir J. 2014;44(1):23-63.</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33.</w:t>
      </w:r>
      <w:r w:rsidRPr="002F1C76">
        <w:tab/>
      </w:r>
      <w:r w:rsidRPr="002F1C76">
        <w:rPr>
          <w:rFonts w:ascii="Tahoma" w:hAnsi="Tahoma"/>
          <w:sz w:val="16"/>
        </w:rPr>
        <w:t>Caminero JA. Management of multidrug-resistant tuberculosis and patients in retreatment. Eur Respir J. 2005;25(5):928-936.</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lastRenderedPageBreak/>
        <w:t>34.</w:t>
      </w:r>
      <w:r w:rsidRPr="002F1C76">
        <w:tab/>
      </w:r>
      <w:r w:rsidRPr="002F1C76">
        <w:rPr>
          <w:rFonts w:ascii="Tahoma" w:hAnsi="Tahoma"/>
          <w:sz w:val="16"/>
        </w:rPr>
        <w:t xml:space="preserve">World Health Organization. WHO policy on collaborative TB/HIV activities: guidelines for </w:t>
      </w:r>
      <w:r w:rsidRPr="002F1C76">
        <w:rPr>
          <w:rFonts w:ascii="Tahoma" w:hAnsi="Tahoma"/>
          <w:sz w:val="16"/>
        </w:rPr>
        <w:t>national programmes and other stakeholders. Geneva: World Health Organization; 2012.</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35.</w:t>
      </w:r>
      <w:r w:rsidRPr="002F1C76">
        <w:tab/>
      </w:r>
      <w:r w:rsidRPr="002F1C76">
        <w:rPr>
          <w:rFonts w:ascii="Tahoma" w:hAnsi="Tahoma"/>
          <w:sz w:val="16"/>
        </w:rPr>
        <w:t>European Centre for Disease Prevention and Control. Management of contacts of MDRTB and XDR TB patients. Stockholm: ECDC; 2012.</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36.</w:t>
      </w:r>
      <w:r w:rsidRPr="002F1C76">
        <w:tab/>
      </w:r>
      <w:r w:rsidRPr="002F1C76">
        <w:rPr>
          <w:rFonts w:ascii="Tahoma" w:hAnsi="Tahoma"/>
          <w:sz w:val="16"/>
        </w:rPr>
        <w:t>World Health Organization. Guidelin</w:t>
      </w:r>
      <w:r w:rsidRPr="002F1C76">
        <w:rPr>
          <w:rFonts w:ascii="Tahoma" w:hAnsi="Tahoma"/>
          <w:sz w:val="16"/>
        </w:rPr>
        <w:t>es on the management of latent tuberculosis infection. 2015.</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37.</w:t>
      </w:r>
      <w:r w:rsidRPr="002F1C76">
        <w:tab/>
      </w:r>
      <w:r w:rsidRPr="002F1C76">
        <w:rPr>
          <w:rFonts w:ascii="Tahoma" w:hAnsi="Tahoma"/>
          <w:sz w:val="16"/>
        </w:rPr>
        <w:t>Zenner D, Beer N, Harris RJ, Lipman MC, Stagg HR, van der Werf MJ. Treatment of Latent Tuberculosis Infection: An Updated Network Meta-analysis. Ann Intern Med. 2017;167(4):248-255.</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38.</w:t>
      </w:r>
      <w:r w:rsidRPr="002F1C76">
        <w:tab/>
      </w:r>
      <w:r w:rsidRPr="002F1C76">
        <w:rPr>
          <w:rFonts w:ascii="Tahoma" w:hAnsi="Tahoma"/>
          <w:sz w:val="16"/>
        </w:rPr>
        <w:t>Getah</w:t>
      </w:r>
      <w:r w:rsidRPr="002F1C76">
        <w:rPr>
          <w:rFonts w:ascii="Tahoma" w:hAnsi="Tahoma"/>
          <w:sz w:val="16"/>
        </w:rPr>
        <w:t>un H, Matteelli A, Abubakar I, Aziz MA, Baddeley A, Barreira D, et al. Management of latent Mycobacterium tuberculosis infection: WHO guidelines for low tuberculosis burden countries. Eur Respir J. 2015;46(6):1563-1576.</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39.</w:t>
      </w:r>
      <w:r w:rsidRPr="002F1C76">
        <w:tab/>
      </w:r>
      <w:r w:rsidRPr="002F1C76">
        <w:rPr>
          <w:rFonts w:ascii="Tahoma" w:hAnsi="Tahoma"/>
          <w:sz w:val="16"/>
        </w:rPr>
        <w:t>Creswell J, Raviglione M, Ottman</w:t>
      </w:r>
      <w:r w:rsidRPr="002F1C76">
        <w:rPr>
          <w:rFonts w:ascii="Tahoma" w:hAnsi="Tahoma"/>
          <w:sz w:val="16"/>
        </w:rPr>
        <w:t>i S, Migliori GB, Uplekar M, Blanc L, et al. Tuberculosis and noncommunicable diseases: neglected links and missed opportunities. Eur Respir J. 2011;37(5):1269-1282.</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40.</w:t>
      </w:r>
      <w:r w:rsidRPr="002F1C76">
        <w:tab/>
      </w:r>
      <w:r w:rsidRPr="002F1C76">
        <w:rPr>
          <w:rFonts w:ascii="Tahoma" w:hAnsi="Tahoma"/>
          <w:sz w:val="16"/>
        </w:rPr>
        <w:t>Erkens CG, Kamphorst M, Abubakar I, Bothamley GH, Chemtob D, Haas W, et al. Tuberculos</w:t>
      </w:r>
      <w:r w:rsidRPr="002F1C76">
        <w:rPr>
          <w:rFonts w:ascii="Tahoma" w:hAnsi="Tahoma"/>
          <w:sz w:val="16"/>
        </w:rPr>
        <w:t>is contact investigation in low prevalence countries: a European consensus. Eur Respir J. 2010;36(4):925-949.</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41.</w:t>
      </w:r>
      <w:r w:rsidRPr="002F1C76">
        <w:tab/>
      </w:r>
      <w:r w:rsidRPr="002F1C76">
        <w:rPr>
          <w:rFonts w:ascii="Tahoma" w:hAnsi="Tahoma"/>
          <w:sz w:val="16"/>
        </w:rPr>
        <w:t>Luzzati R, Migliori G, Zignol M, Cirillo D, Maschi M, Tominz R, et al. Children under 5 years are at risk for tuberculosis after occasional co</w:t>
      </w:r>
      <w:r w:rsidRPr="002F1C76">
        <w:rPr>
          <w:rFonts w:ascii="Tahoma" w:hAnsi="Tahoma"/>
          <w:sz w:val="16"/>
        </w:rPr>
        <w:t>ntact with highly contagious patients: an out-patient outbreak from a smear positive health care worker. Eur Respir J. 2017;In press.</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42.</w:t>
      </w:r>
      <w:r w:rsidRPr="002F1C76">
        <w:tab/>
      </w:r>
      <w:r w:rsidRPr="002F1C76">
        <w:rPr>
          <w:rFonts w:ascii="Tahoma" w:hAnsi="Tahoma"/>
          <w:sz w:val="16"/>
        </w:rPr>
        <w:t>European Centre for Disease Prevention and Control. Guidance on tuberculosis control in vulnerable and hard-to-reach p</w:t>
      </w:r>
      <w:r w:rsidRPr="002F1C76">
        <w:rPr>
          <w:rFonts w:ascii="Tahoma" w:hAnsi="Tahoma"/>
          <w:sz w:val="16"/>
        </w:rPr>
        <w:t>opulations. Stockholm: ECDC; 2016.</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43.</w:t>
      </w:r>
      <w:r w:rsidRPr="002F1C76">
        <w:tab/>
      </w:r>
      <w:r w:rsidRPr="002F1C76">
        <w:rPr>
          <w:rFonts w:ascii="Tahoma" w:hAnsi="Tahoma"/>
          <w:sz w:val="16"/>
        </w:rPr>
        <w:t>National Instititute for Health and Care Excellence. Tuberculosis (NG33). London: NICE; 2016.</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44.</w:t>
      </w:r>
      <w:r w:rsidRPr="002F1C76">
        <w:tab/>
      </w:r>
      <w:r w:rsidRPr="002F1C76">
        <w:rPr>
          <w:rFonts w:ascii="Tahoma" w:hAnsi="Tahoma"/>
          <w:sz w:val="16"/>
        </w:rPr>
        <w:t>Dara M, de Colombani P, Petrova-Benedict R, Centis R, Zellweger JP, Sandgren A, et al. Wolfheze Transborder Migration T</w:t>
      </w:r>
      <w:r w:rsidRPr="002F1C76">
        <w:rPr>
          <w:rFonts w:ascii="Tahoma" w:hAnsi="Tahoma"/>
          <w:sz w:val="16"/>
        </w:rPr>
        <w:t>ask F. Minimum package for cross-border TB control and care in the WHO European region: a Wolfheze consensus statement. Eur Respir J. 2012;40(5):1081-1090.</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45.</w:t>
      </w:r>
      <w:r w:rsidRPr="002F1C76">
        <w:tab/>
      </w:r>
      <w:r w:rsidRPr="002F1C76">
        <w:rPr>
          <w:rFonts w:ascii="Tahoma" w:hAnsi="Tahoma"/>
          <w:sz w:val="16"/>
        </w:rPr>
        <w:t>Leung CC, Rieder HL, Lange C, Yew WW. Treatment of latent infection with Mycobacterium tuberculo</w:t>
      </w:r>
      <w:r w:rsidRPr="002F1C76">
        <w:rPr>
          <w:rFonts w:ascii="Tahoma" w:hAnsi="Tahoma"/>
          <w:sz w:val="16"/>
        </w:rPr>
        <w:t>sis: update 2010. Eur Respir J. 2011;37(3):690-711.</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46.</w:t>
      </w:r>
      <w:r w:rsidRPr="002F1C76">
        <w:tab/>
      </w:r>
      <w:r w:rsidRPr="002F1C76">
        <w:rPr>
          <w:rFonts w:ascii="Tahoma" w:hAnsi="Tahoma"/>
          <w:sz w:val="16"/>
        </w:rPr>
        <w:t>Woldehanna S, Volmink J. Treatment of latent tuberculosis infection in HIV infected persons. The Cochrane database of systematic reviews. 2004(1):Cd000171.</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47.</w:t>
      </w:r>
      <w:r w:rsidRPr="002F1C76">
        <w:tab/>
      </w:r>
      <w:r w:rsidRPr="002F1C76">
        <w:rPr>
          <w:rFonts w:ascii="Tahoma" w:hAnsi="Tahoma"/>
          <w:sz w:val="16"/>
        </w:rPr>
        <w:t>European Centre for Disease Prevention a</w:t>
      </w:r>
      <w:r w:rsidRPr="002F1C76">
        <w:rPr>
          <w:rFonts w:ascii="Tahoma" w:hAnsi="Tahoma"/>
          <w:sz w:val="16"/>
        </w:rPr>
        <w:t>nd Control. Investigation and control of tuberculosis incidents affecting children in congregate settings. Stockholm: ECDC; 2013.</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48.</w:t>
      </w:r>
      <w:r w:rsidRPr="002F1C76">
        <w:tab/>
      </w:r>
      <w:r w:rsidRPr="002F1C76">
        <w:rPr>
          <w:rFonts w:ascii="Tahoma" w:hAnsi="Tahoma"/>
          <w:sz w:val="16"/>
        </w:rPr>
        <w:t>Mack U, Migliori GB, Sester M, Rieder HL, Ehlers S, Goletti D, et al. Tbnet. LTBI: latent tuberculosis infection or lastin</w:t>
      </w:r>
      <w:r w:rsidRPr="002F1C76">
        <w:rPr>
          <w:rFonts w:ascii="Tahoma" w:hAnsi="Tahoma"/>
          <w:sz w:val="16"/>
        </w:rPr>
        <w:t>g immune responses to M. tuberculosis? A TBNET consensus statement. Eur Respir J. 2009;33(5):956-973.</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49.</w:t>
      </w:r>
      <w:r w:rsidRPr="002F1C76">
        <w:tab/>
      </w:r>
      <w:r w:rsidRPr="002F1C76">
        <w:rPr>
          <w:rFonts w:ascii="Tahoma" w:hAnsi="Tahoma"/>
          <w:sz w:val="16"/>
        </w:rPr>
        <w:t>Lange C, Rieder HL. Intention to test is intention to treat. Am J Respir Crit Care Med. 2011;183(1):3-4.</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50.</w:t>
      </w:r>
      <w:r w:rsidRPr="002F1C76">
        <w:tab/>
      </w:r>
      <w:r w:rsidRPr="002F1C76">
        <w:rPr>
          <w:rFonts w:ascii="Tahoma" w:hAnsi="Tahoma"/>
          <w:sz w:val="16"/>
        </w:rPr>
        <w:t>World</w:t>
      </w:r>
      <w:r w:rsidRPr="002F1C76">
        <w:rPr>
          <w:rFonts w:ascii="Tahoma" w:hAnsi="Tahoma"/>
          <w:sz w:val="16"/>
        </w:rPr>
        <w:t xml:space="preserve"> Health Organization. WHO policy on TB infection control in health - care facilities, congregate settings and households. Geneva: World Health Organization; 2009.</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51.</w:t>
      </w:r>
      <w:r w:rsidRPr="002F1C76">
        <w:tab/>
      </w:r>
      <w:r w:rsidRPr="002F1C76">
        <w:rPr>
          <w:rFonts w:ascii="Tahoma" w:hAnsi="Tahoma"/>
          <w:sz w:val="16"/>
        </w:rPr>
        <w:t>Sotgiu G, D'Ambrosio L, Centis R, Bothamley G, Cirillo DM, De Lorenzo S, et al. TB and M/</w:t>
      </w:r>
      <w:r w:rsidRPr="002F1C76">
        <w:rPr>
          <w:rFonts w:ascii="Tahoma" w:hAnsi="Tahoma"/>
          <w:sz w:val="16"/>
        </w:rPr>
        <w:t>XDR-TB infection control in European TB reference centres: the Achilles' heel? Eur Respir J. 2011;38(5):1221-1223.</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52.</w:t>
      </w:r>
      <w:r w:rsidRPr="002F1C76">
        <w:tab/>
      </w:r>
      <w:r w:rsidRPr="002F1C76">
        <w:rPr>
          <w:rFonts w:ascii="Tahoma" w:hAnsi="Tahoma"/>
          <w:sz w:val="16"/>
        </w:rPr>
        <w:t>Matteelli A, Centis R, D'Ambrosio L, Sotgiu G, Tadolini M, Pontali E, et al. WHO strategies for the programmatic management of drug-resis</w:t>
      </w:r>
      <w:r w:rsidRPr="002F1C76">
        <w:rPr>
          <w:rFonts w:ascii="Tahoma" w:hAnsi="Tahoma"/>
          <w:sz w:val="16"/>
        </w:rPr>
        <w:t>tant tuberculosis. Expert Rev Respir Med. 2016;10(9):991-1002.</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53.</w:t>
      </w:r>
      <w:r w:rsidRPr="002F1C76">
        <w:tab/>
      </w:r>
      <w:r w:rsidRPr="002F1C76">
        <w:rPr>
          <w:rFonts w:ascii="Tahoma" w:hAnsi="Tahoma"/>
          <w:sz w:val="16"/>
        </w:rPr>
        <w:t>Laserson KF, Thorpe LE, Leimane V, Weyer K, Mitnick CD, Riekstina V, et al. Speaking the same language: treatment outcome definitions for multidrug-resistant tuberculosis. Int J Tuberc Lung</w:t>
      </w:r>
      <w:r w:rsidRPr="002F1C76">
        <w:rPr>
          <w:rFonts w:ascii="Tahoma" w:hAnsi="Tahoma"/>
          <w:sz w:val="16"/>
        </w:rPr>
        <w:t xml:space="preserve"> Dis. 2005;9(6):640-645.</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54.</w:t>
      </w:r>
      <w:r w:rsidRPr="002F1C76">
        <w:tab/>
      </w:r>
      <w:r w:rsidRPr="002F1C76">
        <w:rPr>
          <w:rFonts w:ascii="Tahoma" w:hAnsi="Tahoma"/>
          <w:sz w:val="16"/>
        </w:rPr>
        <w:t>European Centre for Disease Prevention and Control, World Health Organization. Regional Office for Europe. Tuberculosis surveillance and monitoring in Europe: 2017. Stockholm: ECDC; 2017. Available from: http://dx.doi.org/10.29</w:t>
      </w:r>
      <w:r w:rsidRPr="002F1C76">
        <w:rPr>
          <w:rFonts w:ascii="Tahoma" w:hAnsi="Tahoma"/>
          <w:sz w:val="16"/>
        </w:rPr>
        <w:t>00/2767.</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55.</w:t>
      </w:r>
      <w:r w:rsidRPr="002F1C76">
        <w:tab/>
      </w:r>
      <w:r w:rsidRPr="002F1C76">
        <w:rPr>
          <w:rFonts w:ascii="Tahoma" w:hAnsi="Tahoma"/>
          <w:sz w:val="16"/>
        </w:rPr>
        <w:t>Mor Z, Migliori GB, Althomsons SP, Loddenkemper R, Trnka L, Iademarco MF. Comparison of tuberculosis surveillance systems in low-incidence industrialised countries. Eur Respir J. 2008;32(6):1616-1624.</w:t>
      </w:r>
    </w:p>
    <w:p w:rsidR="00DA3A70" w:rsidRPr="002F1C76" w:rsidRDefault="00EC1008" w:rsidP="0028467E">
      <w:pPr>
        <w:pStyle w:val="EndNoteBibliography"/>
        <w:spacing w:after="0"/>
        <w:ind w:left="426" w:hanging="426"/>
        <w:jc w:val="left"/>
        <w:rPr>
          <w:rFonts w:ascii="Tahoma" w:hAnsi="Tahoma" w:cs="Tahoma"/>
          <w:sz w:val="16"/>
          <w:szCs w:val="16"/>
        </w:rPr>
      </w:pPr>
      <w:r w:rsidRPr="002F1C76">
        <w:rPr>
          <w:rFonts w:ascii="Tahoma" w:hAnsi="Tahoma"/>
          <w:sz w:val="16"/>
        </w:rPr>
        <w:t>56.</w:t>
      </w:r>
      <w:r w:rsidRPr="002F1C76">
        <w:tab/>
      </w:r>
      <w:r w:rsidRPr="002F1C76">
        <w:rPr>
          <w:rFonts w:ascii="Tahoma" w:hAnsi="Tahoma"/>
          <w:sz w:val="16"/>
        </w:rPr>
        <w:t>Uplekar M, Atre S, Wells WA, Weil D, L</w:t>
      </w:r>
      <w:r w:rsidRPr="002F1C76">
        <w:rPr>
          <w:rFonts w:ascii="Tahoma" w:hAnsi="Tahoma"/>
          <w:sz w:val="16"/>
        </w:rPr>
        <w:t>opez R, Migliori G, et al. Mandatory tuberculosis case notification in high tuberculosis-incidence countries: policy and practices. Eur Respir J. 2016(48):1571-1581.</w:t>
      </w:r>
    </w:p>
    <w:p w:rsidR="008B2FFB" w:rsidRPr="002F1C76" w:rsidRDefault="00EC1008" w:rsidP="0028467E">
      <w:pPr>
        <w:pStyle w:val="EndNoteBibliography"/>
        <w:ind w:left="426" w:hanging="426"/>
        <w:jc w:val="left"/>
      </w:pPr>
      <w:r w:rsidRPr="002F1C76">
        <w:rPr>
          <w:rFonts w:ascii="Tahoma" w:hAnsi="Tahoma"/>
          <w:sz w:val="16"/>
        </w:rPr>
        <w:t>57.</w:t>
      </w:r>
      <w:r w:rsidRPr="002F1C76">
        <w:tab/>
      </w:r>
      <w:r w:rsidRPr="002F1C76">
        <w:rPr>
          <w:rFonts w:ascii="Tahoma" w:hAnsi="Tahoma"/>
          <w:sz w:val="16"/>
        </w:rPr>
        <w:t>Heldal E, Kuyvenhoven JV, Wares F, Migliori GB, Ditiu L, Fernandez de la Hoz K, et al.</w:t>
      </w:r>
      <w:r w:rsidRPr="002F1C76">
        <w:rPr>
          <w:rFonts w:ascii="Tahoma" w:hAnsi="Tahoma"/>
          <w:sz w:val="16"/>
        </w:rPr>
        <w:t xml:space="preserve"> Diagnosis and treatment of tuberculosis in undocumented migrants in low- or intermediate-incidence countries. Int J Tuberc Lung Dis. 2008;12(8):878-888.</w:t>
      </w:r>
    </w:p>
    <w:sectPr w:rsidR="008B2FFB" w:rsidRPr="002F1C76" w:rsidSect="000D0DB0">
      <w:footerReference w:type="default" r:id="rId10"/>
      <w:pgSz w:w="11906" w:h="16838"/>
      <w:pgMar w:top="567"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C1008">
      <w:pPr>
        <w:spacing w:after="0" w:line="240" w:lineRule="auto"/>
      </w:pPr>
      <w:r>
        <w:separator/>
      </w:r>
    </w:p>
  </w:endnote>
  <w:endnote w:type="continuationSeparator" w:id="0">
    <w:p w:rsidR="00000000" w:rsidRDefault="00EC1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C94" w:rsidRPr="002F1C76" w:rsidRDefault="00974C94" w:rsidP="00847A9F">
    <w:pPr>
      <w:pStyle w:val="Footer"/>
      <w:spacing w:after="0" w:line="240" w:lineRule="auto"/>
      <w:jc w:val="center"/>
      <w:rPr>
        <w:rFonts w:ascii="Arial" w:hAnsi="Arial" w:cs="Arial"/>
        <w:sz w:val="20"/>
        <w:szCs w:val="20"/>
      </w:rPr>
    </w:pPr>
  </w:p>
  <w:p w:rsidR="00974C94" w:rsidRPr="002F1C76" w:rsidRDefault="00EC1008" w:rsidP="00847A9F">
    <w:pPr>
      <w:pStyle w:val="Footer"/>
      <w:spacing w:after="0" w:line="240" w:lineRule="auto"/>
      <w:jc w:val="center"/>
      <w:rPr>
        <w:rFonts w:ascii="Arial" w:hAnsi="Arial" w:cs="Arial"/>
        <w:sz w:val="20"/>
        <w:szCs w:val="20"/>
      </w:rPr>
    </w:pPr>
    <w:r w:rsidRPr="002F1C76">
      <w:rPr>
        <w:rFonts w:ascii="Arial" w:hAnsi="Arial"/>
        <w:sz w:val="20"/>
      </w:rPr>
      <w:t xml:space="preserve">- </w:t>
    </w:r>
    <w:r w:rsidRPr="002F1C76">
      <w:rPr>
        <w:rFonts w:ascii="Arial" w:hAnsi="Arial" w:cs="Arial"/>
        <w:sz w:val="20"/>
        <w:szCs w:val="20"/>
      </w:rPr>
      <w:fldChar w:fldCharType="begin"/>
    </w:r>
    <w:r w:rsidRPr="002F1C76">
      <w:rPr>
        <w:rFonts w:ascii="Arial" w:hAnsi="Arial" w:cs="Arial"/>
        <w:sz w:val="20"/>
        <w:szCs w:val="20"/>
      </w:rPr>
      <w:instrText xml:space="preserve"> PAGE   \* MERGEFORMAT </w:instrText>
    </w:r>
    <w:r w:rsidRPr="002F1C76">
      <w:rPr>
        <w:rFonts w:ascii="Arial" w:hAnsi="Arial" w:cs="Arial"/>
        <w:sz w:val="20"/>
        <w:szCs w:val="20"/>
      </w:rPr>
      <w:fldChar w:fldCharType="separate"/>
    </w:r>
    <w:r>
      <w:rPr>
        <w:rFonts w:ascii="Arial" w:hAnsi="Arial" w:cs="Arial"/>
        <w:noProof/>
        <w:sz w:val="20"/>
        <w:szCs w:val="20"/>
      </w:rPr>
      <w:t>9</w:t>
    </w:r>
    <w:r w:rsidRPr="002F1C76">
      <w:rPr>
        <w:rFonts w:ascii="Arial" w:hAnsi="Arial" w:cs="Arial"/>
        <w:sz w:val="20"/>
        <w:szCs w:val="20"/>
      </w:rPr>
      <w:fldChar w:fldCharType="end"/>
    </w:r>
    <w:r w:rsidRPr="002F1C76">
      <w:rPr>
        <w:rFonts w:ascii="Arial" w:hAnsi="Arial"/>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C1008">
      <w:pPr>
        <w:spacing w:after="0" w:line="240" w:lineRule="auto"/>
      </w:pPr>
      <w:r>
        <w:separator/>
      </w:r>
    </w:p>
  </w:footnote>
  <w:footnote w:type="continuationSeparator" w:id="0">
    <w:p w:rsidR="00000000" w:rsidRDefault="00EC1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C0C0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9E6CF0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9EEE6B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2D86C2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70AAB4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0443C5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20827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86664C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F40748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8E4707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75C68E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155751"/>
    <w:multiLevelType w:val="hybridMultilevel"/>
    <w:tmpl w:val="B3A8BCD6"/>
    <w:lvl w:ilvl="0" w:tplc="B7780188">
      <w:numFmt w:val="bullet"/>
      <w:lvlText w:val="-"/>
      <w:lvlJc w:val="left"/>
      <w:pPr>
        <w:ind w:left="720" w:hanging="360"/>
      </w:pPr>
      <w:rPr>
        <w:rFonts w:ascii="Times New Roman" w:eastAsia="Times New Roman" w:hAnsi="Times New Roman" w:cs="Times New Roman" w:hint="default"/>
      </w:rPr>
    </w:lvl>
    <w:lvl w:ilvl="1" w:tplc="248C8DC2" w:tentative="1">
      <w:start w:val="1"/>
      <w:numFmt w:val="bullet"/>
      <w:lvlText w:val="o"/>
      <w:lvlJc w:val="left"/>
      <w:pPr>
        <w:ind w:left="1440" w:hanging="360"/>
      </w:pPr>
      <w:rPr>
        <w:rFonts w:ascii="Courier New" w:hAnsi="Courier New" w:cs="Courier New" w:hint="default"/>
      </w:rPr>
    </w:lvl>
    <w:lvl w:ilvl="2" w:tplc="F132938A" w:tentative="1">
      <w:start w:val="1"/>
      <w:numFmt w:val="bullet"/>
      <w:lvlText w:val=""/>
      <w:lvlJc w:val="left"/>
      <w:pPr>
        <w:ind w:left="2160" w:hanging="360"/>
      </w:pPr>
      <w:rPr>
        <w:rFonts w:ascii="Wingdings" w:hAnsi="Wingdings" w:hint="default"/>
      </w:rPr>
    </w:lvl>
    <w:lvl w:ilvl="3" w:tplc="A3C8C8B4" w:tentative="1">
      <w:start w:val="1"/>
      <w:numFmt w:val="bullet"/>
      <w:lvlText w:val=""/>
      <w:lvlJc w:val="left"/>
      <w:pPr>
        <w:ind w:left="2880" w:hanging="360"/>
      </w:pPr>
      <w:rPr>
        <w:rFonts w:ascii="Symbol" w:hAnsi="Symbol" w:hint="default"/>
      </w:rPr>
    </w:lvl>
    <w:lvl w:ilvl="4" w:tplc="20D6299C" w:tentative="1">
      <w:start w:val="1"/>
      <w:numFmt w:val="bullet"/>
      <w:lvlText w:val="o"/>
      <w:lvlJc w:val="left"/>
      <w:pPr>
        <w:ind w:left="3600" w:hanging="360"/>
      </w:pPr>
      <w:rPr>
        <w:rFonts w:ascii="Courier New" w:hAnsi="Courier New" w:cs="Courier New" w:hint="default"/>
      </w:rPr>
    </w:lvl>
    <w:lvl w:ilvl="5" w:tplc="8E223C62" w:tentative="1">
      <w:start w:val="1"/>
      <w:numFmt w:val="bullet"/>
      <w:lvlText w:val=""/>
      <w:lvlJc w:val="left"/>
      <w:pPr>
        <w:ind w:left="4320" w:hanging="360"/>
      </w:pPr>
      <w:rPr>
        <w:rFonts w:ascii="Wingdings" w:hAnsi="Wingdings" w:hint="default"/>
      </w:rPr>
    </w:lvl>
    <w:lvl w:ilvl="6" w:tplc="01EE7F36" w:tentative="1">
      <w:start w:val="1"/>
      <w:numFmt w:val="bullet"/>
      <w:lvlText w:val=""/>
      <w:lvlJc w:val="left"/>
      <w:pPr>
        <w:ind w:left="5040" w:hanging="360"/>
      </w:pPr>
      <w:rPr>
        <w:rFonts w:ascii="Symbol" w:hAnsi="Symbol" w:hint="default"/>
      </w:rPr>
    </w:lvl>
    <w:lvl w:ilvl="7" w:tplc="C82E0E20" w:tentative="1">
      <w:start w:val="1"/>
      <w:numFmt w:val="bullet"/>
      <w:lvlText w:val="o"/>
      <w:lvlJc w:val="left"/>
      <w:pPr>
        <w:ind w:left="5760" w:hanging="360"/>
      </w:pPr>
      <w:rPr>
        <w:rFonts w:ascii="Courier New" w:hAnsi="Courier New" w:cs="Courier New" w:hint="default"/>
      </w:rPr>
    </w:lvl>
    <w:lvl w:ilvl="8" w:tplc="39EECEFC" w:tentative="1">
      <w:start w:val="1"/>
      <w:numFmt w:val="bullet"/>
      <w:lvlText w:val=""/>
      <w:lvlJc w:val="left"/>
      <w:pPr>
        <w:ind w:left="6480" w:hanging="360"/>
      </w:pPr>
      <w:rPr>
        <w:rFonts w:ascii="Wingdings" w:hAnsi="Wingdings" w:hint="default"/>
      </w:rPr>
    </w:lvl>
  </w:abstractNum>
  <w:abstractNum w:abstractNumId="12" w15:restartNumberingAfterBreak="0">
    <w:nsid w:val="0055784F"/>
    <w:multiLevelType w:val="hybridMultilevel"/>
    <w:tmpl w:val="81F29F4C"/>
    <w:lvl w:ilvl="0" w:tplc="BD7274E4">
      <w:start w:val="1"/>
      <w:numFmt w:val="decimal"/>
      <w:lvlText w:val="%1."/>
      <w:lvlJc w:val="left"/>
      <w:pPr>
        <w:ind w:left="720" w:hanging="360"/>
      </w:pPr>
      <w:rPr>
        <w:b w:val="0"/>
        <w:i w:val="0"/>
        <w:color w:val="auto"/>
        <w:sz w:val="22"/>
        <w:szCs w:val="22"/>
      </w:rPr>
    </w:lvl>
    <w:lvl w:ilvl="1" w:tplc="D9CE2EDE" w:tentative="1">
      <w:start w:val="1"/>
      <w:numFmt w:val="lowerLetter"/>
      <w:lvlText w:val="%2."/>
      <w:lvlJc w:val="left"/>
      <w:pPr>
        <w:ind w:left="1440" w:hanging="360"/>
      </w:pPr>
    </w:lvl>
    <w:lvl w:ilvl="2" w:tplc="41F22BB4" w:tentative="1">
      <w:start w:val="1"/>
      <w:numFmt w:val="lowerRoman"/>
      <w:lvlText w:val="%3."/>
      <w:lvlJc w:val="right"/>
      <w:pPr>
        <w:ind w:left="2160" w:hanging="180"/>
      </w:pPr>
    </w:lvl>
    <w:lvl w:ilvl="3" w:tplc="E0443264" w:tentative="1">
      <w:start w:val="1"/>
      <w:numFmt w:val="decimal"/>
      <w:lvlText w:val="%4."/>
      <w:lvlJc w:val="left"/>
      <w:pPr>
        <w:ind w:left="2880" w:hanging="360"/>
      </w:pPr>
    </w:lvl>
    <w:lvl w:ilvl="4" w:tplc="73B2E5D2" w:tentative="1">
      <w:start w:val="1"/>
      <w:numFmt w:val="lowerLetter"/>
      <w:lvlText w:val="%5."/>
      <w:lvlJc w:val="left"/>
      <w:pPr>
        <w:ind w:left="3600" w:hanging="360"/>
      </w:pPr>
    </w:lvl>
    <w:lvl w:ilvl="5" w:tplc="65782F14" w:tentative="1">
      <w:start w:val="1"/>
      <w:numFmt w:val="lowerRoman"/>
      <w:lvlText w:val="%6."/>
      <w:lvlJc w:val="right"/>
      <w:pPr>
        <w:ind w:left="4320" w:hanging="180"/>
      </w:pPr>
    </w:lvl>
    <w:lvl w:ilvl="6" w:tplc="776866A8" w:tentative="1">
      <w:start w:val="1"/>
      <w:numFmt w:val="decimal"/>
      <w:lvlText w:val="%7."/>
      <w:lvlJc w:val="left"/>
      <w:pPr>
        <w:ind w:left="5040" w:hanging="360"/>
      </w:pPr>
    </w:lvl>
    <w:lvl w:ilvl="7" w:tplc="A05A2530" w:tentative="1">
      <w:start w:val="1"/>
      <w:numFmt w:val="lowerLetter"/>
      <w:lvlText w:val="%8."/>
      <w:lvlJc w:val="left"/>
      <w:pPr>
        <w:ind w:left="5760" w:hanging="360"/>
      </w:pPr>
    </w:lvl>
    <w:lvl w:ilvl="8" w:tplc="22DA7C14" w:tentative="1">
      <w:start w:val="1"/>
      <w:numFmt w:val="lowerRoman"/>
      <w:lvlText w:val="%9."/>
      <w:lvlJc w:val="right"/>
      <w:pPr>
        <w:ind w:left="6480" w:hanging="180"/>
      </w:pPr>
    </w:lvl>
  </w:abstractNum>
  <w:abstractNum w:abstractNumId="13" w15:restartNumberingAfterBreak="0">
    <w:nsid w:val="0C5302E4"/>
    <w:multiLevelType w:val="hybridMultilevel"/>
    <w:tmpl w:val="40FA02FC"/>
    <w:lvl w:ilvl="0" w:tplc="F3B2B878">
      <w:numFmt w:val="bullet"/>
      <w:lvlText w:val="-"/>
      <w:lvlJc w:val="left"/>
      <w:pPr>
        <w:ind w:left="720" w:hanging="360"/>
      </w:pPr>
      <w:rPr>
        <w:rFonts w:ascii="Times New Roman" w:eastAsia="Times New Roman" w:hAnsi="Times New Roman" w:cs="Times New Roman" w:hint="default"/>
      </w:rPr>
    </w:lvl>
    <w:lvl w:ilvl="1" w:tplc="6E506802" w:tentative="1">
      <w:start w:val="1"/>
      <w:numFmt w:val="bullet"/>
      <w:lvlText w:val="o"/>
      <w:lvlJc w:val="left"/>
      <w:pPr>
        <w:ind w:left="1440" w:hanging="360"/>
      </w:pPr>
      <w:rPr>
        <w:rFonts w:ascii="Courier New" w:hAnsi="Courier New" w:cs="Courier New" w:hint="default"/>
      </w:rPr>
    </w:lvl>
    <w:lvl w:ilvl="2" w:tplc="9FA06076" w:tentative="1">
      <w:start w:val="1"/>
      <w:numFmt w:val="bullet"/>
      <w:lvlText w:val=""/>
      <w:lvlJc w:val="left"/>
      <w:pPr>
        <w:ind w:left="2160" w:hanging="360"/>
      </w:pPr>
      <w:rPr>
        <w:rFonts w:ascii="Wingdings" w:hAnsi="Wingdings" w:hint="default"/>
      </w:rPr>
    </w:lvl>
    <w:lvl w:ilvl="3" w:tplc="0E08A3A8" w:tentative="1">
      <w:start w:val="1"/>
      <w:numFmt w:val="bullet"/>
      <w:lvlText w:val=""/>
      <w:lvlJc w:val="left"/>
      <w:pPr>
        <w:ind w:left="2880" w:hanging="360"/>
      </w:pPr>
      <w:rPr>
        <w:rFonts w:ascii="Symbol" w:hAnsi="Symbol" w:hint="default"/>
      </w:rPr>
    </w:lvl>
    <w:lvl w:ilvl="4" w:tplc="D5FA93FC" w:tentative="1">
      <w:start w:val="1"/>
      <w:numFmt w:val="bullet"/>
      <w:lvlText w:val="o"/>
      <w:lvlJc w:val="left"/>
      <w:pPr>
        <w:ind w:left="3600" w:hanging="360"/>
      </w:pPr>
      <w:rPr>
        <w:rFonts w:ascii="Courier New" w:hAnsi="Courier New" w:cs="Courier New" w:hint="default"/>
      </w:rPr>
    </w:lvl>
    <w:lvl w:ilvl="5" w:tplc="981AAC96" w:tentative="1">
      <w:start w:val="1"/>
      <w:numFmt w:val="bullet"/>
      <w:lvlText w:val=""/>
      <w:lvlJc w:val="left"/>
      <w:pPr>
        <w:ind w:left="4320" w:hanging="360"/>
      </w:pPr>
      <w:rPr>
        <w:rFonts w:ascii="Wingdings" w:hAnsi="Wingdings" w:hint="default"/>
      </w:rPr>
    </w:lvl>
    <w:lvl w:ilvl="6" w:tplc="9F483580" w:tentative="1">
      <w:start w:val="1"/>
      <w:numFmt w:val="bullet"/>
      <w:lvlText w:val=""/>
      <w:lvlJc w:val="left"/>
      <w:pPr>
        <w:ind w:left="5040" w:hanging="360"/>
      </w:pPr>
      <w:rPr>
        <w:rFonts w:ascii="Symbol" w:hAnsi="Symbol" w:hint="default"/>
      </w:rPr>
    </w:lvl>
    <w:lvl w:ilvl="7" w:tplc="00400486" w:tentative="1">
      <w:start w:val="1"/>
      <w:numFmt w:val="bullet"/>
      <w:lvlText w:val="o"/>
      <w:lvlJc w:val="left"/>
      <w:pPr>
        <w:ind w:left="5760" w:hanging="360"/>
      </w:pPr>
      <w:rPr>
        <w:rFonts w:ascii="Courier New" w:hAnsi="Courier New" w:cs="Courier New" w:hint="default"/>
      </w:rPr>
    </w:lvl>
    <w:lvl w:ilvl="8" w:tplc="CA2223CC" w:tentative="1">
      <w:start w:val="1"/>
      <w:numFmt w:val="bullet"/>
      <w:lvlText w:val=""/>
      <w:lvlJc w:val="left"/>
      <w:pPr>
        <w:ind w:left="6480" w:hanging="360"/>
      </w:pPr>
      <w:rPr>
        <w:rFonts w:ascii="Wingdings" w:hAnsi="Wingdings" w:hint="default"/>
      </w:rPr>
    </w:lvl>
  </w:abstractNum>
  <w:abstractNum w:abstractNumId="14" w15:restartNumberingAfterBreak="0">
    <w:nsid w:val="0E6A1D1C"/>
    <w:multiLevelType w:val="hybridMultilevel"/>
    <w:tmpl w:val="D9367CA4"/>
    <w:lvl w:ilvl="0" w:tplc="A496B15A">
      <w:start w:val="1"/>
      <w:numFmt w:val="decimal"/>
      <w:lvlText w:val="%1."/>
      <w:lvlJc w:val="left"/>
      <w:pPr>
        <w:ind w:left="720" w:hanging="360"/>
      </w:pPr>
    </w:lvl>
    <w:lvl w:ilvl="1" w:tplc="52980DDC" w:tentative="1">
      <w:start w:val="1"/>
      <w:numFmt w:val="lowerLetter"/>
      <w:lvlText w:val="%2."/>
      <w:lvlJc w:val="left"/>
      <w:pPr>
        <w:ind w:left="1440" w:hanging="360"/>
      </w:pPr>
    </w:lvl>
    <w:lvl w:ilvl="2" w:tplc="FE3CF306" w:tentative="1">
      <w:start w:val="1"/>
      <w:numFmt w:val="lowerRoman"/>
      <w:lvlText w:val="%3."/>
      <w:lvlJc w:val="right"/>
      <w:pPr>
        <w:ind w:left="2160" w:hanging="180"/>
      </w:pPr>
    </w:lvl>
    <w:lvl w:ilvl="3" w:tplc="B6347878" w:tentative="1">
      <w:start w:val="1"/>
      <w:numFmt w:val="decimal"/>
      <w:lvlText w:val="%4."/>
      <w:lvlJc w:val="left"/>
      <w:pPr>
        <w:ind w:left="2880" w:hanging="360"/>
      </w:pPr>
    </w:lvl>
    <w:lvl w:ilvl="4" w:tplc="FA7AE554" w:tentative="1">
      <w:start w:val="1"/>
      <w:numFmt w:val="lowerLetter"/>
      <w:lvlText w:val="%5."/>
      <w:lvlJc w:val="left"/>
      <w:pPr>
        <w:ind w:left="3600" w:hanging="360"/>
      </w:pPr>
    </w:lvl>
    <w:lvl w:ilvl="5" w:tplc="4C20BA98" w:tentative="1">
      <w:start w:val="1"/>
      <w:numFmt w:val="lowerRoman"/>
      <w:lvlText w:val="%6."/>
      <w:lvlJc w:val="right"/>
      <w:pPr>
        <w:ind w:left="4320" w:hanging="180"/>
      </w:pPr>
    </w:lvl>
    <w:lvl w:ilvl="6" w:tplc="D72EA48E" w:tentative="1">
      <w:start w:val="1"/>
      <w:numFmt w:val="decimal"/>
      <w:lvlText w:val="%7."/>
      <w:lvlJc w:val="left"/>
      <w:pPr>
        <w:ind w:left="5040" w:hanging="360"/>
      </w:pPr>
    </w:lvl>
    <w:lvl w:ilvl="7" w:tplc="619AB3AC" w:tentative="1">
      <w:start w:val="1"/>
      <w:numFmt w:val="lowerLetter"/>
      <w:lvlText w:val="%8."/>
      <w:lvlJc w:val="left"/>
      <w:pPr>
        <w:ind w:left="5760" w:hanging="360"/>
      </w:pPr>
    </w:lvl>
    <w:lvl w:ilvl="8" w:tplc="82625942" w:tentative="1">
      <w:start w:val="1"/>
      <w:numFmt w:val="lowerRoman"/>
      <w:lvlText w:val="%9."/>
      <w:lvlJc w:val="right"/>
      <w:pPr>
        <w:ind w:left="6480" w:hanging="180"/>
      </w:pPr>
    </w:lvl>
  </w:abstractNum>
  <w:abstractNum w:abstractNumId="15" w15:restartNumberingAfterBreak="0">
    <w:nsid w:val="10F70A20"/>
    <w:multiLevelType w:val="hybridMultilevel"/>
    <w:tmpl w:val="3AD68A96"/>
    <w:lvl w:ilvl="0" w:tplc="2AD0F442">
      <w:numFmt w:val="bullet"/>
      <w:lvlText w:val="-"/>
      <w:lvlJc w:val="left"/>
      <w:pPr>
        <w:ind w:left="1080" w:hanging="360"/>
      </w:pPr>
      <w:rPr>
        <w:rFonts w:ascii="Times New Roman" w:eastAsia="Times New Roman" w:hAnsi="Times New Roman" w:cs="Times New Roman" w:hint="default"/>
      </w:rPr>
    </w:lvl>
    <w:lvl w:ilvl="1" w:tplc="17BCD87E">
      <w:start w:val="1"/>
      <w:numFmt w:val="bullet"/>
      <w:lvlText w:val="o"/>
      <w:lvlJc w:val="left"/>
      <w:pPr>
        <w:ind w:left="1800" w:hanging="360"/>
      </w:pPr>
      <w:rPr>
        <w:rFonts w:ascii="Courier New" w:hAnsi="Courier New" w:cs="Courier New" w:hint="default"/>
      </w:rPr>
    </w:lvl>
    <w:lvl w:ilvl="2" w:tplc="14B25692" w:tentative="1">
      <w:start w:val="1"/>
      <w:numFmt w:val="bullet"/>
      <w:lvlText w:val=""/>
      <w:lvlJc w:val="left"/>
      <w:pPr>
        <w:ind w:left="2520" w:hanging="360"/>
      </w:pPr>
      <w:rPr>
        <w:rFonts w:ascii="Wingdings" w:hAnsi="Wingdings" w:hint="default"/>
      </w:rPr>
    </w:lvl>
    <w:lvl w:ilvl="3" w:tplc="B642AFF6" w:tentative="1">
      <w:start w:val="1"/>
      <w:numFmt w:val="bullet"/>
      <w:lvlText w:val=""/>
      <w:lvlJc w:val="left"/>
      <w:pPr>
        <w:ind w:left="3240" w:hanging="360"/>
      </w:pPr>
      <w:rPr>
        <w:rFonts w:ascii="Symbol" w:hAnsi="Symbol" w:hint="default"/>
      </w:rPr>
    </w:lvl>
    <w:lvl w:ilvl="4" w:tplc="02025BEE" w:tentative="1">
      <w:start w:val="1"/>
      <w:numFmt w:val="bullet"/>
      <w:lvlText w:val="o"/>
      <w:lvlJc w:val="left"/>
      <w:pPr>
        <w:ind w:left="3960" w:hanging="360"/>
      </w:pPr>
      <w:rPr>
        <w:rFonts w:ascii="Courier New" w:hAnsi="Courier New" w:cs="Courier New" w:hint="default"/>
      </w:rPr>
    </w:lvl>
    <w:lvl w:ilvl="5" w:tplc="535ECDCA" w:tentative="1">
      <w:start w:val="1"/>
      <w:numFmt w:val="bullet"/>
      <w:lvlText w:val=""/>
      <w:lvlJc w:val="left"/>
      <w:pPr>
        <w:ind w:left="4680" w:hanging="360"/>
      </w:pPr>
      <w:rPr>
        <w:rFonts w:ascii="Wingdings" w:hAnsi="Wingdings" w:hint="default"/>
      </w:rPr>
    </w:lvl>
    <w:lvl w:ilvl="6" w:tplc="7382D8D8" w:tentative="1">
      <w:start w:val="1"/>
      <w:numFmt w:val="bullet"/>
      <w:lvlText w:val=""/>
      <w:lvlJc w:val="left"/>
      <w:pPr>
        <w:ind w:left="5400" w:hanging="360"/>
      </w:pPr>
      <w:rPr>
        <w:rFonts w:ascii="Symbol" w:hAnsi="Symbol" w:hint="default"/>
      </w:rPr>
    </w:lvl>
    <w:lvl w:ilvl="7" w:tplc="533CA3EE" w:tentative="1">
      <w:start w:val="1"/>
      <w:numFmt w:val="bullet"/>
      <w:lvlText w:val="o"/>
      <w:lvlJc w:val="left"/>
      <w:pPr>
        <w:ind w:left="6120" w:hanging="360"/>
      </w:pPr>
      <w:rPr>
        <w:rFonts w:ascii="Courier New" w:hAnsi="Courier New" w:cs="Courier New" w:hint="default"/>
      </w:rPr>
    </w:lvl>
    <w:lvl w:ilvl="8" w:tplc="7E8E9F1C" w:tentative="1">
      <w:start w:val="1"/>
      <w:numFmt w:val="bullet"/>
      <w:lvlText w:val=""/>
      <w:lvlJc w:val="left"/>
      <w:pPr>
        <w:ind w:left="6840" w:hanging="360"/>
      </w:pPr>
      <w:rPr>
        <w:rFonts w:ascii="Wingdings" w:hAnsi="Wingdings" w:hint="default"/>
      </w:rPr>
    </w:lvl>
  </w:abstractNum>
  <w:abstractNum w:abstractNumId="16" w15:restartNumberingAfterBreak="0">
    <w:nsid w:val="11180650"/>
    <w:multiLevelType w:val="hybridMultilevel"/>
    <w:tmpl w:val="C2165144"/>
    <w:lvl w:ilvl="0" w:tplc="53EE4AF6">
      <w:start w:val="1"/>
      <w:numFmt w:val="bullet"/>
      <w:lvlText w:val=""/>
      <w:lvlJc w:val="left"/>
      <w:pPr>
        <w:ind w:left="720" w:hanging="360"/>
      </w:pPr>
      <w:rPr>
        <w:rFonts w:ascii="Symbol" w:hAnsi="Symbol" w:hint="default"/>
      </w:rPr>
    </w:lvl>
    <w:lvl w:ilvl="1" w:tplc="44303C8E" w:tentative="1">
      <w:start w:val="1"/>
      <w:numFmt w:val="bullet"/>
      <w:lvlText w:val="o"/>
      <w:lvlJc w:val="left"/>
      <w:pPr>
        <w:ind w:left="1440" w:hanging="360"/>
      </w:pPr>
      <w:rPr>
        <w:rFonts w:ascii="Courier New" w:hAnsi="Courier New" w:cs="Courier New" w:hint="default"/>
      </w:rPr>
    </w:lvl>
    <w:lvl w:ilvl="2" w:tplc="9F529998" w:tentative="1">
      <w:start w:val="1"/>
      <w:numFmt w:val="bullet"/>
      <w:lvlText w:val=""/>
      <w:lvlJc w:val="left"/>
      <w:pPr>
        <w:ind w:left="2160" w:hanging="360"/>
      </w:pPr>
      <w:rPr>
        <w:rFonts w:ascii="Wingdings" w:hAnsi="Wingdings" w:hint="default"/>
      </w:rPr>
    </w:lvl>
    <w:lvl w:ilvl="3" w:tplc="EABE3980" w:tentative="1">
      <w:start w:val="1"/>
      <w:numFmt w:val="bullet"/>
      <w:lvlText w:val=""/>
      <w:lvlJc w:val="left"/>
      <w:pPr>
        <w:ind w:left="2880" w:hanging="360"/>
      </w:pPr>
      <w:rPr>
        <w:rFonts w:ascii="Symbol" w:hAnsi="Symbol" w:hint="default"/>
      </w:rPr>
    </w:lvl>
    <w:lvl w:ilvl="4" w:tplc="4804252E" w:tentative="1">
      <w:start w:val="1"/>
      <w:numFmt w:val="bullet"/>
      <w:lvlText w:val="o"/>
      <w:lvlJc w:val="left"/>
      <w:pPr>
        <w:ind w:left="3600" w:hanging="360"/>
      </w:pPr>
      <w:rPr>
        <w:rFonts w:ascii="Courier New" w:hAnsi="Courier New" w:cs="Courier New" w:hint="default"/>
      </w:rPr>
    </w:lvl>
    <w:lvl w:ilvl="5" w:tplc="D48EE48E" w:tentative="1">
      <w:start w:val="1"/>
      <w:numFmt w:val="bullet"/>
      <w:lvlText w:val=""/>
      <w:lvlJc w:val="left"/>
      <w:pPr>
        <w:ind w:left="4320" w:hanging="360"/>
      </w:pPr>
      <w:rPr>
        <w:rFonts w:ascii="Wingdings" w:hAnsi="Wingdings" w:hint="default"/>
      </w:rPr>
    </w:lvl>
    <w:lvl w:ilvl="6" w:tplc="96723A50" w:tentative="1">
      <w:start w:val="1"/>
      <w:numFmt w:val="bullet"/>
      <w:lvlText w:val=""/>
      <w:lvlJc w:val="left"/>
      <w:pPr>
        <w:ind w:left="5040" w:hanging="360"/>
      </w:pPr>
      <w:rPr>
        <w:rFonts w:ascii="Symbol" w:hAnsi="Symbol" w:hint="default"/>
      </w:rPr>
    </w:lvl>
    <w:lvl w:ilvl="7" w:tplc="727EDBD6" w:tentative="1">
      <w:start w:val="1"/>
      <w:numFmt w:val="bullet"/>
      <w:lvlText w:val="o"/>
      <w:lvlJc w:val="left"/>
      <w:pPr>
        <w:ind w:left="5760" w:hanging="360"/>
      </w:pPr>
      <w:rPr>
        <w:rFonts w:ascii="Courier New" w:hAnsi="Courier New" w:cs="Courier New" w:hint="default"/>
      </w:rPr>
    </w:lvl>
    <w:lvl w:ilvl="8" w:tplc="491876DA" w:tentative="1">
      <w:start w:val="1"/>
      <w:numFmt w:val="bullet"/>
      <w:lvlText w:val=""/>
      <w:lvlJc w:val="left"/>
      <w:pPr>
        <w:ind w:left="6480" w:hanging="360"/>
      </w:pPr>
      <w:rPr>
        <w:rFonts w:ascii="Wingdings" w:hAnsi="Wingdings" w:hint="default"/>
      </w:rPr>
    </w:lvl>
  </w:abstractNum>
  <w:abstractNum w:abstractNumId="17" w15:restartNumberingAfterBreak="0">
    <w:nsid w:val="164D441C"/>
    <w:multiLevelType w:val="hybridMultilevel"/>
    <w:tmpl w:val="6BCC0BE8"/>
    <w:lvl w:ilvl="0" w:tplc="28709688">
      <w:start w:val="1"/>
      <w:numFmt w:val="bullet"/>
      <w:lvlText w:val=""/>
      <w:lvlJc w:val="left"/>
      <w:pPr>
        <w:ind w:left="720" w:hanging="360"/>
      </w:pPr>
      <w:rPr>
        <w:rFonts w:ascii="Symbol" w:hAnsi="Symbol" w:hint="default"/>
      </w:rPr>
    </w:lvl>
    <w:lvl w:ilvl="1" w:tplc="4F64498E">
      <w:start w:val="1"/>
      <w:numFmt w:val="bullet"/>
      <w:lvlText w:val="o"/>
      <w:lvlJc w:val="left"/>
      <w:pPr>
        <w:ind w:left="1440" w:hanging="360"/>
      </w:pPr>
      <w:rPr>
        <w:rFonts w:ascii="Courier New" w:hAnsi="Courier New" w:cs="Courier New" w:hint="default"/>
      </w:rPr>
    </w:lvl>
    <w:lvl w:ilvl="2" w:tplc="2610BD3A">
      <w:start w:val="1"/>
      <w:numFmt w:val="bullet"/>
      <w:lvlText w:val=""/>
      <w:lvlJc w:val="left"/>
      <w:pPr>
        <w:ind w:left="2160" w:hanging="360"/>
      </w:pPr>
      <w:rPr>
        <w:rFonts w:ascii="Wingdings" w:hAnsi="Wingdings" w:hint="default"/>
      </w:rPr>
    </w:lvl>
    <w:lvl w:ilvl="3" w:tplc="EAD69182">
      <w:start w:val="1"/>
      <w:numFmt w:val="bullet"/>
      <w:lvlText w:val=""/>
      <w:lvlJc w:val="left"/>
      <w:pPr>
        <w:ind w:left="2880" w:hanging="360"/>
      </w:pPr>
      <w:rPr>
        <w:rFonts w:ascii="Symbol" w:hAnsi="Symbol" w:hint="default"/>
      </w:rPr>
    </w:lvl>
    <w:lvl w:ilvl="4" w:tplc="C3FAC8B6">
      <w:start w:val="1"/>
      <w:numFmt w:val="bullet"/>
      <w:lvlText w:val="o"/>
      <w:lvlJc w:val="left"/>
      <w:pPr>
        <w:ind w:left="3600" w:hanging="360"/>
      </w:pPr>
      <w:rPr>
        <w:rFonts w:ascii="Courier New" w:hAnsi="Courier New" w:cs="Courier New" w:hint="default"/>
      </w:rPr>
    </w:lvl>
    <w:lvl w:ilvl="5" w:tplc="7BB2D55E">
      <w:start w:val="1"/>
      <w:numFmt w:val="bullet"/>
      <w:lvlText w:val=""/>
      <w:lvlJc w:val="left"/>
      <w:pPr>
        <w:ind w:left="4320" w:hanging="360"/>
      </w:pPr>
      <w:rPr>
        <w:rFonts w:ascii="Wingdings" w:hAnsi="Wingdings" w:hint="default"/>
      </w:rPr>
    </w:lvl>
    <w:lvl w:ilvl="6" w:tplc="F02EB9A4">
      <w:start w:val="1"/>
      <w:numFmt w:val="bullet"/>
      <w:lvlText w:val=""/>
      <w:lvlJc w:val="left"/>
      <w:pPr>
        <w:ind w:left="5040" w:hanging="360"/>
      </w:pPr>
      <w:rPr>
        <w:rFonts w:ascii="Symbol" w:hAnsi="Symbol" w:hint="default"/>
      </w:rPr>
    </w:lvl>
    <w:lvl w:ilvl="7" w:tplc="4CC23240">
      <w:start w:val="1"/>
      <w:numFmt w:val="bullet"/>
      <w:lvlText w:val="o"/>
      <w:lvlJc w:val="left"/>
      <w:pPr>
        <w:ind w:left="5760" w:hanging="360"/>
      </w:pPr>
      <w:rPr>
        <w:rFonts w:ascii="Courier New" w:hAnsi="Courier New" w:cs="Courier New" w:hint="default"/>
      </w:rPr>
    </w:lvl>
    <w:lvl w:ilvl="8" w:tplc="0BF07394">
      <w:start w:val="1"/>
      <w:numFmt w:val="bullet"/>
      <w:lvlText w:val=""/>
      <w:lvlJc w:val="left"/>
      <w:pPr>
        <w:ind w:left="6480" w:hanging="360"/>
      </w:pPr>
      <w:rPr>
        <w:rFonts w:ascii="Wingdings" w:hAnsi="Wingdings" w:hint="default"/>
      </w:rPr>
    </w:lvl>
  </w:abstractNum>
  <w:abstractNum w:abstractNumId="18" w15:restartNumberingAfterBreak="0">
    <w:nsid w:val="18A11B89"/>
    <w:multiLevelType w:val="hybridMultilevel"/>
    <w:tmpl w:val="ECD67F78"/>
    <w:lvl w:ilvl="0" w:tplc="08868038">
      <w:start w:val="1"/>
      <w:numFmt w:val="decimal"/>
      <w:lvlText w:val="%1."/>
      <w:lvlJc w:val="left"/>
      <w:pPr>
        <w:ind w:left="720" w:hanging="360"/>
      </w:pPr>
      <w:rPr>
        <w:rFonts w:hint="default"/>
      </w:rPr>
    </w:lvl>
    <w:lvl w:ilvl="1" w:tplc="435C736E" w:tentative="1">
      <w:start w:val="1"/>
      <w:numFmt w:val="lowerLetter"/>
      <w:lvlText w:val="%2."/>
      <w:lvlJc w:val="left"/>
      <w:pPr>
        <w:ind w:left="1440" w:hanging="360"/>
      </w:pPr>
    </w:lvl>
    <w:lvl w:ilvl="2" w:tplc="DCCAE8E0" w:tentative="1">
      <w:start w:val="1"/>
      <w:numFmt w:val="lowerRoman"/>
      <w:lvlText w:val="%3."/>
      <w:lvlJc w:val="right"/>
      <w:pPr>
        <w:ind w:left="2160" w:hanging="180"/>
      </w:pPr>
    </w:lvl>
    <w:lvl w:ilvl="3" w:tplc="824E87A8" w:tentative="1">
      <w:start w:val="1"/>
      <w:numFmt w:val="decimal"/>
      <w:lvlText w:val="%4."/>
      <w:lvlJc w:val="left"/>
      <w:pPr>
        <w:ind w:left="2880" w:hanging="360"/>
      </w:pPr>
    </w:lvl>
    <w:lvl w:ilvl="4" w:tplc="D69CD44E" w:tentative="1">
      <w:start w:val="1"/>
      <w:numFmt w:val="lowerLetter"/>
      <w:lvlText w:val="%5."/>
      <w:lvlJc w:val="left"/>
      <w:pPr>
        <w:ind w:left="3600" w:hanging="360"/>
      </w:pPr>
    </w:lvl>
    <w:lvl w:ilvl="5" w:tplc="2E38989E" w:tentative="1">
      <w:start w:val="1"/>
      <w:numFmt w:val="lowerRoman"/>
      <w:lvlText w:val="%6."/>
      <w:lvlJc w:val="right"/>
      <w:pPr>
        <w:ind w:left="4320" w:hanging="180"/>
      </w:pPr>
    </w:lvl>
    <w:lvl w:ilvl="6" w:tplc="55562F6E" w:tentative="1">
      <w:start w:val="1"/>
      <w:numFmt w:val="decimal"/>
      <w:lvlText w:val="%7."/>
      <w:lvlJc w:val="left"/>
      <w:pPr>
        <w:ind w:left="5040" w:hanging="360"/>
      </w:pPr>
    </w:lvl>
    <w:lvl w:ilvl="7" w:tplc="1B6420B4" w:tentative="1">
      <w:start w:val="1"/>
      <w:numFmt w:val="lowerLetter"/>
      <w:lvlText w:val="%8."/>
      <w:lvlJc w:val="left"/>
      <w:pPr>
        <w:ind w:left="5760" w:hanging="360"/>
      </w:pPr>
    </w:lvl>
    <w:lvl w:ilvl="8" w:tplc="023402F0" w:tentative="1">
      <w:start w:val="1"/>
      <w:numFmt w:val="lowerRoman"/>
      <w:lvlText w:val="%9."/>
      <w:lvlJc w:val="right"/>
      <w:pPr>
        <w:ind w:left="6480" w:hanging="180"/>
      </w:pPr>
    </w:lvl>
  </w:abstractNum>
  <w:abstractNum w:abstractNumId="19" w15:restartNumberingAfterBreak="0">
    <w:nsid w:val="1E153C81"/>
    <w:multiLevelType w:val="hybridMultilevel"/>
    <w:tmpl w:val="B4BC1B50"/>
    <w:lvl w:ilvl="0" w:tplc="6CE622DE">
      <w:start w:val="1"/>
      <w:numFmt w:val="bullet"/>
      <w:lvlText w:val=""/>
      <w:lvlJc w:val="left"/>
      <w:pPr>
        <w:ind w:left="720" w:hanging="360"/>
      </w:pPr>
      <w:rPr>
        <w:rFonts w:ascii="Symbol" w:hAnsi="Symbol" w:hint="default"/>
      </w:rPr>
    </w:lvl>
    <w:lvl w:ilvl="1" w:tplc="23A4CD58" w:tentative="1">
      <w:start w:val="1"/>
      <w:numFmt w:val="bullet"/>
      <w:lvlText w:val="o"/>
      <w:lvlJc w:val="left"/>
      <w:pPr>
        <w:ind w:left="1440" w:hanging="360"/>
      </w:pPr>
      <w:rPr>
        <w:rFonts w:ascii="Courier New" w:hAnsi="Courier New" w:cs="Courier New" w:hint="default"/>
      </w:rPr>
    </w:lvl>
    <w:lvl w:ilvl="2" w:tplc="55040834" w:tentative="1">
      <w:start w:val="1"/>
      <w:numFmt w:val="bullet"/>
      <w:lvlText w:val=""/>
      <w:lvlJc w:val="left"/>
      <w:pPr>
        <w:ind w:left="2160" w:hanging="360"/>
      </w:pPr>
      <w:rPr>
        <w:rFonts w:ascii="Wingdings" w:hAnsi="Wingdings" w:hint="default"/>
      </w:rPr>
    </w:lvl>
    <w:lvl w:ilvl="3" w:tplc="259642D6" w:tentative="1">
      <w:start w:val="1"/>
      <w:numFmt w:val="bullet"/>
      <w:lvlText w:val=""/>
      <w:lvlJc w:val="left"/>
      <w:pPr>
        <w:ind w:left="2880" w:hanging="360"/>
      </w:pPr>
      <w:rPr>
        <w:rFonts w:ascii="Symbol" w:hAnsi="Symbol" w:hint="default"/>
      </w:rPr>
    </w:lvl>
    <w:lvl w:ilvl="4" w:tplc="58809F32" w:tentative="1">
      <w:start w:val="1"/>
      <w:numFmt w:val="bullet"/>
      <w:lvlText w:val="o"/>
      <w:lvlJc w:val="left"/>
      <w:pPr>
        <w:ind w:left="3600" w:hanging="360"/>
      </w:pPr>
      <w:rPr>
        <w:rFonts w:ascii="Courier New" w:hAnsi="Courier New" w:cs="Courier New" w:hint="default"/>
      </w:rPr>
    </w:lvl>
    <w:lvl w:ilvl="5" w:tplc="AF225BF6" w:tentative="1">
      <w:start w:val="1"/>
      <w:numFmt w:val="bullet"/>
      <w:lvlText w:val=""/>
      <w:lvlJc w:val="left"/>
      <w:pPr>
        <w:ind w:left="4320" w:hanging="360"/>
      </w:pPr>
      <w:rPr>
        <w:rFonts w:ascii="Wingdings" w:hAnsi="Wingdings" w:hint="default"/>
      </w:rPr>
    </w:lvl>
    <w:lvl w:ilvl="6" w:tplc="704A4262" w:tentative="1">
      <w:start w:val="1"/>
      <w:numFmt w:val="bullet"/>
      <w:lvlText w:val=""/>
      <w:lvlJc w:val="left"/>
      <w:pPr>
        <w:ind w:left="5040" w:hanging="360"/>
      </w:pPr>
      <w:rPr>
        <w:rFonts w:ascii="Symbol" w:hAnsi="Symbol" w:hint="default"/>
      </w:rPr>
    </w:lvl>
    <w:lvl w:ilvl="7" w:tplc="25B05F0A" w:tentative="1">
      <w:start w:val="1"/>
      <w:numFmt w:val="bullet"/>
      <w:lvlText w:val="o"/>
      <w:lvlJc w:val="left"/>
      <w:pPr>
        <w:ind w:left="5760" w:hanging="360"/>
      </w:pPr>
      <w:rPr>
        <w:rFonts w:ascii="Courier New" w:hAnsi="Courier New" w:cs="Courier New" w:hint="default"/>
      </w:rPr>
    </w:lvl>
    <w:lvl w:ilvl="8" w:tplc="58BCB322" w:tentative="1">
      <w:start w:val="1"/>
      <w:numFmt w:val="bullet"/>
      <w:lvlText w:val=""/>
      <w:lvlJc w:val="left"/>
      <w:pPr>
        <w:ind w:left="6480" w:hanging="360"/>
      </w:pPr>
      <w:rPr>
        <w:rFonts w:ascii="Wingdings" w:hAnsi="Wingdings" w:hint="default"/>
      </w:rPr>
    </w:lvl>
  </w:abstractNum>
  <w:abstractNum w:abstractNumId="20" w15:restartNumberingAfterBreak="0">
    <w:nsid w:val="1EC051EA"/>
    <w:multiLevelType w:val="hybridMultilevel"/>
    <w:tmpl w:val="709CAB64"/>
    <w:lvl w:ilvl="0" w:tplc="45FA1842">
      <w:numFmt w:val="bullet"/>
      <w:lvlText w:val="-"/>
      <w:lvlJc w:val="left"/>
      <w:pPr>
        <w:ind w:left="720" w:hanging="360"/>
      </w:pPr>
      <w:rPr>
        <w:rFonts w:ascii="Times New Roman" w:eastAsia="Times New Roman" w:hAnsi="Times New Roman" w:cs="Times New Roman" w:hint="default"/>
        <w:b w:val="0"/>
      </w:rPr>
    </w:lvl>
    <w:lvl w:ilvl="1" w:tplc="F9246A56" w:tentative="1">
      <w:start w:val="1"/>
      <w:numFmt w:val="bullet"/>
      <w:lvlText w:val="o"/>
      <w:lvlJc w:val="left"/>
      <w:pPr>
        <w:ind w:left="1440" w:hanging="360"/>
      </w:pPr>
      <w:rPr>
        <w:rFonts w:ascii="Courier New" w:hAnsi="Courier New" w:cs="Courier New" w:hint="default"/>
      </w:rPr>
    </w:lvl>
    <w:lvl w:ilvl="2" w:tplc="DD2C656A" w:tentative="1">
      <w:start w:val="1"/>
      <w:numFmt w:val="bullet"/>
      <w:lvlText w:val=""/>
      <w:lvlJc w:val="left"/>
      <w:pPr>
        <w:ind w:left="2160" w:hanging="360"/>
      </w:pPr>
      <w:rPr>
        <w:rFonts w:ascii="Wingdings" w:hAnsi="Wingdings" w:hint="default"/>
      </w:rPr>
    </w:lvl>
    <w:lvl w:ilvl="3" w:tplc="F8BA9530" w:tentative="1">
      <w:start w:val="1"/>
      <w:numFmt w:val="bullet"/>
      <w:lvlText w:val=""/>
      <w:lvlJc w:val="left"/>
      <w:pPr>
        <w:ind w:left="2880" w:hanging="360"/>
      </w:pPr>
      <w:rPr>
        <w:rFonts w:ascii="Symbol" w:hAnsi="Symbol" w:hint="default"/>
      </w:rPr>
    </w:lvl>
    <w:lvl w:ilvl="4" w:tplc="ECC254D2" w:tentative="1">
      <w:start w:val="1"/>
      <w:numFmt w:val="bullet"/>
      <w:lvlText w:val="o"/>
      <w:lvlJc w:val="left"/>
      <w:pPr>
        <w:ind w:left="3600" w:hanging="360"/>
      </w:pPr>
      <w:rPr>
        <w:rFonts w:ascii="Courier New" w:hAnsi="Courier New" w:cs="Courier New" w:hint="default"/>
      </w:rPr>
    </w:lvl>
    <w:lvl w:ilvl="5" w:tplc="6B24DB22" w:tentative="1">
      <w:start w:val="1"/>
      <w:numFmt w:val="bullet"/>
      <w:lvlText w:val=""/>
      <w:lvlJc w:val="left"/>
      <w:pPr>
        <w:ind w:left="4320" w:hanging="360"/>
      </w:pPr>
      <w:rPr>
        <w:rFonts w:ascii="Wingdings" w:hAnsi="Wingdings" w:hint="default"/>
      </w:rPr>
    </w:lvl>
    <w:lvl w:ilvl="6" w:tplc="4152611E" w:tentative="1">
      <w:start w:val="1"/>
      <w:numFmt w:val="bullet"/>
      <w:lvlText w:val=""/>
      <w:lvlJc w:val="left"/>
      <w:pPr>
        <w:ind w:left="5040" w:hanging="360"/>
      </w:pPr>
      <w:rPr>
        <w:rFonts w:ascii="Symbol" w:hAnsi="Symbol" w:hint="default"/>
      </w:rPr>
    </w:lvl>
    <w:lvl w:ilvl="7" w:tplc="395CE5A6" w:tentative="1">
      <w:start w:val="1"/>
      <w:numFmt w:val="bullet"/>
      <w:lvlText w:val="o"/>
      <w:lvlJc w:val="left"/>
      <w:pPr>
        <w:ind w:left="5760" w:hanging="360"/>
      </w:pPr>
      <w:rPr>
        <w:rFonts w:ascii="Courier New" w:hAnsi="Courier New" w:cs="Courier New" w:hint="default"/>
      </w:rPr>
    </w:lvl>
    <w:lvl w:ilvl="8" w:tplc="C554BB54" w:tentative="1">
      <w:start w:val="1"/>
      <w:numFmt w:val="bullet"/>
      <w:lvlText w:val=""/>
      <w:lvlJc w:val="left"/>
      <w:pPr>
        <w:ind w:left="6480" w:hanging="360"/>
      </w:pPr>
      <w:rPr>
        <w:rFonts w:ascii="Wingdings" w:hAnsi="Wingdings" w:hint="default"/>
      </w:rPr>
    </w:lvl>
  </w:abstractNum>
  <w:abstractNum w:abstractNumId="21" w15:restartNumberingAfterBreak="0">
    <w:nsid w:val="2ED43C67"/>
    <w:multiLevelType w:val="hybridMultilevel"/>
    <w:tmpl w:val="B9D8218C"/>
    <w:lvl w:ilvl="0" w:tplc="08BED5BA">
      <w:start w:val="1"/>
      <w:numFmt w:val="upperLetter"/>
      <w:lvlText w:val="%1."/>
      <w:lvlJc w:val="left"/>
      <w:pPr>
        <w:ind w:left="720" w:hanging="360"/>
      </w:pPr>
      <w:rPr>
        <w:rFonts w:hint="default"/>
      </w:rPr>
    </w:lvl>
    <w:lvl w:ilvl="1" w:tplc="E56CF3FE">
      <w:start w:val="1"/>
      <w:numFmt w:val="decimal"/>
      <w:lvlText w:val="%2."/>
      <w:lvlJc w:val="left"/>
      <w:pPr>
        <w:tabs>
          <w:tab w:val="num" w:pos="1440"/>
        </w:tabs>
        <w:ind w:left="1440" w:hanging="360"/>
      </w:pPr>
      <w:rPr>
        <w:rFonts w:hint="default"/>
      </w:rPr>
    </w:lvl>
    <w:lvl w:ilvl="2" w:tplc="20D05354" w:tentative="1">
      <w:start w:val="1"/>
      <w:numFmt w:val="lowerRoman"/>
      <w:lvlText w:val="%3."/>
      <w:lvlJc w:val="right"/>
      <w:pPr>
        <w:ind w:left="2160" w:hanging="180"/>
      </w:pPr>
    </w:lvl>
    <w:lvl w:ilvl="3" w:tplc="56C4FDC0" w:tentative="1">
      <w:start w:val="1"/>
      <w:numFmt w:val="decimal"/>
      <w:lvlText w:val="%4."/>
      <w:lvlJc w:val="left"/>
      <w:pPr>
        <w:ind w:left="2880" w:hanging="360"/>
      </w:pPr>
    </w:lvl>
    <w:lvl w:ilvl="4" w:tplc="6574A07C" w:tentative="1">
      <w:start w:val="1"/>
      <w:numFmt w:val="lowerLetter"/>
      <w:lvlText w:val="%5."/>
      <w:lvlJc w:val="left"/>
      <w:pPr>
        <w:ind w:left="3600" w:hanging="360"/>
      </w:pPr>
    </w:lvl>
    <w:lvl w:ilvl="5" w:tplc="57CED4AA" w:tentative="1">
      <w:start w:val="1"/>
      <w:numFmt w:val="lowerRoman"/>
      <w:lvlText w:val="%6."/>
      <w:lvlJc w:val="right"/>
      <w:pPr>
        <w:ind w:left="4320" w:hanging="180"/>
      </w:pPr>
    </w:lvl>
    <w:lvl w:ilvl="6" w:tplc="3B8CE57E" w:tentative="1">
      <w:start w:val="1"/>
      <w:numFmt w:val="decimal"/>
      <w:lvlText w:val="%7."/>
      <w:lvlJc w:val="left"/>
      <w:pPr>
        <w:ind w:left="5040" w:hanging="360"/>
      </w:pPr>
    </w:lvl>
    <w:lvl w:ilvl="7" w:tplc="D5CC7C66" w:tentative="1">
      <w:start w:val="1"/>
      <w:numFmt w:val="lowerLetter"/>
      <w:lvlText w:val="%8."/>
      <w:lvlJc w:val="left"/>
      <w:pPr>
        <w:ind w:left="5760" w:hanging="360"/>
      </w:pPr>
    </w:lvl>
    <w:lvl w:ilvl="8" w:tplc="CD66561E" w:tentative="1">
      <w:start w:val="1"/>
      <w:numFmt w:val="lowerRoman"/>
      <w:lvlText w:val="%9."/>
      <w:lvlJc w:val="right"/>
      <w:pPr>
        <w:ind w:left="6480" w:hanging="180"/>
      </w:pPr>
    </w:lvl>
  </w:abstractNum>
  <w:abstractNum w:abstractNumId="22" w15:restartNumberingAfterBreak="0">
    <w:nsid w:val="319A277D"/>
    <w:multiLevelType w:val="hybridMultilevel"/>
    <w:tmpl w:val="58A2B94A"/>
    <w:lvl w:ilvl="0" w:tplc="AB32530C">
      <w:start w:val="1"/>
      <w:numFmt w:val="upperLetter"/>
      <w:lvlText w:val="%1."/>
      <w:lvlJc w:val="left"/>
      <w:pPr>
        <w:ind w:left="720" w:hanging="360"/>
      </w:pPr>
      <w:rPr>
        <w:rFonts w:hint="default"/>
      </w:rPr>
    </w:lvl>
    <w:lvl w:ilvl="1" w:tplc="7F4ADD80" w:tentative="1">
      <w:start w:val="1"/>
      <w:numFmt w:val="lowerLetter"/>
      <w:lvlText w:val="%2."/>
      <w:lvlJc w:val="left"/>
      <w:pPr>
        <w:ind w:left="1440" w:hanging="360"/>
      </w:pPr>
    </w:lvl>
    <w:lvl w:ilvl="2" w:tplc="29784C52" w:tentative="1">
      <w:start w:val="1"/>
      <w:numFmt w:val="lowerRoman"/>
      <w:lvlText w:val="%3."/>
      <w:lvlJc w:val="right"/>
      <w:pPr>
        <w:ind w:left="2160" w:hanging="180"/>
      </w:pPr>
    </w:lvl>
    <w:lvl w:ilvl="3" w:tplc="5582BF30" w:tentative="1">
      <w:start w:val="1"/>
      <w:numFmt w:val="decimal"/>
      <w:lvlText w:val="%4."/>
      <w:lvlJc w:val="left"/>
      <w:pPr>
        <w:ind w:left="2880" w:hanging="360"/>
      </w:pPr>
    </w:lvl>
    <w:lvl w:ilvl="4" w:tplc="3EA0E334" w:tentative="1">
      <w:start w:val="1"/>
      <w:numFmt w:val="lowerLetter"/>
      <w:lvlText w:val="%5."/>
      <w:lvlJc w:val="left"/>
      <w:pPr>
        <w:ind w:left="3600" w:hanging="360"/>
      </w:pPr>
    </w:lvl>
    <w:lvl w:ilvl="5" w:tplc="BDECAEBA" w:tentative="1">
      <w:start w:val="1"/>
      <w:numFmt w:val="lowerRoman"/>
      <w:lvlText w:val="%6."/>
      <w:lvlJc w:val="right"/>
      <w:pPr>
        <w:ind w:left="4320" w:hanging="180"/>
      </w:pPr>
    </w:lvl>
    <w:lvl w:ilvl="6" w:tplc="AECEB06E" w:tentative="1">
      <w:start w:val="1"/>
      <w:numFmt w:val="decimal"/>
      <w:lvlText w:val="%7."/>
      <w:lvlJc w:val="left"/>
      <w:pPr>
        <w:ind w:left="5040" w:hanging="360"/>
      </w:pPr>
    </w:lvl>
    <w:lvl w:ilvl="7" w:tplc="05CEF658" w:tentative="1">
      <w:start w:val="1"/>
      <w:numFmt w:val="lowerLetter"/>
      <w:lvlText w:val="%8."/>
      <w:lvlJc w:val="left"/>
      <w:pPr>
        <w:ind w:left="5760" w:hanging="360"/>
      </w:pPr>
    </w:lvl>
    <w:lvl w:ilvl="8" w:tplc="2A9AC2FC" w:tentative="1">
      <w:start w:val="1"/>
      <w:numFmt w:val="lowerRoman"/>
      <w:lvlText w:val="%9."/>
      <w:lvlJc w:val="right"/>
      <w:pPr>
        <w:ind w:left="6480" w:hanging="180"/>
      </w:pPr>
    </w:lvl>
  </w:abstractNum>
  <w:abstractNum w:abstractNumId="23" w15:restartNumberingAfterBreak="0">
    <w:nsid w:val="38DC1440"/>
    <w:multiLevelType w:val="hybridMultilevel"/>
    <w:tmpl w:val="43F80820"/>
    <w:lvl w:ilvl="0" w:tplc="CB200340">
      <w:start w:val="1"/>
      <w:numFmt w:val="bullet"/>
      <w:lvlText w:val=""/>
      <w:lvlJc w:val="left"/>
      <w:pPr>
        <w:ind w:left="720" w:hanging="360"/>
      </w:pPr>
      <w:rPr>
        <w:rFonts w:ascii="Symbol" w:hAnsi="Symbol" w:hint="default"/>
      </w:rPr>
    </w:lvl>
    <w:lvl w:ilvl="1" w:tplc="ECB69DD6" w:tentative="1">
      <w:start w:val="1"/>
      <w:numFmt w:val="bullet"/>
      <w:lvlText w:val="o"/>
      <w:lvlJc w:val="left"/>
      <w:pPr>
        <w:ind w:left="1440" w:hanging="360"/>
      </w:pPr>
      <w:rPr>
        <w:rFonts w:ascii="Courier New" w:hAnsi="Courier New" w:cs="Courier New" w:hint="default"/>
      </w:rPr>
    </w:lvl>
    <w:lvl w:ilvl="2" w:tplc="94E206BC" w:tentative="1">
      <w:start w:val="1"/>
      <w:numFmt w:val="bullet"/>
      <w:lvlText w:val=""/>
      <w:lvlJc w:val="left"/>
      <w:pPr>
        <w:ind w:left="2160" w:hanging="360"/>
      </w:pPr>
      <w:rPr>
        <w:rFonts w:ascii="Wingdings" w:hAnsi="Wingdings" w:hint="default"/>
      </w:rPr>
    </w:lvl>
    <w:lvl w:ilvl="3" w:tplc="C02E1EB2" w:tentative="1">
      <w:start w:val="1"/>
      <w:numFmt w:val="bullet"/>
      <w:lvlText w:val=""/>
      <w:lvlJc w:val="left"/>
      <w:pPr>
        <w:ind w:left="2880" w:hanging="360"/>
      </w:pPr>
      <w:rPr>
        <w:rFonts w:ascii="Symbol" w:hAnsi="Symbol" w:hint="default"/>
      </w:rPr>
    </w:lvl>
    <w:lvl w:ilvl="4" w:tplc="E752FAE4" w:tentative="1">
      <w:start w:val="1"/>
      <w:numFmt w:val="bullet"/>
      <w:lvlText w:val="o"/>
      <w:lvlJc w:val="left"/>
      <w:pPr>
        <w:ind w:left="3600" w:hanging="360"/>
      </w:pPr>
      <w:rPr>
        <w:rFonts w:ascii="Courier New" w:hAnsi="Courier New" w:cs="Courier New" w:hint="default"/>
      </w:rPr>
    </w:lvl>
    <w:lvl w:ilvl="5" w:tplc="93440942" w:tentative="1">
      <w:start w:val="1"/>
      <w:numFmt w:val="bullet"/>
      <w:lvlText w:val=""/>
      <w:lvlJc w:val="left"/>
      <w:pPr>
        <w:ind w:left="4320" w:hanging="360"/>
      </w:pPr>
      <w:rPr>
        <w:rFonts w:ascii="Wingdings" w:hAnsi="Wingdings" w:hint="default"/>
      </w:rPr>
    </w:lvl>
    <w:lvl w:ilvl="6" w:tplc="ADE4AE30" w:tentative="1">
      <w:start w:val="1"/>
      <w:numFmt w:val="bullet"/>
      <w:lvlText w:val=""/>
      <w:lvlJc w:val="left"/>
      <w:pPr>
        <w:ind w:left="5040" w:hanging="360"/>
      </w:pPr>
      <w:rPr>
        <w:rFonts w:ascii="Symbol" w:hAnsi="Symbol" w:hint="default"/>
      </w:rPr>
    </w:lvl>
    <w:lvl w:ilvl="7" w:tplc="FFDE7340" w:tentative="1">
      <w:start w:val="1"/>
      <w:numFmt w:val="bullet"/>
      <w:lvlText w:val="o"/>
      <w:lvlJc w:val="left"/>
      <w:pPr>
        <w:ind w:left="5760" w:hanging="360"/>
      </w:pPr>
      <w:rPr>
        <w:rFonts w:ascii="Courier New" w:hAnsi="Courier New" w:cs="Courier New" w:hint="default"/>
      </w:rPr>
    </w:lvl>
    <w:lvl w:ilvl="8" w:tplc="EF703352" w:tentative="1">
      <w:start w:val="1"/>
      <w:numFmt w:val="bullet"/>
      <w:lvlText w:val=""/>
      <w:lvlJc w:val="left"/>
      <w:pPr>
        <w:ind w:left="6480" w:hanging="360"/>
      </w:pPr>
      <w:rPr>
        <w:rFonts w:ascii="Wingdings" w:hAnsi="Wingdings" w:hint="default"/>
      </w:rPr>
    </w:lvl>
  </w:abstractNum>
  <w:abstractNum w:abstractNumId="24" w15:restartNumberingAfterBreak="0">
    <w:nsid w:val="46555F88"/>
    <w:multiLevelType w:val="hybridMultilevel"/>
    <w:tmpl w:val="74DA41A0"/>
    <w:lvl w:ilvl="0" w:tplc="E76CD942">
      <w:start w:val="1"/>
      <w:numFmt w:val="bullet"/>
      <w:lvlText w:val="•"/>
      <w:lvlJc w:val="left"/>
      <w:pPr>
        <w:tabs>
          <w:tab w:val="num" w:pos="720"/>
        </w:tabs>
        <w:ind w:left="720" w:hanging="360"/>
      </w:pPr>
      <w:rPr>
        <w:rFonts w:ascii="Arial" w:hAnsi="Arial" w:hint="default"/>
      </w:rPr>
    </w:lvl>
    <w:lvl w:ilvl="1" w:tplc="68D632BE" w:tentative="1">
      <w:start w:val="1"/>
      <w:numFmt w:val="bullet"/>
      <w:lvlText w:val="•"/>
      <w:lvlJc w:val="left"/>
      <w:pPr>
        <w:tabs>
          <w:tab w:val="num" w:pos="1440"/>
        </w:tabs>
        <w:ind w:left="1440" w:hanging="360"/>
      </w:pPr>
      <w:rPr>
        <w:rFonts w:ascii="Arial" w:hAnsi="Arial" w:hint="default"/>
      </w:rPr>
    </w:lvl>
    <w:lvl w:ilvl="2" w:tplc="0E24CFCC" w:tentative="1">
      <w:start w:val="1"/>
      <w:numFmt w:val="bullet"/>
      <w:lvlText w:val="•"/>
      <w:lvlJc w:val="left"/>
      <w:pPr>
        <w:tabs>
          <w:tab w:val="num" w:pos="2160"/>
        </w:tabs>
        <w:ind w:left="2160" w:hanging="360"/>
      </w:pPr>
      <w:rPr>
        <w:rFonts w:ascii="Arial" w:hAnsi="Arial" w:hint="default"/>
      </w:rPr>
    </w:lvl>
    <w:lvl w:ilvl="3" w:tplc="43B26476" w:tentative="1">
      <w:start w:val="1"/>
      <w:numFmt w:val="bullet"/>
      <w:lvlText w:val="•"/>
      <w:lvlJc w:val="left"/>
      <w:pPr>
        <w:tabs>
          <w:tab w:val="num" w:pos="2880"/>
        </w:tabs>
        <w:ind w:left="2880" w:hanging="360"/>
      </w:pPr>
      <w:rPr>
        <w:rFonts w:ascii="Arial" w:hAnsi="Arial" w:hint="default"/>
      </w:rPr>
    </w:lvl>
    <w:lvl w:ilvl="4" w:tplc="984E8A20" w:tentative="1">
      <w:start w:val="1"/>
      <w:numFmt w:val="bullet"/>
      <w:lvlText w:val="•"/>
      <w:lvlJc w:val="left"/>
      <w:pPr>
        <w:tabs>
          <w:tab w:val="num" w:pos="3600"/>
        </w:tabs>
        <w:ind w:left="3600" w:hanging="360"/>
      </w:pPr>
      <w:rPr>
        <w:rFonts w:ascii="Arial" w:hAnsi="Arial" w:hint="default"/>
      </w:rPr>
    </w:lvl>
    <w:lvl w:ilvl="5" w:tplc="7004CE5A" w:tentative="1">
      <w:start w:val="1"/>
      <w:numFmt w:val="bullet"/>
      <w:lvlText w:val="•"/>
      <w:lvlJc w:val="left"/>
      <w:pPr>
        <w:tabs>
          <w:tab w:val="num" w:pos="4320"/>
        </w:tabs>
        <w:ind w:left="4320" w:hanging="360"/>
      </w:pPr>
      <w:rPr>
        <w:rFonts w:ascii="Arial" w:hAnsi="Arial" w:hint="default"/>
      </w:rPr>
    </w:lvl>
    <w:lvl w:ilvl="6" w:tplc="F1F62F08" w:tentative="1">
      <w:start w:val="1"/>
      <w:numFmt w:val="bullet"/>
      <w:lvlText w:val="•"/>
      <w:lvlJc w:val="left"/>
      <w:pPr>
        <w:tabs>
          <w:tab w:val="num" w:pos="5040"/>
        </w:tabs>
        <w:ind w:left="5040" w:hanging="360"/>
      </w:pPr>
      <w:rPr>
        <w:rFonts w:ascii="Arial" w:hAnsi="Arial" w:hint="default"/>
      </w:rPr>
    </w:lvl>
    <w:lvl w:ilvl="7" w:tplc="9B4C1E28" w:tentative="1">
      <w:start w:val="1"/>
      <w:numFmt w:val="bullet"/>
      <w:lvlText w:val="•"/>
      <w:lvlJc w:val="left"/>
      <w:pPr>
        <w:tabs>
          <w:tab w:val="num" w:pos="5760"/>
        </w:tabs>
        <w:ind w:left="5760" w:hanging="360"/>
      </w:pPr>
      <w:rPr>
        <w:rFonts w:ascii="Arial" w:hAnsi="Arial" w:hint="default"/>
      </w:rPr>
    </w:lvl>
    <w:lvl w:ilvl="8" w:tplc="6B20386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7577DC4"/>
    <w:multiLevelType w:val="hybridMultilevel"/>
    <w:tmpl w:val="6DC476D2"/>
    <w:lvl w:ilvl="0" w:tplc="DD3E2112">
      <w:start w:val="1"/>
      <w:numFmt w:val="decimal"/>
      <w:lvlText w:val="%1."/>
      <w:lvlJc w:val="left"/>
      <w:pPr>
        <w:ind w:left="720" w:hanging="360"/>
      </w:pPr>
      <w:rPr>
        <w:color w:val="FF0000"/>
      </w:rPr>
    </w:lvl>
    <w:lvl w:ilvl="1" w:tplc="F85C778C" w:tentative="1">
      <w:start w:val="1"/>
      <w:numFmt w:val="lowerLetter"/>
      <w:lvlText w:val="%2."/>
      <w:lvlJc w:val="left"/>
      <w:pPr>
        <w:ind w:left="1440" w:hanging="360"/>
      </w:pPr>
    </w:lvl>
    <w:lvl w:ilvl="2" w:tplc="B636D406" w:tentative="1">
      <w:start w:val="1"/>
      <w:numFmt w:val="lowerRoman"/>
      <w:lvlText w:val="%3."/>
      <w:lvlJc w:val="right"/>
      <w:pPr>
        <w:ind w:left="2160" w:hanging="180"/>
      </w:pPr>
    </w:lvl>
    <w:lvl w:ilvl="3" w:tplc="65DCFE68" w:tentative="1">
      <w:start w:val="1"/>
      <w:numFmt w:val="decimal"/>
      <w:lvlText w:val="%4."/>
      <w:lvlJc w:val="left"/>
      <w:pPr>
        <w:ind w:left="2880" w:hanging="360"/>
      </w:pPr>
    </w:lvl>
    <w:lvl w:ilvl="4" w:tplc="808CE4C0" w:tentative="1">
      <w:start w:val="1"/>
      <w:numFmt w:val="lowerLetter"/>
      <w:lvlText w:val="%5."/>
      <w:lvlJc w:val="left"/>
      <w:pPr>
        <w:ind w:left="3600" w:hanging="360"/>
      </w:pPr>
    </w:lvl>
    <w:lvl w:ilvl="5" w:tplc="5424469C" w:tentative="1">
      <w:start w:val="1"/>
      <w:numFmt w:val="lowerRoman"/>
      <w:lvlText w:val="%6."/>
      <w:lvlJc w:val="right"/>
      <w:pPr>
        <w:ind w:left="4320" w:hanging="180"/>
      </w:pPr>
    </w:lvl>
    <w:lvl w:ilvl="6" w:tplc="30B61494" w:tentative="1">
      <w:start w:val="1"/>
      <w:numFmt w:val="decimal"/>
      <w:lvlText w:val="%7."/>
      <w:lvlJc w:val="left"/>
      <w:pPr>
        <w:ind w:left="5040" w:hanging="360"/>
      </w:pPr>
    </w:lvl>
    <w:lvl w:ilvl="7" w:tplc="C15A335A" w:tentative="1">
      <w:start w:val="1"/>
      <w:numFmt w:val="lowerLetter"/>
      <w:lvlText w:val="%8."/>
      <w:lvlJc w:val="left"/>
      <w:pPr>
        <w:ind w:left="5760" w:hanging="360"/>
      </w:pPr>
    </w:lvl>
    <w:lvl w:ilvl="8" w:tplc="641CF9D8" w:tentative="1">
      <w:start w:val="1"/>
      <w:numFmt w:val="lowerRoman"/>
      <w:lvlText w:val="%9."/>
      <w:lvlJc w:val="right"/>
      <w:pPr>
        <w:ind w:left="6480" w:hanging="180"/>
      </w:pPr>
    </w:lvl>
  </w:abstractNum>
  <w:abstractNum w:abstractNumId="26" w15:restartNumberingAfterBreak="0">
    <w:nsid w:val="58AB5821"/>
    <w:multiLevelType w:val="hybridMultilevel"/>
    <w:tmpl w:val="F00CB6B6"/>
    <w:lvl w:ilvl="0" w:tplc="F06CE2BC">
      <w:start w:val="1"/>
      <w:numFmt w:val="decimal"/>
      <w:pStyle w:val="Paragrafoelenco1"/>
      <w:lvlText w:val="%1."/>
      <w:lvlJc w:val="left"/>
      <w:pPr>
        <w:ind w:left="720" w:hanging="360"/>
      </w:pPr>
      <w:rPr>
        <w:rFonts w:ascii="Tahoma" w:hAnsi="Tahoma" w:cs="Tahoma" w:hint="default"/>
        <w:b w:val="0"/>
        <w:i w:val="0"/>
        <w:caps w:val="0"/>
        <w:color w:val="auto"/>
        <w:sz w:val="20"/>
        <w:szCs w:val="20"/>
        <w:u w:val="none"/>
      </w:rPr>
    </w:lvl>
    <w:lvl w:ilvl="1" w:tplc="09FC779A" w:tentative="1">
      <w:start w:val="1"/>
      <w:numFmt w:val="lowerLetter"/>
      <w:lvlText w:val="%2."/>
      <w:lvlJc w:val="left"/>
      <w:pPr>
        <w:ind w:left="1440" w:hanging="360"/>
      </w:pPr>
    </w:lvl>
    <w:lvl w:ilvl="2" w:tplc="EE0CEB24" w:tentative="1">
      <w:start w:val="1"/>
      <w:numFmt w:val="lowerRoman"/>
      <w:lvlText w:val="%3."/>
      <w:lvlJc w:val="right"/>
      <w:pPr>
        <w:ind w:left="2160" w:hanging="180"/>
      </w:pPr>
    </w:lvl>
    <w:lvl w:ilvl="3" w:tplc="49465AF2" w:tentative="1">
      <w:start w:val="1"/>
      <w:numFmt w:val="decimal"/>
      <w:lvlText w:val="%4."/>
      <w:lvlJc w:val="left"/>
      <w:pPr>
        <w:ind w:left="2880" w:hanging="360"/>
      </w:pPr>
    </w:lvl>
    <w:lvl w:ilvl="4" w:tplc="6E2CF346" w:tentative="1">
      <w:start w:val="1"/>
      <w:numFmt w:val="lowerLetter"/>
      <w:lvlText w:val="%5."/>
      <w:lvlJc w:val="left"/>
      <w:pPr>
        <w:ind w:left="3600" w:hanging="360"/>
      </w:pPr>
    </w:lvl>
    <w:lvl w:ilvl="5" w:tplc="8FF678BE" w:tentative="1">
      <w:start w:val="1"/>
      <w:numFmt w:val="lowerRoman"/>
      <w:lvlText w:val="%6."/>
      <w:lvlJc w:val="right"/>
      <w:pPr>
        <w:ind w:left="4320" w:hanging="180"/>
      </w:pPr>
    </w:lvl>
    <w:lvl w:ilvl="6" w:tplc="84DC75B0" w:tentative="1">
      <w:start w:val="1"/>
      <w:numFmt w:val="decimal"/>
      <w:lvlText w:val="%7."/>
      <w:lvlJc w:val="left"/>
      <w:pPr>
        <w:ind w:left="5040" w:hanging="360"/>
      </w:pPr>
    </w:lvl>
    <w:lvl w:ilvl="7" w:tplc="4086C3FC" w:tentative="1">
      <w:start w:val="1"/>
      <w:numFmt w:val="lowerLetter"/>
      <w:lvlText w:val="%8."/>
      <w:lvlJc w:val="left"/>
      <w:pPr>
        <w:ind w:left="5760" w:hanging="360"/>
      </w:pPr>
    </w:lvl>
    <w:lvl w:ilvl="8" w:tplc="507281E4" w:tentative="1">
      <w:start w:val="1"/>
      <w:numFmt w:val="lowerRoman"/>
      <w:lvlText w:val="%9."/>
      <w:lvlJc w:val="right"/>
      <w:pPr>
        <w:ind w:left="6480" w:hanging="180"/>
      </w:pPr>
    </w:lvl>
  </w:abstractNum>
  <w:abstractNum w:abstractNumId="27" w15:restartNumberingAfterBreak="0">
    <w:nsid w:val="5AD85BAD"/>
    <w:multiLevelType w:val="hybridMultilevel"/>
    <w:tmpl w:val="902A2180"/>
    <w:lvl w:ilvl="0" w:tplc="025A9C18">
      <w:start w:val="1"/>
      <w:numFmt w:val="decimal"/>
      <w:lvlText w:val="%1."/>
      <w:lvlJc w:val="left"/>
      <w:pPr>
        <w:ind w:left="360" w:hanging="360"/>
      </w:pPr>
    </w:lvl>
    <w:lvl w:ilvl="1" w:tplc="DE64211A" w:tentative="1">
      <w:start w:val="1"/>
      <w:numFmt w:val="lowerLetter"/>
      <w:lvlText w:val="%2."/>
      <w:lvlJc w:val="left"/>
      <w:pPr>
        <w:ind w:left="1080" w:hanging="360"/>
      </w:pPr>
    </w:lvl>
    <w:lvl w:ilvl="2" w:tplc="459E2F3A" w:tentative="1">
      <w:start w:val="1"/>
      <w:numFmt w:val="lowerRoman"/>
      <w:lvlText w:val="%3."/>
      <w:lvlJc w:val="right"/>
      <w:pPr>
        <w:ind w:left="1800" w:hanging="180"/>
      </w:pPr>
    </w:lvl>
    <w:lvl w:ilvl="3" w:tplc="226E345E" w:tentative="1">
      <w:start w:val="1"/>
      <w:numFmt w:val="decimal"/>
      <w:lvlText w:val="%4."/>
      <w:lvlJc w:val="left"/>
      <w:pPr>
        <w:ind w:left="2520" w:hanging="360"/>
      </w:pPr>
    </w:lvl>
    <w:lvl w:ilvl="4" w:tplc="7578DAA6" w:tentative="1">
      <w:start w:val="1"/>
      <w:numFmt w:val="lowerLetter"/>
      <w:lvlText w:val="%5."/>
      <w:lvlJc w:val="left"/>
      <w:pPr>
        <w:ind w:left="3240" w:hanging="360"/>
      </w:pPr>
    </w:lvl>
    <w:lvl w:ilvl="5" w:tplc="B3763F8C" w:tentative="1">
      <w:start w:val="1"/>
      <w:numFmt w:val="lowerRoman"/>
      <w:lvlText w:val="%6."/>
      <w:lvlJc w:val="right"/>
      <w:pPr>
        <w:ind w:left="3960" w:hanging="180"/>
      </w:pPr>
    </w:lvl>
    <w:lvl w:ilvl="6" w:tplc="6DA6076E" w:tentative="1">
      <w:start w:val="1"/>
      <w:numFmt w:val="decimal"/>
      <w:lvlText w:val="%7."/>
      <w:lvlJc w:val="left"/>
      <w:pPr>
        <w:ind w:left="4680" w:hanging="360"/>
      </w:pPr>
    </w:lvl>
    <w:lvl w:ilvl="7" w:tplc="4350BE8E" w:tentative="1">
      <w:start w:val="1"/>
      <w:numFmt w:val="lowerLetter"/>
      <w:lvlText w:val="%8."/>
      <w:lvlJc w:val="left"/>
      <w:pPr>
        <w:ind w:left="5400" w:hanging="360"/>
      </w:pPr>
    </w:lvl>
    <w:lvl w:ilvl="8" w:tplc="E4926A64" w:tentative="1">
      <w:start w:val="1"/>
      <w:numFmt w:val="lowerRoman"/>
      <w:lvlText w:val="%9."/>
      <w:lvlJc w:val="right"/>
      <w:pPr>
        <w:ind w:left="6120" w:hanging="180"/>
      </w:pPr>
    </w:lvl>
  </w:abstractNum>
  <w:abstractNum w:abstractNumId="28" w15:restartNumberingAfterBreak="0">
    <w:nsid w:val="717867A3"/>
    <w:multiLevelType w:val="hybridMultilevel"/>
    <w:tmpl w:val="F15E2EA6"/>
    <w:lvl w:ilvl="0" w:tplc="CC3242AC">
      <w:start w:val="1"/>
      <w:numFmt w:val="upperLetter"/>
      <w:suff w:val="space"/>
      <w:lvlText w:val="%1."/>
      <w:lvlJc w:val="left"/>
      <w:pPr>
        <w:ind w:left="0" w:firstLine="0"/>
      </w:pPr>
      <w:rPr>
        <w:rFonts w:hint="default"/>
      </w:rPr>
    </w:lvl>
    <w:lvl w:ilvl="1" w:tplc="20B075C6" w:tentative="1">
      <w:start w:val="1"/>
      <w:numFmt w:val="lowerLetter"/>
      <w:lvlText w:val="%2."/>
      <w:lvlJc w:val="left"/>
      <w:pPr>
        <w:ind w:left="1440" w:hanging="360"/>
      </w:pPr>
    </w:lvl>
    <w:lvl w:ilvl="2" w:tplc="A93E6168" w:tentative="1">
      <w:start w:val="1"/>
      <w:numFmt w:val="lowerRoman"/>
      <w:lvlText w:val="%3."/>
      <w:lvlJc w:val="right"/>
      <w:pPr>
        <w:ind w:left="2160" w:hanging="180"/>
      </w:pPr>
    </w:lvl>
    <w:lvl w:ilvl="3" w:tplc="63AAEBF6" w:tentative="1">
      <w:start w:val="1"/>
      <w:numFmt w:val="decimal"/>
      <w:lvlText w:val="%4."/>
      <w:lvlJc w:val="left"/>
      <w:pPr>
        <w:ind w:left="2880" w:hanging="360"/>
      </w:pPr>
    </w:lvl>
    <w:lvl w:ilvl="4" w:tplc="EE92E4C8" w:tentative="1">
      <w:start w:val="1"/>
      <w:numFmt w:val="lowerLetter"/>
      <w:lvlText w:val="%5."/>
      <w:lvlJc w:val="left"/>
      <w:pPr>
        <w:ind w:left="3600" w:hanging="360"/>
      </w:pPr>
    </w:lvl>
    <w:lvl w:ilvl="5" w:tplc="7C04354E" w:tentative="1">
      <w:start w:val="1"/>
      <w:numFmt w:val="lowerRoman"/>
      <w:lvlText w:val="%6."/>
      <w:lvlJc w:val="right"/>
      <w:pPr>
        <w:ind w:left="4320" w:hanging="180"/>
      </w:pPr>
    </w:lvl>
    <w:lvl w:ilvl="6" w:tplc="47B8EC5A" w:tentative="1">
      <w:start w:val="1"/>
      <w:numFmt w:val="decimal"/>
      <w:lvlText w:val="%7."/>
      <w:lvlJc w:val="left"/>
      <w:pPr>
        <w:ind w:left="5040" w:hanging="360"/>
      </w:pPr>
    </w:lvl>
    <w:lvl w:ilvl="7" w:tplc="B6A2DEC0" w:tentative="1">
      <w:start w:val="1"/>
      <w:numFmt w:val="lowerLetter"/>
      <w:lvlText w:val="%8."/>
      <w:lvlJc w:val="left"/>
      <w:pPr>
        <w:ind w:left="5760" w:hanging="360"/>
      </w:pPr>
    </w:lvl>
    <w:lvl w:ilvl="8" w:tplc="0FFE0216" w:tentative="1">
      <w:start w:val="1"/>
      <w:numFmt w:val="lowerRoman"/>
      <w:lvlText w:val="%9."/>
      <w:lvlJc w:val="right"/>
      <w:pPr>
        <w:ind w:left="6480" w:hanging="180"/>
      </w:pPr>
    </w:lvl>
  </w:abstractNum>
  <w:abstractNum w:abstractNumId="29" w15:restartNumberingAfterBreak="0">
    <w:nsid w:val="76F4432E"/>
    <w:multiLevelType w:val="hybridMultilevel"/>
    <w:tmpl w:val="8A7EA14C"/>
    <w:lvl w:ilvl="0" w:tplc="E2100AEA">
      <w:start w:val="1"/>
      <w:numFmt w:val="lowerLetter"/>
      <w:lvlText w:val="%1."/>
      <w:lvlJc w:val="left"/>
      <w:pPr>
        <w:ind w:left="720" w:hanging="360"/>
      </w:pPr>
      <w:rPr>
        <w:rFonts w:hint="default"/>
      </w:rPr>
    </w:lvl>
    <w:lvl w:ilvl="1" w:tplc="35AEBF00" w:tentative="1">
      <w:start w:val="1"/>
      <w:numFmt w:val="lowerLetter"/>
      <w:lvlText w:val="%2."/>
      <w:lvlJc w:val="left"/>
      <w:pPr>
        <w:ind w:left="1440" w:hanging="360"/>
      </w:pPr>
    </w:lvl>
    <w:lvl w:ilvl="2" w:tplc="0826D9AC" w:tentative="1">
      <w:start w:val="1"/>
      <w:numFmt w:val="lowerRoman"/>
      <w:lvlText w:val="%3."/>
      <w:lvlJc w:val="right"/>
      <w:pPr>
        <w:ind w:left="2160" w:hanging="180"/>
      </w:pPr>
    </w:lvl>
    <w:lvl w:ilvl="3" w:tplc="38D239E4" w:tentative="1">
      <w:start w:val="1"/>
      <w:numFmt w:val="decimal"/>
      <w:lvlText w:val="%4."/>
      <w:lvlJc w:val="left"/>
      <w:pPr>
        <w:ind w:left="2880" w:hanging="360"/>
      </w:pPr>
    </w:lvl>
    <w:lvl w:ilvl="4" w:tplc="6E5677E6" w:tentative="1">
      <w:start w:val="1"/>
      <w:numFmt w:val="lowerLetter"/>
      <w:lvlText w:val="%5."/>
      <w:lvlJc w:val="left"/>
      <w:pPr>
        <w:ind w:left="3600" w:hanging="360"/>
      </w:pPr>
    </w:lvl>
    <w:lvl w:ilvl="5" w:tplc="371E0494" w:tentative="1">
      <w:start w:val="1"/>
      <w:numFmt w:val="lowerRoman"/>
      <w:lvlText w:val="%6."/>
      <w:lvlJc w:val="right"/>
      <w:pPr>
        <w:ind w:left="4320" w:hanging="180"/>
      </w:pPr>
    </w:lvl>
    <w:lvl w:ilvl="6" w:tplc="F7A4E650" w:tentative="1">
      <w:start w:val="1"/>
      <w:numFmt w:val="decimal"/>
      <w:lvlText w:val="%7."/>
      <w:lvlJc w:val="left"/>
      <w:pPr>
        <w:ind w:left="5040" w:hanging="360"/>
      </w:pPr>
    </w:lvl>
    <w:lvl w:ilvl="7" w:tplc="2DFEB1DE" w:tentative="1">
      <w:start w:val="1"/>
      <w:numFmt w:val="lowerLetter"/>
      <w:lvlText w:val="%8."/>
      <w:lvlJc w:val="left"/>
      <w:pPr>
        <w:ind w:left="5760" w:hanging="360"/>
      </w:pPr>
    </w:lvl>
    <w:lvl w:ilvl="8" w:tplc="1AC8DF34" w:tentative="1">
      <w:start w:val="1"/>
      <w:numFmt w:val="lowerRoman"/>
      <w:lvlText w:val="%9."/>
      <w:lvlJc w:val="right"/>
      <w:pPr>
        <w:ind w:left="6480" w:hanging="180"/>
      </w:pPr>
    </w:lvl>
  </w:abstractNum>
  <w:abstractNum w:abstractNumId="30" w15:restartNumberingAfterBreak="0">
    <w:nsid w:val="791F7A9A"/>
    <w:multiLevelType w:val="hybridMultilevel"/>
    <w:tmpl w:val="83FCF316"/>
    <w:lvl w:ilvl="0" w:tplc="3038251A">
      <w:start w:val="1"/>
      <w:numFmt w:val="upperLetter"/>
      <w:lvlText w:val="%1."/>
      <w:lvlJc w:val="left"/>
      <w:pPr>
        <w:ind w:left="720" w:hanging="360"/>
      </w:pPr>
      <w:rPr>
        <w:rFonts w:hint="default"/>
      </w:rPr>
    </w:lvl>
    <w:lvl w:ilvl="1" w:tplc="CEBE0D80" w:tentative="1">
      <w:start w:val="1"/>
      <w:numFmt w:val="lowerLetter"/>
      <w:lvlText w:val="%2."/>
      <w:lvlJc w:val="left"/>
      <w:pPr>
        <w:ind w:left="1440" w:hanging="360"/>
      </w:pPr>
    </w:lvl>
    <w:lvl w:ilvl="2" w:tplc="48B017BE" w:tentative="1">
      <w:start w:val="1"/>
      <w:numFmt w:val="lowerRoman"/>
      <w:lvlText w:val="%3."/>
      <w:lvlJc w:val="right"/>
      <w:pPr>
        <w:ind w:left="2160" w:hanging="180"/>
      </w:pPr>
    </w:lvl>
    <w:lvl w:ilvl="3" w:tplc="4BC647FC" w:tentative="1">
      <w:start w:val="1"/>
      <w:numFmt w:val="decimal"/>
      <w:lvlText w:val="%4."/>
      <w:lvlJc w:val="left"/>
      <w:pPr>
        <w:ind w:left="2880" w:hanging="360"/>
      </w:pPr>
    </w:lvl>
    <w:lvl w:ilvl="4" w:tplc="16F40D86" w:tentative="1">
      <w:start w:val="1"/>
      <w:numFmt w:val="lowerLetter"/>
      <w:lvlText w:val="%5."/>
      <w:lvlJc w:val="left"/>
      <w:pPr>
        <w:ind w:left="3600" w:hanging="360"/>
      </w:pPr>
    </w:lvl>
    <w:lvl w:ilvl="5" w:tplc="163091C0" w:tentative="1">
      <w:start w:val="1"/>
      <w:numFmt w:val="lowerRoman"/>
      <w:lvlText w:val="%6."/>
      <w:lvlJc w:val="right"/>
      <w:pPr>
        <w:ind w:left="4320" w:hanging="180"/>
      </w:pPr>
    </w:lvl>
    <w:lvl w:ilvl="6" w:tplc="1FA0C280" w:tentative="1">
      <w:start w:val="1"/>
      <w:numFmt w:val="decimal"/>
      <w:lvlText w:val="%7."/>
      <w:lvlJc w:val="left"/>
      <w:pPr>
        <w:ind w:left="5040" w:hanging="360"/>
      </w:pPr>
    </w:lvl>
    <w:lvl w:ilvl="7" w:tplc="5D006646" w:tentative="1">
      <w:start w:val="1"/>
      <w:numFmt w:val="lowerLetter"/>
      <w:lvlText w:val="%8."/>
      <w:lvlJc w:val="left"/>
      <w:pPr>
        <w:ind w:left="5760" w:hanging="360"/>
      </w:pPr>
    </w:lvl>
    <w:lvl w:ilvl="8" w:tplc="24648B12" w:tentative="1">
      <w:start w:val="1"/>
      <w:numFmt w:val="lowerRoman"/>
      <w:lvlText w:val="%9."/>
      <w:lvlJc w:val="right"/>
      <w:pPr>
        <w:ind w:left="6480" w:hanging="180"/>
      </w:pPr>
    </w:lvl>
  </w:abstractNum>
  <w:abstractNum w:abstractNumId="31" w15:restartNumberingAfterBreak="0">
    <w:nsid w:val="7AF564D6"/>
    <w:multiLevelType w:val="hybridMultilevel"/>
    <w:tmpl w:val="D26AC7E6"/>
    <w:lvl w:ilvl="0" w:tplc="D2A46F92">
      <w:start w:val="1"/>
      <w:numFmt w:val="bullet"/>
      <w:lvlText w:val="-"/>
      <w:lvlJc w:val="left"/>
      <w:pPr>
        <w:ind w:left="720" w:hanging="360"/>
      </w:pPr>
      <w:rPr>
        <w:rFonts w:ascii="Calibri" w:eastAsia="Calibri" w:hAnsi="Calibri" w:cs="Times New Roman" w:hint="default"/>
      </w:rPr>
    </w:lvl>
    <w:lvl w:ilvl="1" w:tplc="A6EE953C">
      <w:start w:val="1"/>
      <w:numFmt w:val="bullet"/>
      <w:lvlText w:val="o"/>
      <w:lvlJc w:val="left"/>
      <w:pPr>
        <w:ind w:left="1440" w:hanging="360"/>
      </w:pPr>
      <w:rPr>
        <w:rFonts w:ascii="Courier New" w:hAnsi="Courier New" w:cs="Courier New" w:hint="default"/>
      </w:rPr>
    </w:lvl>
    <w:lvl w:ilvl="2" w:tplc="B19C5698" w:tentative="1">
      <w:start w:val="1"/>
      <w:numFmt w:val="bullet"/>
      <w:lvlText w:val=""/>
      <w:lvlJc w:val="left"/>
      <w:pPr>
        <w:ind w:left="2160" w:hanging="360"/>
      </w:pPr>
      <w:rPr>
        <w:rFonts w:ascii="Wingdings" w:hAnsi="Wingdings" w:hint="default"/>
      </w:rPr>
    </w:lvl>
    <w:lvl w:ilvl="3" w:tplc="9CA039E0" w:tentative="1">
      <w:start w:val="1"/>
      <w:numFmt w:val="bullet"/>
      <w:lvlText w:val=""/>
      <w:lvlJc w:val="left"/>
      <w:pPr>
        <w:ind w:left="2880" w:hanging="360"/>
      </w:pPr>
      <w:rPr>
        <w:rFonts w:ascii="Symbol" w:hAnsi="Symbol" w:hint="default"/>
      </w:rPr>
    </w:lvl>
    <w:lvl w:ilvl="4" w:tplc="AB3A7D7C" w:tentative="1">
      <w:start w:val="1"/>
      <w:numFmt w:val="bullet"/>
      <w:lvlText w:val="o"/>
      <w:lvlJc w:val="left"/>
      <w:pPr>
        <w:ind w:left="3600" w:hanging="360"/>
      </w:pPr>
      <w:rPr>
        <w:rFonts w:ascii="Courier New" w:hAnsi="Courier New" w:cs="Courier New" w:hint="default"/>
      </w:rPr>
    </w:lvl>
    <w:lvl w:ilvl="5" w:tplc="69AECED2" w:tentative="1">
      <w:start w:val="1"/>
      <w:numFmt w:val="bullet"/>
      <w:lvlText w:val=""/>
      <w:lvlJc w:val="left"/>
      <w:pPr>
        <w:ind w:left="4320" w:hanging="360"/>
      </w:pPr>
      <w:rPr>
        <w:rFonts w:ascii="Wingdings" w:hAnsi="Wingdings" w:hint="default"/>
      </w:rPr>
    </w:lvl>
    <w:lvl w:ilvl="6" w:tplc="0E3EACFE" w:tentative="1">
      <w:start w:val="1"/>
      <w:numFmt w:val="bullet"/>
      <w:lvlText w:val=""/>
      <w:lvlJc w:val="left"/>
      <w:pPr>
        <w:ind w:left="5040" w:hanging="360"/>
      </w:pPr>
      <w:rPr>
        <w:rFonts w:ascii="Symbol" w:hAnsi="Symbol" w:hint="default"/>
      </w:rPr>
    </w:lvl>
    <w:lvl w:ilvl="7" w:tplc="3912F73E" w:tentative="1">
      <w:start w:val="1"/>
      <w:numFmt w:val="bullet"/>
      <w:lvlText w:val="o"/>
      <w:lvlJc w:val="left"/>
      <w:pPr>
        <w:ind w:left="5760" w:hanging="360"/>
      </w:pPr>
      <w:rPr>
        <w:rFonts w:ascii="Courier New" w:hAnsi="Courier New" w:cs="Courier New" w:hint="default"/>
      </w:rPr>
    </w:lvl>
    <w:lvl w:ilvl="8" w:tplc="CF521A76" w:tentative="1">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15"/>
  </w:num>
  <w:num w:numId="4">
    <w:abstractNumId w:val="20"/>
  </w:num>
  <w:num w:numId="5">
    <w:abstractNumId w:val="12"/>
  </w:num>
  <w:num w:numId="6">
    <w:abstractNumId w:val="11"/>
  </w:num>
  <w:num w:numId="7">
    <w:abstractNumId w:val="26"/>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29"/>
  </w:num>
  <w:num w:numId="19">
    <w:abstractNumId w:val="24"/>
  </w:num>
  <w:num w:numId="20">
    <w:abstractNumId w:val="19"/>
  </w:num>
  <w:num w:numId="21">
    <w:abstractNumId w:val="22"/>
  </w:num>
  <w:num w:numId="22">
    <w:abstractNumId w:val="30"/>
  </w:num>
  <w:num w:numId="23">
    <w:abstractNumId w:val="25"/>
  </w:num>
  <w:num w:numId="24">
    <w:abstractNumId w:val="0"/>
  </w:num>
  <w:num w:numId="25">
    <w:abstractNumId w:val="14"/>
  </w:num>
  <w:num w:numId="26">
    <w:abstractNumId w:val="18"/>
  </w:num>
  <w:num w:numId="27">
    <w:abstractNumId w:val="17"/>
  </w:num>
  <w:num w:numId="28">
    <w:abstractNumId w:val="27"/>
  </w:num>
  <w:num w:numId="29">
    <w:abstractNumId w:val="23"/>
  </w:num>
  <w:num w:numId="30">
    <w:abstractNumId w:val="13"/>
  </w:num>
  <w:num w:numId="31">
    <w:abstractNumId w:val="16"/>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DA3A70"/>
    <w:rsid w:val="00000350"/>
    <w:rsid w:val="000026F4"/>
    <w:rsid w:val="00002EF3"/>
    <w:rsid w:val="000034CF"/>
    <w:rsid w:val="000071D2"/>
    <w:rsid w:val="000124B6"/>
    <w:rsid w:val="00012ADD"/>
    <w:rsid w:val="00014162"/>
    <w:rsid w:val="0001487C"/>
    <w:rsid w:val="00024F83"/>
    <w:rsid w:val="00026A77"/>
    <w:rsid w:val="000279A6"/>
    <w:rsid w:val="00032C1C"/>
    <w:rsid w:val="0003464B"/>
    <w:rsid w:val="000347EA"/>
    <w:rsid w:val="00037B0F"/>
    <w:rsid w:val="00041534"/>
    <w:rsid w:val="0004182E"/>
    <w:rsid w:val="00042858"/>
    <w:rsid w:val="000466F2"/>
    <w:rsid w:val="000479A2"/>
    <w:rsid w:val="00052E50"/>
    <w:rsid w:val="00053CE8"/>
    <w:rsid w:val="00054BA2"/>
    <w:rsid w:val="00055EC2"/>
    <w:rsid w:val="00056E42"/>
    <w:rsid w:val="000606C7"/>
    <w:rsid w:val="000634B3"/>
    <w:rsid w:val="00067414"/>
    <w:rsid w:val="0007118B"/>
    <w:rsid w:val="00071A2E"/>
    <w:rsid w:val="00071CA9"/>
    <w:rsid w:val="000726E4"/>
    <w:rsid w:val="00073EA2"/>
    <w:rsid w:val="000740EA"/>
    <w:rsid w:val="000753CB"/>
    <w:rsid w:val="00083CEE"/>
    <w:rsid w:val="000840C5"/>
    <w:rsid w:val="000872D3"/>
    <w:rsid w:val="00090759"/>
    <w:rsid w:val="00091034"/>
    <w:rsid w:val="00093100"/>
    <w:rsid w:val="00093675"/>
    <w:rsid w:val="00094E61"/>
    <w:rsid w:val="000953B5"/>
    <w:rsid w:val="00097EA7"/>
    <w:rsid w:val="000A2B79"/>
    <w:rsid w:val="000A2B9B"/>
    <w:rsid w:val="000A3A87"/>
    <w:rsid w:val="000A3E29"/>
    <w:rsid w:val="000A3F03"/>
    <w:rsid w:val="000A40BC"/>
    <w:rsid w:val="000A60C4"/>
    <w:rsid w:val="000A7B26"/>
    <w:rsid w:val="000B0623"/>
    <w:rsid w:val="000B0CFE"/>
    <w:rsid w:val="000B0D43"/>
    <w:rsid w:val="000B2922"/>
    <w:rsid w:val="000B7864"/>
    <w:rsid w:val="000C1461"/>
    <w:rsid w:val="000C2136"/>
    <w:rsid w:val="000C21E9"/>
    <w:rsid w:val="000C28F4"/>
    <w:rsid w:val="000C3973"/>
    <w:rsid w:val="000C46C9"/>
    <w:rsid w:val="000C4F54"/>
    <w:rsid w:val="000C5921"/>
    <w:rsid w:val="000C5E86"/>
    <w:rsid w:val="000C672A"/>
    <w:rsid w:val="000C6EA1"/>
    <w:rsid w:val="000D0DB0"/>
    <w:rsid w:val="000D1274"/>
    <w:rsid w:val="000D1427"/>
    <w:rsid w:val="000D1B85"/>
    <w:rsid w:val="000D3A2D"/>
    <w:rsid w:val="000D5670"/>
    <w:rsid w:val="000E1278"/>
    <w:rsid w:val="000F23C9"/>
    <w:rsid w:val="000F2946"/>
    <w:rsid w:val="000F2C5B"/>
    <w:rsid w:val="000F4226"/>
    <w:rsid w:val="000F5AA3"/>
    <w:rsid w:val="000F5F9C"/>
    <w:rsid w:val="000F76CA"/>
    <w:rsid w:val="001035A5"/>
    <w:rsid w:val="00110B63"/>
    <w:rsid w:val="00121291"/>
    <w:rsid w:val="00125B6D"/>
    <w:rsid w:val="00126616"/>
    <w:rsid w:val="001269EE"/>
    <w:rsid w:val="001304C7"/>
    <w:rsid w:val="00136802"/>
    <w:rsid w:val="00136E20"/>
    <w:rsid w:val="00136ED6"/>
    <w:rsid w:val="0014061E"/>
    <w:rsid w:val="0014258F"/>
    <w:rsid w:val="00143D62"/>
    <w:rsid w:val="001449C6"/>
    <w:rsid w:val="00146FC2"/>
    <w:rsid w:val="0015365C"/>
    <w:rsid w:val="0015455B"/>
    <w:rsid w:val="00155B28"/>
    <w:rsid w:val="00162F60"/>
    <w:rsid w:val="0016337C"/>
    <w:rsid w:val="00163959"/>
    <w:rsid w:val="00166790"/>
    <w:rsid w:val="00170B6E"/>
    <w:rsid w:val="00171A18"/>
    <w:rsid w:val="00172D5C"/>
    <w:rsid w:val="001730CE"/>
    <w:rsid w:val="001736AD"/>
    <w:rsid w:val="00173820"/>
    <w:rsid w:val="0017517E"/>
    <w:rsid w:val="001752D3"/>
    <w:rsid w:val="00176AC3"/>
    <w:rsid w:val="001771D6"/>
    <w:rsid w:val="001855AB"/>
    <w:rsid w:val="00185AFB"/>
    <w:rsid w:val="00192273"/>
    <w:rsid w:val="00192B0D"/>
    <w:rsid w:val="00193DC5"/>
    <w:rsid w:val="001959C6"/>
    <w:rsid w:val="00196487"/>
    <w:rsid w:val="001A3531"/>
    <w:rsid w:val="001A4728"/>
    <w:rsid w:val="001A4CCF"/>
    <w:rsid w:val="001A5261"/>
    <w:rsid w:val="001B1BA1"/>
    <w:rsid w:val="001B5D93"/>
    <w:rsid w:val="001B6412"/>
    <w:rsid w:val="001B68DA"/>
    <w:rsid w:val="001C393A"/>
    <w:rsid w:val="001C5792"/>
    <w:rsid w:val="001C5873"/>
    <w:rsid w:val="001C6951"/>
    <w:rsid w:val="001C779B"/>
    <w:rsid w:val="001C77C5"/>
    <w:rsid w:val="001D233F"/>
    <w:rsid w:val="001D3415"/>
    <w:rsid w:val="001D515B"/>
    <w:rsid w:val="001D536F"/>
    <w:rsid w:val="001D70E6"/>
    <w:rsid w:val="001E19FE"/>
    <w:rsid w:val="001E20E9"/>
    <w:rsid w:val="001E2F2E"/>
    <w:rsid w:val="001E4CEB"/>
    <w:rsid w:val="001E6775"/>
    <w:rsid w:val="001F10C9"/>
    <w:rsid w:val="001F47EF"/>
    <w:rsid w:val="001F5C22"/>
    <w:rsid w:val="001F6F3E"/>
    <w:rsid w:val="002059D7"/>
    <w:rsid w:val="002076D3"/>
    <w:rsid w:val="0021121E"/>
    <w:rsid w:val="00211980"/>
    <w:rsid w:val="00213427"/>
    <w:rsid w:val="00217017"/>
    <w:rsid w:val="00222311"/>
    <w:rsid w:val="002227A7"/>
    <w:rsid w:val="002250CC"/>
    <w:rsid w:val="0023067B"/>
    <w:rsid w:val="00230B5C"/>
    <w:rsid w:val="0023121D"/>
    <w:rsid w:val="00232D78"/>
    <w:rsid w:val="00232E0C"/>
    <w:rsid w:val="00234417"/>
    <w:rsid w:val="00236007"/>
    <w:rsid w:val="002362B5"/>
    <w:rsid w:val="002377D4"/>
    <w:rsid w:val="00237A50"/>
    <w:rsid w:val="00240F94"/>
    <w:rsid w:val="00242164"/>
    <w:rsid w:val="002425A4"/>
    <w:rsid w:val="00243203"/>
    <w:rsid w:val="00243FFC"/>
    <w:rsid w:val="002444B5"/>
    <w:rsid w:val="00250D1C"/>
    <w:rsid w:val="00251222"/>
    <w:rsid w:val="00251710"/>
    <w:rsid w:val="00251911"/>
    <w:rsid w:val="00251953"/>
    <w:rsid w:val="00251BE7"/>
    <w:rsid w:val="00252ABC"/>
    <w:rsid w:val="00254EDF"/>
    <w:rsid w:val="00256D28"/>
    <w:rsid w:val="00257944"/>
    <w:rsid w:val="00264E5E"/>
    <w:rsid w:val="00267443"/>
    <w:rsid w:val="002701E1"/>
    <w:rsid w:val="0027030B"/>
    <w:rsid w:val="0027045A"/>
    <w:rsid w:val="00270D45"/>
    <w:rsid w:val="00274D20"/>
    <w:rsid w:val="0027624E"/>
    <w:rsid w:val="0027775B"/>
    <w:rsid w:val="00283609"/>
    <w:rsid w:val="0028467E"/>
    <w:rsid w:val="00287121"/>
    <w:rsid w:val="0029231A"/>
    <w:rsid w:val="002939B8"/>
    <w:rsid w:val="0029556C"/>
    <w:rsid w:val="002961B5"/>
    <w:rsid w:val="00297557"/>
    <w:rsid w:val="0029793E"/>
    <w:rsid w:val="002A11F0"/>
    <w:rsid w:val="002A533F"/>
    <w:rsid w:val="002A5D0B"/>
    <w:rsid w:val="002B346A"/>
    <w:rsid w:val="002B4136"/>
    <w:rsid w:val="002B6751"/>
    <w:rsid w:val="002C278C"/>
    <w:rsid w:val="002C2A75"/>
    <w:rsid w:val="002C5489"/>
    <w:rsid w:val="002C5A7D"/>
    <w:rsid w:val="002C5F15"/>
    <w:rsid w:val="002D0D81"/>
    <w:rsid w:val="002D130E"/>
    <w:rsid w:val="002D2934"/>
    <w:rsid w:val="002D4BDD"/>
    <w:rsid w:val="002D6B2B"/>
    <w:rsid w:val="002E0B13"/>
    <w:rsid w:val="002E4529"/>
    <w:rsid w:val="002E47FD"/>
    <w:rsid w:val="002E5F96"/>
    <w:rsid w:val="002E69D3"/>
    <w:rsid w:val="002E714E"/>
    <w:rsid w:val="002F1C76"/>
    <w:rsid w:val="002F2A5A"/>
    <w:rsid w:val="002F3F70"/>
    <w:rsid w:val="002F45F2"/>
    <w:rsid w:val="002F4926"/>
    <w:rsid w:val="002F49F5"/>
    <w:rsid w:val="002F623E"/>
    <w:rsid w:val="002F6F3E"/>
    <w:rsid w:val="003003DA"/>
    <w:rsid w:val="003073B3"/>
    <w:rsid w:val="00313CA4"/>
    <w:rsid w:val="00314886"/>
    <w:rsid w:val="00314A47"/>
    <w:rsid w:val="00320170"/>
    <w:rsid w:val="00322570"/>
    <w:rsid w:val="00322F85"/>
    <w:rsid w:val="003247C6"/>
    <w:rsid w:val="00325CF7"/>
    <w:rsid w:val="00327791"/>
    <w:rsid w:val="00327D7E"/>
    <w:rsid w:val="0033246A"/>
    <w:rsid w:val="00332575"/>
    <w:rsid w:val="0033381B"/>
    <w:rsid w:val="00334B37"/>
    <w:rsid w:val="00340B09"/>
    <w:rsid w:val="003450AE"/>
    <w:rsid w:val="00352241"/>
    <w:rsid w:val="00352431"/>
    <w:rsid w:val="00353103"/>
    <w:rsid w:val="0035545C"/>
    <w:rsid w:val="003562DF"/>
    <w:rsid w:val="003571C8"/>
    <w:rsid w:val="00360484"/>
    <w:rsid w:val="00360784"/>
    <w:rsid w:val="00360A97"/>
    <w:rsid w:val="00363A61"/>
    <w:rsid w:val="00363B8A"/>
    <w:rsid w:val="00363C6B"/>
    <w:rsid w:val="00363D85"/>
    <w:rsid w:val="00364A59"/>
    <w:rsid w:val="003663F5"/>
    <w:rsid w:val="00366496"/>
    <w:rsid w:val="00370A99"/>
    <w:rsid w:val="00371D7A"/>
    <w:rsid w:val="00372ACE"/>
    <w:rsid w:val="0037414E"/>
    <w:rsid w:val="003751DE"/>
    <w:rsid w:val="003771C2"/>
    <w:rsid w:val="00377D0B"/>
    <w:rsid w:val="00380057"/>
    <w:rsid w:val="00381656"/>
    <w:rsid w:val="00382546"/>
    <w:rsid w:val="003830D8"/>
    <w:rsid w:val="00387647"/>
    <w:rsid w:val="00391B04"/>
    <w:rsid w:val="00392E2D"/>
    <w:rsid w:val="00394E0D"/>
    <w:rsid w:val="00396373"/>
    <w:rsid w:val="00396855"/>
    <w:rsid w:val="00397D0C"/>
    <w:rsid w:val="003A4098"/>
    <w:rsid w:val="003A4444"/>
    <w:rsid w:val="003B02DC"/>
    <w:rsid w:val="003B07C8"/>
    <w:rsid w:val="003B106F"/>
    <w:rsid w:val="003B431F"/>
    <w:rsid w:val="003C0153"/>
    <w:rsid w:val="003C06B1"/>
    <w:rsid w:val="003C0936"/>
    <w:rsid w:val="003C0B22"/>
    <w:rsid w:val="003C18EB"/>
    <w:rsid w:val="003C3ACF"/>
    <w:rsid w:val="003C40FE"/>
    <w:rsid w:val="003C545A"/>
    <w:rsid w:val="003C75A7"/>
    <w:rsid w:val="003D04FB"/>
    <w:rsid w:val="003D0D61"/>
    <w:rsid w:val="003D3F58"/>
    <w:rsid w:val="003E2A85"/>
    <w:rsid w:val="003E4C55"/>
    <w:rsid w:val="003E5976"/>
    <w:rsid w:val="003E5F1C"/>
    <w:rsid w:val="003E66D6"/>
    <w:rsid w:val="003E69A1"/>
    <w:rsid w:val="003E76A2"/>
    <w:rsid w:val="003E7DFF"/>
    <w:rsid w:val="003F0B0C"/>
    <w:rsid w:val="003F1CE8"/>
    <w:rsid w:val="003F5EEE"/>
    <w:rsid w:val="004025D9"/>
    <w:rsid w:val="00402E1D"/>
    <w:rsid w:val="00403259"/>
    <w:rsid w:val="00406F24"/>
    <w:rsid w:val="004076FC"/>
    <w:rsid w:val="00410A6B"/>
    <w:rsid w:val="00410EF0"/>
    <w:rsid w:val="00411296"/>
    <w:rsid w:val="004141A8"/>
    <w:rsid w:val="0041589D"/>
    <w:rsid w:val="00415CD3"/>
    <w:rsid w:val="0041632C"/>
    <w:rsid w:val="004222D7"/>
    <w:rsid w:val="004238D6"/>
    <w:rsid w:val="004246F1"/>
    <w:rsid w:val="00424941"/>
    <w:rsid w:val="00425C05"/>
    <w:rsid w:val="00427F35"/>
    <w:rsid w:val="00431534"/>
    <w:rsid w:val="0043285B"/>
    <w:rsid w:val="00434411"/>
    <w:rsid w:val="00437D86"/>
    <w:rsid w:val="0044267B"/>
    <w:rsid w:val="004446C0"/>
    <w:rsid w:val="00446C50"/>
    <w:rsid w:val="0044763D"/>
    <w:rsid w:val="00450C22"/>
    <w:rsid w:val="0045142D"/>
    <w:rsid w:val="00452236"/>
    <w:rsid w:val="0046235A"/>
    <w:rsid w:val="00463005"/>
    <w:rsid w:val="004646B1"/>
    <w:rsid w:val="004647E8"/>
    <w:rsid w:val="004658A8"/>
    <w:rsid w:val="004739EF"/>
    <w:rsid w:val="0047445E"/>
    <w:rsid w:val="00477D39"/>
    <w:rsid w:val="00481C51"/>
    <w:rsid w:val="00481EB6"/>
    <w:rsid w:val="004827ED"/>
    <w:rsid w:val="00482B66"/>
    <w:rsid w:val="004839B6"/>
    <w:rsid w:val="0048487E"/>
    <w:rsid w:val="00484D43"/>
    <w:rsid w:val="0048703C"/>
    <w:rsid w:val="00491664"/>
    <w:rsid w:val="00491EF4"/>
    <w:rsid w:val="00492ED6"/>
    <w:rsid w:val="00494D55"/>
    <w:rsid w:val="004956D4"/>
    <w:rsid w:val="004957EF"/>
    <w:rsid w:val="00495E27"/>
    <w:rsid w:val="00496312"/>
    <w:rsid w:val="00497B7C"/>
    <w:rsid w:val="004A0599"/>
    <w:rsid w:val="004A2C44"/>
    <w:rsid w:val="004A2D43"/>
    <w:rsid w:val="004A39B1"/>
    <w:rsid w:val="004B1F0B"/>
    <w:rsid w:val="004B1FDD"/>
    <w:rsid w:val="004B4AA2"/>
    <w:rsid w:val="004B4EB0"/>
    <w:rsid w:val="004B5890"/>
    <w:rsid w:val="004B69FD"/>
    <w:rsid w:val="004B6FC5"/>
    <w:rsid w:val="004C18C1"/>
    <w:rsid w:val="004C1C75"/>
    <w:rsid w:val="004C28FB"/>
    <w:rsid w:val="004C3DD6"/>
    <w:rsid w:val="004C4531"/>
    <w:rsid w:val="004D2373"/>
    <w:rsid w:val="004D36BF"/>
    <w:rsid w:val="004D3907"/>
    <w:rsid w:val="004D4F8D"/>
    <w:rsid w:val="004D55B3"/>
    <w:rsid w:val="004D6F34"/>
    <w:rsid w:val="004D724D"/>
    <w:rsid w:val="004E0655"/>
    <w:rsid w:val="004E08F4"/>
    <w:rsid w:val="004E1242"/>
    <w:rsid w:val="004E36AA"/>
    <w:rsid w:val="004E72AD"/>
    <w:rsid w:val="004E7878"/>
    <w:rsid w:val="004F1574"/>
    <w:rsid w:val="004F1FA2"/>
    <w:rsid w:val="004F2590"/>
    <w:rsid w:val="004F2FA7"/>
    <w:rsid w:val="004F344C"/>
    <w:rsid w:val="004F5376"/>
    <w:rsid w:val="004F618E"/>
    <w:rsid w:val="004F7210"/>
    <w:rsid w:val="004F7661"/>
    <w:rsid w:val="00507351"/>
    <w:rsid w:val="00507844"/>
    <w:rsid w:val="00510CF2"/>
    <w:rsid w:val="00510F35"/>
    <w:rsid w:val="00511A12"/>
    <w:rsid w:val="00514487"/>
    <w:rsid w:val="00515792"/>
    <w:rsid w:val="00517228"/>
    <w:rsid w:val="00521D21"/>
    <w:rsid w:val="00524376"/>
    <w:rsid w:val="005257F9"/>
    <w:rsid w:val="00525E02"/>
    <w:rsid w:val="005267C9"/>
    <w:rsid w:val="00526D61"/>
    <w:rsid w:val="00530616"/>
    <w:rsid w:val="00532606"/>
    <w:rsid w:val="00533CE4"/>
    <w:rsid w:val="0053661F"/>
    <w:rsid w:val="00536FB6"/>
    <w:rsid w:val="0054062F"/>
    <w:rsid w:val="00543015"/>
    <w:rsid w:val="00546107"/>
    <w:rsid w:val="00546BCD"/>
    <w:rsid w:val="005503FE"/>
    <w:rsid w:val="00550A13"/>
    <w:rsid w:val="00552208"/>
    <w:rsid w:val="00552593"/>
    <w:rsid w:val="00555543"/>
    <w:rsid w:val="0055593C"/>
    <w:rsid w:val="0055733C"/>
    <w:rsid w:val="005619F1"/>
    <w:rsid w:val="00563401"/>
    <w:rsid w:val="00563F8F"/>
    <w:rsid w:val="00564730"/>
    <w:rsid w:val="00571926"/>
    <w:rsid w:val="005731B7"/>
    <w:rsid w:val="005739A7"/>
    <w:rsid w:val="0057481C"/>
    <w:rsid w:val="00577395"/>
    <w:rsid w:val="0058068E"/>
    <w:rsid w:val="00583785"/>
    <w:rsid w:val="005849B0"/>
    <w:rsid w:val="00586908"/>
    <w:rsid w:val="00587A44"/>
    <w:rsid w:val="00592DCC"/>
    <w:rsid w:val="00593AC8"/>
    <w:rsid w:val="00593C5A"/>
    <w:rsid w:val="00595BCD"/>
    <w:rsid w:val="005A045B"/>
    <w:rsid w:val="005A06E9"/>
    <w:rsid w:val="005A08DD"/>
    <w:rsid w:val="005A0DF5"/>
    <w:rsid w:val="005A29FD"/>
    <w:rsid w:val="005A57F3"/>
    <w:rsid w:val="005A714F"/>
    <w:rsid w:val="005B0D9E"/>
    <w:rsid w:val="005B2A34"/>
    <w:rsid w:val="005B2BDD"/>
    <w:rsid w:val="005B361F"/>
    <w:rsid w:val="005C0D3B"/>
    <w:rsid w:val="005C16A7"/>
    <w:rsid w:val="005C2159"/>
    <w:rsid w:val="005C26AD"/>
    <w:rsid w:val="005C564F"/>
    <w:rsid w:val="005C62D9"/>
    <w:rsid w:val="005C6765"/>
    <w:rsid w:val="005C7523"/>
    <w:rsid w:val="005D1D2E"/>
    <w:rsid w:val="005D2955"/>
    <w:rsid w:val="005D52C6"/>
    <w:rsid w:val="005D600A"/>
    <w:rsid w:val="005D7F2E"/>
    <w:rsid w:val="005E673D"/>
    <w:rsid w:val="005F0264"/>
    <w:rsid w:val="005F0BA4"/>
    <w:rsid w:val="005F3B1D"/>
    <w:rsid w:val="005F7187"/>
    <w:rsid w:val="005F7C8B"/>
    <w:rsid w:val="00601169"/>
    <w:rsid w:val="00601545"/>
    <w:rsid w:val="00602E21"/>
    <w:rsid w:val="00604B0D"/>
    <w:rsid w:val="00607054"/>
    <w:rsid w:val="00607AE7"/>
    <w:rsid w:val="00611252"/>
    <w:rsid w:val="0061345F"/>
    <w:rsid w:val="006167B1"/>
    <w:rsid w:val="00617F98"/>
    <w:rsid w:val="00627127"/>
    <w:rsid w:val="006314E3"/>
    <w:rsid w:val="00632004"/>
    <w:rsid w:val="006348B6"/>
    <w:rsid w:val="00640C2F"/>
    <w:rsid w:val="00644B49"/>
    <w:rsid w:val="00652197"/>
    <w:rsid w:val="00654620"/>
    <w:rsid w:val="006553B5"/>
    <w:rsid w:val="00656283"/>
    <w:rsid w:val="0065761A"/>
    <w:rsid w:val="006631F0"/>
    <w:rsid w:val="00663E32"/>
    <w:rsid w:val="00663E78"/>
    <w:rsid w:val="00664E84"/>
    <w:rsid w:val="00664FB0"/>
    <w:rsid w:val="00665A11"/>
    <w:rsid w:val="00665BF3"/>
    <w:rsid w:val="00667584"/>
    <w:rsid w:val="00667CB2"/>
    <w:rsid w:val="00672326"/>
    <w:rsid w:val="0067307F"/>
    <w:rsid w:val="00673E0F"/>
    <w:rsid w:val="00675E72"/>
    <w:rsid w:val="00676223"/>
    <w:rsid w:val="00676A69"/>
    <w:rsid w:val="00676D5D"/>
    <w:rsid w:val="00680ED8"/>
    <w:rsid w:val="006920D1"/>
    <w:rsid w:val="0069291B"/>
    <w:rsid w:val="006933C9"/>
    <w:rsid w:val="0069416F"/>
    <w:rsid w:val="00695293"/>
    <w:rsid w:val="00696357"/>
    <w:rsid w:val="00696485"/>
    <w:rsid w:val="00696D47"/>
    <w:rsid w:val="006A6423"/>
    <w:rsid w:val="006A6F25"/>
    <w:rsid w:val="006A7047"/>
    <w:rsid w:val="006B0DBA"/>
    <w:rsid w:val="006B0F4C"/>
    <w:rsid w:val="006B249E"/>
    <w:rsid w:val="006B3571"/>
    <w:rsid w:val="006B4C9A"/>
    <w:rsid w:val="006B50B6"/>
    <w:rsid w:val="006B520C"/>
    <w:rsid w:val="006B58F2"/>
    <w:rsid w:val="006C1882"/>
    <w:rsid w:val="006C1FAD"/>
    <w:rsid w:val="006C2B1A"/>
    <w:rsid w:val="006C2BDC"/>
    <w:rsid w:val="006C38C1"/>
    <w:rsid w:val="006C3D4F"/>
    <w:rsid w:val="006C3DFF"/>
    <w:rsid w:val="006C40D1"/>
    <w:rsid w:val="006C4A0E"/>
    <w:rsid w:val="006C5383"/>
    <w:rsid w:val="006C5A10"/>
    <w:rsid w:val="006C5DBB"/>
    <w:rsid w:val="006C7512"/>
    <w:rsid w:val="006D08E4"/>
    <w:rsid w:val="006D0C4D"/>
    <w:rsid w:val="006D2DF6"/>
    <w:rsid w:val="006D31DF"/>
    <w:rsid w:val="006D41FD"/>
    <w:rsid w:val="006D44DF"/>
    <w:rsid w:val="006D5205"/>
    <w:rsid w:val="006D7F79"/>
    <w:rsid w:val="006E0574"/>
    <w:rsid w:val="006E24D4"/>
    <w:rsid w:val="006E2DF6"/>
    <w:rsid w:val="006E4834"/>
    <w:rsid w:val="006E5773"/>
    <w:rsid w:val="006E58D6"/>
    <w:rsid w:val="006E74A2"/>
    <w:rsid w:val="006E7CB1"/>
    <w:rsid w:val="006F3340"/>
    <w:rsid w:val="006F6381"/>
    <w:rsid w:val="006F7186"/>
    <w:rsid w:val="006F7CE6"/>
    <w:rsid w:val="0070136A"/>
    <w:rsid w:val="00703112"/>
    <w:rsid w:val="007062DA"/>
    <w:rsid w:val="00707676"/>
    <w:rsid w:val="00710388"/>
    <w:rsid w:val="007174B8"/>
    <w:rsid w:val="00717C8B"/>
    <w:rsid w:val="00720FE4"/>
    <w:rsid w:val="0072270C"/>
    <w:rsid w:val="007231CD"/>
    <w:rsid w:val="0072496D"/>
    <w:rsid w:val="00727553"/>
    <w:rsid w:val="0073144A"/>
    <w:rsid w:val="0073150F"/>
    <w:rsid w:val="0073288F"/>
    <w:rsid w:val="00732DAC"/>
    <w:rsid w:val="00735157"/>
    <w:rsid w:val="00737730"/>
    <w:rsid w:val="0074004A"/>
    <w:rsid w:val="0074309E"/>
    <w:rsid w:val="00743643"/>
    <w:rsid w:val="00743DD5"/>
    <w:rsid w:val="00745E86"/>
    <w:rsid w:val="00746BB9"/>
    <w:rsid w:val="00750858"/>
    <w:rsid w:val="00751A70"/>
    <w:rsid w:val="007529D3"/>
    <w:rsid w:val="0075326E"/>
    <w:rsid w:val="0075422C"/>
    <w:rsid w:val="007542ED"/>
    <w:rsid w:val="00754629"/>
    <w:rsid w:val="007579EF"/>
    <w:rsid w:val="00760DA0"/>
    <w:rsid w:val="0076186B"/>
    <w:rsid w:val="00763F72"/>
    <w:rsid w:val="007646A2"/>
    <w:rsid w:val="0076561E"/>
    <w:rsid w:val="00772B5A"/>
    <w:rsid w:val="00775C7E"/>
    <w:rsid w:val="00777A8A"/>
    <w:rsid w:val="00781944"/>
    <w:rsid w:val="00781A3D"/>
    <w:rsid w:val="00785886"/>
    <w:rsid w:val="00785BB3"/>
    <w:rsid w:val="00785BC6"/>
    <w:rsid w:val="007863DB"/>
    <w:rsid w:val="007874B0"/>
    <w:rsid w:val="00787F0F"/>
    <w:rsid w:val="007917B2"/>
    <w:rsid w:val="00792037"/>
    <w:rsid w:val="007925C3"/>
    <w:rsid w:val="00792C6D"/>
    <w:rsid w:val="00792D92"/>
    <w:rsid w:val="007965F5"/>
    <w:rsid w:val="007A2CA0"/>
    <w:rsid w:val="007A4BFB"/>
    <w:rsid w:val="007A5A67"/>
    <w:rsid w:val="007A684B"/>
    <w:rsid w:val="007A6A97"/>
    <w:rsid w:val="007A7103"/>
    <w:rsid w:val="007A7392"/>
    <w:rsid w:val="007A7AAD"/>
    <w:rsid w:val="007B0370"/>
    <w:rsid w:val="007B1A06"/>
    <w:rsid w:val="007B23B1"/>
    <w:rsid w:val="007B437C"/>
    <w:rsid w:val="007B57C5"/>
    <w:rsid w:val="007B5F88"/>
    <w:rsid w:val="007C4A53"/>
    <w:rsid w:val="007C5582"/>
    <w:rsid w:val="007C5935"/>
    <w:rsid w:val="007C69B5"/>
    <w:rsid w:val="007C6E10"/>
    <w:rsid w:val="007D278F"/>
    <w:rsid w:val="007D44A8"/>
    <w:rsid w:val="007D59EB"/>
    <w:rsid w:val="007D6F72"/>
    <w:rsid w:val="007D76FC"/>
    <w:rsid w:val="007E1A15"/>
    <w:rsid w:val="007E296E"/>
    <w:rsid w:val="007E3481"/>
    <w:rsid w:val="007E4364"/>
    <w:rsid w:val="007E447B"/>
    <w:rsid w:val="007E7600"/>
    <w:rsid w:val="007F0D85"/>
    <w:rsid w:val="007F27F1"/>
    <w:rsid w:val="008071EA"/>
    <w:rsid w:val="00807369"/>
    <w:rsid w:val="00807EF2"/>
    <w:rsid w:val="008104F9"/>
    <w:rsid w:val="00810EF4"/>
    <w:rsid w:val="00811D92"/>
    <w:rsid w:val="00811E0D"/>
    <w:rsid w:val="00814325"/>
    <w:rsid w:val="00816443"/>
    <w:rsid w:val="00817DFE"/>
    <w:rsid w:val="00822B41"/>
    <w:rsid w:val="00824235"/>
    <w:rsid w:val="008249D1"/>
    <w:rsid w:val="008260F5"/>
    <w:rsid w:val="0082752D"/>
    <w:rsid w:val="008309DB"/>
    <w:rsid w:val="00830F53"/>
    <w:rsid w:val="00832224"/>
    <w:rsid w:val="0083234E"/>
    <w:rsid w:val="00832AE9"/>
    <w:rsid w:val="00832CE5"/>
    <w:rsid w:val="00835340"/>
    <w:rsid w:val="00836DC0"/>
    <w:rsid w:val="00837587"/>
    <w:rsid w:val="00837CE6"/>
    <w:rsid w:val="00837EF1"/>
    <w:rsid w:val="00842B2B"/>
    <w:rsid w:val="0084330E"/>
    <w:rsid w:val="00843845"/>
    <w:rsid w:val="00847A9F"/>
    <w:rsid w:val="00847E1B"/>
    <w:rsid w:val="0085308C"/>
    <w:rsid w:val="00854F21"/>
    <w:rsid w:val="00855741"/>
    <w:rsid w:val="0086025C"/>
    <w:rsid w:val="0086228D"/>
    <w:rsid w:val="00862A04"/>
    <w:rsid w:val="00864464"/>
    <w:rsid w:val="00864C0C"/>
    <w:rsid w:val="0086570A"/>
    <w:rsid w:val="0086705F"/>
    <w:rsid w:val="0087368A"/>
    <w:rsid w:val="00874579"/>
    <w:rsid w:val="008745B1"/>
    <w:rsid w:val="00876060"/>
    <w:rsid w:val="008770BF"/>
    <w:rsid w:val="00880A30"/>
    <w:rsid w:val="00893043"/>
    <w:rsid w:val="00894F6F"/>
    <w:rsid w:val="0089621F"/>
    <w:rsid w:val="008A049F"/>
    <w:rsid w:val="008A39C9"/>
    <w:rsid w:val="008A4017"/>
    <w:rsid w:val="008A4A71"/>
    <w:rsid w:val="008A5017"/>
    <w:rsid w:val="008B0B11"/>
    <w:rsid w:val="008B2FFB"/>
    <w:rsid w:val="008B3297"/>
    <w:rsid w:val="008B5D95"/>
    <w:rsid w:val="008B6A9D"/>
    <w:rsid w:val="008C003E"/>
    <w:rsid w:val="008C154E"/>
    <w:rsid w:val="008C2AB2"/>
    <w:rsid w:val="008C7B4C"/>
    <w:rsid w:val="008D07DC"/>
    <w:rsid w:val="008D3402"/>
    <w:rsid w:val="008D49FE"/>
    <w:rsid w:val="008D5CCE"/>
    <w:rsid w:val="008D6E3C"/>
    <w:rsid w:val="008D6F89"/>
    <w:rsid w:val="008E4323"/>
    <w:rsid w:val="008E6EBA"/>
    <w:rsid w:val="008F22B9"/>
    <w:rsid w:val="008F2C33"/>
    <w:rsid w:val="008F673E"/>
    <w:rsid w:val="009004A9"/>
    <w:rsid w:val="00900879"/>
    <w:rsid w:val="009056D0"/>
    <w:rsid w:val="00906041"/>
    <w:rsid w:val="00906B47"/>
    <w:rsid w:val="009112EB"/>
    <w:rsid w:val="00911D9F"/>
    <w:rsid w:val="009124F5"/>
    <w:rsid w:val="00912F2C"/>
    <w:rsid w:val="00913A9A"/>
    <w:rsid w:val="00920292"/>
    <w:rsid w:val="0092204B"/>
    <w:rsid w:val="00922199"/>
    <w:rsid w:val="00923E13"/>
    <w:rsid w:val="00924D06"/>
    <w:rsid w:val="009269A4"/>
    <w:rsid w:val="00927EF3"/>
    <w:rsid w:val="00931F4C"/>
    <w:rsid w:val="00934088"/>
    <w:rsid w:val="00935647"/>
    <w:rsid w:val="0093566D"/>
    <w:rsid w:val="009366BB"/>
    <w:rsid w:val="009426D1"/>
    <w:rsid w:val="00942D10"/>
    <w:rsid w:val="009469FE"/>
    <w:rsid w:val="00955166"/>
    <w:rsid w:val="00957744"/>
    <w:rsid w:val="00957B73"/>
    <w:rsid w:val="009614A0"/>
    <w:rsid w:val="0096318E"/>
    <w:rsid w:val="00963B1E"/>
    <w:rsid w:val="00965857"/>
    <w:rsid w:val="0097021B"/>
    <w:rsid w:val="0097049A"/>
    <w:rsid w:val="009707BE"/>
    <w:rsid w:val="00970FCE"/>
    <w:rsid w:val="00974920"/>
    <w:rsid w:val="00974937"/>
    <w:rsid w:val="00974C94"/>
    <w:rsid w:val="0097587B"/>
    <w:rsid w:val="0098145B"/>
    <w:rsid w:val="00984A6B"/>
    <w:rsid w:val="00992305"/>
    <w:rsid w:val="009930DB"/>
    <w:rsid w:val="009A210F"/>
    <w:rsid w:val="009A2B5F"/>
    <w:rsid w:val="009A3645"/>
    <w:rsid w:val="009A4574"/>
    <w:rsid w:val="009A50CB"/>
    <w:rsid w:val="009A5874"/>
    <w:rsid w:val="009A602D"/>
    <w:rsid w:val="009B0993"/>
    <w:rsid w:val="009B225F"/>
    <w:rsid w:val="009B2476"/>
    <w:rsid w:val="009B3DCE"/>
    <w:rsid w:val="009B492C"/>
    <w:rsid w:val="009B4C93"/>
    <w:rsid w:val="009B5451"/>
    <w:rsid w:val="009B5FA7"/>
    <w:rsid w:val="009B7835"/>
    <w:rsid w:val="009B7BDE"/>
    <w:rsid w:val="009C03B7"/>
    <w:rsid w:val="009C1651"/>
    <w:rsid w:val="009C4579"/>
    <w:rsid w:val="009C4B08"/>
    <w:rsid w:val="009C60B2"/>
    <w:rsid w:val="009C7F17"/>
    <w:rsid w:val="009D066D"/>
    <w:rsid w:val="009D7A44"/>
    <w:rsid w:val="009E0BD0"/>
    <w:rsid w:val="009E2C4D"/>
    <w:rsid w:val="009E4055"/>
    <w:rsid w:val="009E52F3"/>
    <w:rsid w:val="009E6DDE"/>
    <w:rsid w:val="009F0F2D"/>
    <w:rsid w:val="009F55BF"/>
    <w:rsid w:val="009F6E6C"/>
    <w:rsid w:val="009F7408"/>
    <w:rsid w:val="009F7CCE"/>
    <w:rsid w:val="00A0112E"/>
    <w:rsid w:val="00A019DC"/>
    <w:rsid w:val="00A02375"/>
    <w:rsid w:val="00A02690"/>
    <w:rsid w:val="00A11047"/>
    <w:rsid w:val="00A11C1B"/>
    <w:rsid w:val="00A120A9"/>
    <w:rsid w:val="00A13E19"/>
    <w:rsid w:val="00A145DF"/>
    <w:rsid w:val="00A152C5"/>
    <w:rsid w:val="00A175B5"/>
    <w:rsid w:val="00A17E48"/>
    <w:rsid w:val="00A202C1"/>
    <w:rsid w:val="00A22950"/>
    <w:rsid w:val="00A2538B"/>
    <w:rsid w:val="00A26450"/>
    <w:rsid w:val="00A27BA0"/>
    <w:rsid w:val="00A3398D"/>
    <w:rsid w:val="00A343E7"/>
    <w:rsid w:val="00A34B2E"/>
    <w:rsid w:val="00A34F15"/>
    <w:rsid w:val="00A430FC"/>
    <w:rsid w:val="00A4560A"/>
    <w:rsid w:val="00A505E6"/>
    <w:rsid w:val="00A52960"/>
    <w:rsid w:val="00A55398"/>
    <w:rsid w:val="00A57641"/>
    <w:rsid w:val="00A6098B"/>
    <w:rsid w:val="00A702A0"/>
    <w:rsid w:val="00A70C68"/>
    <w:rsid w:val="00A752BF"/>
    <w:rsid w:val="00A75603"/>
    <w:rsid w:val="00A7718D"/>
    <w:rsid w:val="00A804B2"/>
    <w:rsid w:val="00A80996"/>
    <w:rsid w:val="00A82B43"/>
    <w:rsid w:val="00A84A13"/>
    <w:rsid w:val="00A85363"/>
    <w:rsid w:val="00A92F11"/>
    <w:rsid w:val="00A93840"/>
    <w:rsid w:val="00A9429F"/>
    <w:rsid w:val="00A9572C"/>
    <w:rsid w:val="00AA1BDB"/>
    <w:rsid w:val="00AA2831"/>
    <w:rsid w:val="00AA2C08"/>
    <w:rsid w:val="00AA440D"/>
    <w:rsid w:val="00AA5B0E"/>
    <w:rsid w:val="00AA5E4B"/>
    <w:rsid w:val="00AA6545"/>
    <w:rsid w:val="00AA7FB1"/>
    <w:rsid w:val="00AB088E"/>
    <w:rsid w:val="00AB3A45"/>
    <w:rsid w:val="00AB3BC7"/>
    <w:rsid w:val="00AB587B"/>
    <w:rsid w:val="00AB5F63"/>
    <w:rsid w:val="00AC0886"/>
    <w:rsid w:val="00AC099B"/>
    <w:rsid w:val="00AC0B61"/>
    <w:rsid w:val="00AC3758"/>
    <w:rsid w:val="00AC37B6"/>
    <w:rsid w:val="00AC4B51"/>
    <w:rsid w:val="00AC503E"/>
    <w:rsid w:val="00AD18DC"/>
    <w:rsid w:val="00AD3B70"/>
    <w:rsid w:val="00AD3E99"/>
    <w:rsid w:val="00AD5F2F"/>
    <w:rsid w:val="00AE377E"/>
    <w:rsid w:val="00AE43F6"/>
    <w:rsid w:val="00AE6410"/>
    <w:rsid w:val="00AE6DD8"/>
    <w:rsid w:val="00AF02DC"/>
    <w:rsid w:val="00AF0569"/>
    <w:rsid w:val="00AF0FD4"/>
    <w:rsid w:val="00AF35A2"/>
    <w:rsid w:val="00AF5F04"/>
    <w:rsid w:val="00B005DF"/>
    <w:rsid w:val="00B0261E"/>
    <w:rsid w:val="00B10CB2"/>
    <w:rsid w:val="00B12846"/>
    <w:rsid w:val="00B13454"/>
    <w:rsid w:val="00B177FA"/>
    <w:rsid w:val="00B17E3C"/>
    <w:rsid w:val="00B210E1"/>
    <w:rsid w:val="00B2130F"/>
    <w:rsid w:val="00B213D6"/>
    <w:rsid w:val="00B23375"/>
    <w:rsid w:val="00B264D1"/>
    <w:rsid w:val="00B267BF"/>
    <w:rsid w:val="00B273B6"/>
    <w:rsid w:val="00B27A6E"/>
    <w:rsid w:val="00B30874"/>
    <w:rsid w:val="00B311C4"/>
    <w:rsid w:val="00B3424A"/>
    <w:rsid w:val="00B34820"/>
    <w:rsid w:val="00B3568F"/>
    <w:rsid w:val="00B3586E"/>
    <w:rsid w:val="00B37B9F"/>
    <w:rsid w:val="00B41685"/>
    <w:rsid w:val="00B41E6C"/>
    <w:rsid w:val="00B42BAC"/>
    <w:rsid w:val="00B44601"/>
    <w:rsid w:val="00B45340"/>
    <w:rsid w:val="00B469E9"/>
    <w:rsid w:val="00B52CB3"/>
    <w:rsid w:val="00B540EF"/>
    <w:rsid w:val="00B54212"/>
    <w:rsid w:val="00B56A06"/>
    <w:rsid w:val="00B63F33"/>
    <w:rsid w:val="00B65A54"/>
    <w:rsid w:val="00B70192"/>
    <w:rsid w:val="00B70D4F"/>
    <w:rsid w:val="00B73A3E"/>
    <w:rsid w:val="00B7516C"/>
    <w:rsid w:val="00B76236"/>
    <w:rsid w:val="00B80A1E"/>
    <w:rsid w:val="00B84874"/>
    <w:rsid w:val="00B90A35"/>
    <w:rsid w:val="00B932CB"/>
    <w:rsid w:val="00B94AE8"/>
    <w:rsid w:val="00B94CF8"/>
    <w:rsid w:val="00B94FAC"/>
    <w:rsid w:val="00B9537F"/>
    <w:rsid w:val="00B95859"/>
    <w:rsid w:val="00BA0DE0"/>
    <w:rsid w:val="00BA12C8"/>
    <w:rsid w:val="00BA1C3F"/>
    <w:rsid w:val="00BA2181"/>
    <w:rsid w:val="00BB0F20"/>
    <w:rsid w:val="00BB213F"/>
    <w:rsid w:val="00BB6FA9"/>
    <w:rsid w:val="00BB72E3"/>
    <w:rsid w:val="00BC44A1"/>
    <w:rsid w:val="00BC662A"/>
    <w:rsid w:val="00BD3F81"/>
    <w:rsid w:val="00BD4FDA"/>
    <w:rsid w:val="00BD7FD4"/>
    <w:rsid w:val="00BE0183"/>
    <w:rsid w:val="00BE11F5"/>
    <w:rsid w:val="00BE259C"/>
    <w:rsid w:val="00BE59AD"/>
    <w:rsid w:val="00BE5AF1"/>
    <w:rsid w:val="00BE7A45"/>
    <w:rsid w:val="00BF0AEA"/>
    <w:rsid w:val="00BF1369"/>
    <w:rsid w:val="00BF40D6"/>
    <w:rsid w:val="00BF55F1"/>
    <w:rsid w:val="00BF5B9D"/>
    <w:rsid w:val="00BF6E2E"/>
    <w:rsid w:val="00BF6EC0"/>
    <w:rsid w:val="00C03958"/>
    <w:rsid w:val="00C05265"/>
    <w:rsid w:val="00C05635"/>
    <w:rsid w:val="00C0627D"/>
    <w:rsid w:val="00C06763"/>
    <w:rsid w:val="00C06D61"/>
    <w:rsid w:val="00C0704B"/>
    <w:rsid w:val="00C074DD"/>
    <w:rsid w:val="00C1171A"/>
    <w:rsid w:val="00C163AC"/>
    <w:rsid w:val="00C16C42"/>
    <w:rsid w:val="00C17704"/>
    <w:rsid w:val="00C206D2"/>
    <w:rsid w:val="00C21E09"/>
    <w:rsid w:val="00C21ED3"/>
    <w:rsid w:val="00C23FEF"/>
    <w:rsid w:val="00C252B8"/>
    <w:rsid w:val="00C26BF7"/>
    <w:rsid w:val="00C302C4"/>
    <w:rsid w:val="00C318AA"/>
    <w:rsid w:val="00C36EB3"/>
    <w:rsid w:val="00C3772F"/>
    <w:rsid w:val="00C37C78"/>
    <w:rsid w:val="00C4198B"/>
    <w:rsid w:val="00C423A2"/>
    <w:rsid w:val="00C424EC"/>
    <w:rsid w:val="00C42A8E"/>
    <w:rsid w:val="00C44BC5"/>
    <w:rsid w:val="00C4507B"/>
    <w:rsid w:val="00C50B06"/>
    <w:rsid w:val="00C53A13"/>
    <w:rsid w:val="00C54FDC"/>
    <w:rsid w:val="00C55A05"/>
    <w:rsid w:val="00C568C1"/>
    <w:rsid w:val="00C57F2D"/>
    <w:rsid w:val="00C6031A"/>
    <w:rsid w:val="00C62897"/>
    <w:rsid w:val="00C63523"/>
    <w:rsid w:val="00C63F5C"/>
    <w:rsid w:val="00C6426D"/>
    <w:rsid w:val="00C65C5D"/>
    <w:rsid w:val="00C6614D"/>
    <w:rsid w:val="00C664D5"/>
    <w:rsid w:val="00C72FE5"/>
    <w:rsid w:val="00C76C44"/>
    <w:rsid w:val="00C828C8"/>
    <w:rsid w:val="00C8316A"/>
    <w:rsid w:val="00C86081"/>
    <w:rsid w:val="00C9140C"/>
    <w:rsid w:val="00C91D61"/>
    <w:rsid w:val="00C91E4A"/>
    <w:rsid w:val="00C94426"/>
    <w:rsid w:val="00C95058"/>
    <w:rsid w:val="00C9683A"/>
    <w:rsid w:val="00C96E63"/>
    <w:rsid w:val="00C971FB"/>
    <w:rsid w:val="00CA17B5"/>
    <w:rsid w:val="00CA3721"/>
    <w:rsid w:val="00CA3C2A"/>
    <w:rsid w:val="00CA41E3"/>
    <w:rsid w:val="00CA57C6"/>
    <w:rsid w:val="00CA5846"/>
    <w:rsid w:val="00CB0709"/>
    <w:rsid w:val="00CB1970"/>
    <w:rsid w:val="00CB238E"/>
    <w:rsid w:val="00CC0F38"/>
    <w:rsid w:val="00CC174D"/>
    <w:rsid w:val="00CC1C3E"/>
    <w:rsid w:val="00CC4A51"/>
    <w:rsid w:val="00CC51EA"/>
    <w:rsid w:val="00CC61BE"/>
    <w:rsid w:val="00CC655F"/>
    <w:rsid w:val="00CC6A64"/>
    <w:rsid w:val="00CC749A"/>
    <w:rsid w:val="00CD08C9"/>
    <w:rsid w:val="00CD2374"/>
    <w:rsid w:val="00CD29B6"/>
    <w:rsid w:val="00CD38FE"/>
    <w:rsid w:val="00CD3C91"/>
    <w:rsid w:val="00CD414E"/>
    <w:rsid w:val="00CD42C5"/>
    <w:rsid w:val="00CD4CB1"/>
    <w:rsid w:val="00CD767D"/>
    <w:rsid w:val="00CE1923"/>
    <w:rsid w:val="00CE446F"/>
    <w:rsid w:val="00CE57FD"/>
    <w:rsid w:val="00CF061D"/>
    <w:rsid w:val="00CF5449"/>
    <w:rsid w:val="00D02891"/>
    <w:rsid w:val="00D02C21"/>
    <w:rsid w:val="00D05118"/>
    <w:rsid w:val="00D05149"/>
    <w:rsid w:val="00D05A69"/>
    <w:rsid w:val="00D10293"/>
    <w:rsid w:val="00D10ABC"/>
    <w:rsid w:val="00D15364"/>
    <w:rsid w:val="00D15DD0"/>
    <w:rsid w:val="00D1675C"/>
    <w:rsid w:val="00D22BD5"/>
    <w:rsid w:val="00D25736"/>
    <w:rsid w:val="00D25A72"/>
    <w:rsid w:val="00D25B20"/>
    <w:rsid w:val="00D25CDC"/>
    <w:rsid w:val="00D316E4"/>
    <w:rsid w:val="00D31A43"/>
    <w:rsid w:val="00D3465F"/>
    <w:rsid w:val="00D35CC1"/>
    <w:rsid w:val="00D3644F"/>
    <w:rsid w:val="00D36572"/>
    <w:rsid w:val="00D37C4C"/>
    <w:rsid w:val="00D40336"/>
    <w:rsid w:val="00D40AC5"/>
    <w:rsid w:val="00D414FB"/>
    <w:rsid w:val="00D41552"/>
    <w:rsid w:val="00D41663"/>
    <w:rsid w:val="00D4329B"/>
    <w:rsid w:val="00D44641"/>
    <w:rsid w:val="00D45D56"/>
    <w:rsid w:val="00D461A8"/>
    <w:rsid w:val="00D46DB7"/>
    <w:rsid w:val="00D556ED"/>
    <w:rsid w:val="00D577A9"/>
    <w:rsid w:val="00D62849"/>
    <w:rsid w:val="00D64EE2"/>
    <w:rsid w:val="00D6572E"/>
    <w:rsid w:val="00D6674E"/>
    <w:rsid w:val="00D66FE3"/>
    <w:rsid w:val="00D67988"/>
    <w:rsid w:val="00D70E63"/>
    <w:rsid w:val="00D71D71"/>
    <w:rsid w:val="00D75507"/>
    <w:rsid w:val="00D767F4"/>
    <w:rsid w:val="00D800C6"/>
    <w:rsid w:val="00D80A65"/>
    <w:rsid w:val="00D81CC5"/>
    <w:rsid w:val="00D830C5"/>
    <w:rsid w:val="00D836ED"/>
    <w:rsid w:val="00D83D8D"/>
    <w:rsid w:val="00D8437A"/>
    <w:rsid w:val="00D93188"/>
    <w:rsid w:val="00D936F3"/>
    <w:rsid w:val="00D93FA9"/>
    <w:rsid w:val="00D96C94"/>
    <w:rsid w:val="00DA035C"/>
    <w:rsid w:val="00DA3177"/>
    <w:rsid w:val="00DA3A70"/>
    <w:rsid w:val="00DA4AB9"/>
    <w:rsid w:val="00DA4E53"/>
    <w:rsid w:val="00DA5C61"/>
    <w:rsid w:val="00DA5EBB"/>
    <w:rsid w:val="00DA7E9E"/>
    <w:rsid w:val="00DB08BC"/>
    <w:rsid w:val="00DB12C5"/>
    <w:rsid w:val="00DB42C7"/>
    <w:rsid w:val="00DB4D60"/>
    <w:rsid w:val="00DB519A"/>
    <w:rsid w:val="00DB5CCC"/>
    <w:rsid w:val="00DB6B14"/>
    <w:rsid w:val="00DC0FA4"/>
    <w:rsid w:val="00DC2CD9"/>
    <w:rsid w:val="00DC2FBF"/>
    <w:rsid w:val="00DC4763"/>
    <w:rsid w:val="00DC4792"/>
    <w:rsid w:val="00DC7D07"/>
    <w:rsid w:val="00DD04E9"/>
    <w:rsid w:val="00DD0CA8"/>
    <w:rsid w:val="00DD3AF9"/>
    <w:rsid w:val="00DD51DC"/>
    <w:rsid w:val="00DD6054"/>
    <w:rsid w:val="00DD7BE3"/>
    <w:rsid w:val="00DE0849"/>
    <w:rsid w:val="00DE2EE9"/>
    <w:rsid w:val="00DE3C64"/>
    <w:rsid w:val="00DE41F7"/>
    <w:rsid w:val="00DE4FB8"/>
    <w:rsid w:val="00DE7BD5"/>
    <w:rsid w:val="00DF0FCE"/>
    <w:rsid w:val="00DF2117"/>
    <w:rsid w:val="00DF2AF7"/>
    <w:rsid w:val="00DF2CA0"/>
    <w:rsid w:val="00DF31F5"/>
    <w:rsid w:val="00DF337F"/>
    <w:rsid w:val="00DF5B05"/>
    <w:rsid w:val="00DF60B9"/>
    <w:rsid w:val="00DF6F62"/>
    <w:rsid w:val="00E063A5"/>
    <w:rsid w:val="00E10EDD"/>
    <w:rsid w:val="00E12236"/>
    <w:rsid w:val="00E130AA"/>
    <w:rsid w:val="00E153DB"/>
    <w:rsid w:val="00E1592C"/>
    <w:rsid w:val="00E203CD"/>
    <w:rsid w:val="00E2106F"/>
    <w:rsid w:val="00E23086"/>
    <w:rsid w:val="00E23785"/>
    <w:rsid w:val="00E24A10"/>
    <w:rsid w:val="00E25A06"/>
    <w:rsid w:val="00E25E96"/>
    <w:rsid w:val="00E26AA5"/>
    <w:rsid w:val="00E3006B"/>
    <w:rsid w:val="00E335F1"/>
    <w:rsid w:val="00E33787"/>
    <w:rsid w:val="00E34A79"/>
    <w:rsid w:val="00E34C47"/>
    <w:rsid w:val="00E34DF9"/>
    <w:rsid w:val="00E372E9"/>
    <w:rsid w:val="00E37A38"/>
    <w:rsid w:val="00E430BD"/>
    <w:rsid w:val="00E44496"/>
    <w:rsid w:val="00E47DA6"/>
    <w:rsid w:val="00E50DAF"/>
    <w:rsid w:val="00E54190"/>
    <w:rsid w:val="00E60016"/>
    <w:rsid w:val="00E6221C"/>
    <w:rsid w:val="00E62B81"/>
    <w:rsid w:val="00E6325E"/>
    <w:rsid w:val="00E6687B"/>
    <w:rsid w:val="00E7294B"/>
    <w:rsid w:val="00E73019"/>
    <w:rsid w:val="00E80312"/>
    <w:rsid w:val="00E804AE"/>
    <w:rsid w:val="00E81791"/>
    <w:rsid w:val="00E81EA6"/>
    <w:rsid w:val="00E90D6E"/>
    <w:rsid w:val="00E91237"/>
    <w:rsid w:val="00E92173"/>
    <w:rsid w:val="00E9311A"/>
    <w:rsid w:val="00E9347F"/>
    <w:rsid w:val="00E93802"/>
    <w:rsid w:val="00E95FBF"/>
    <w:rsid w:val="00EA078F"/>
    <w:rsid w:val="00EA1C4B"/>
    <w:rsid w:val="00EA1DD2"/>
    <w:rsid w:val="00EA274D"/>
    <w:rsid w:val="00EB2C2C"/>
    <w:rsid w:val="00EB5B09"/>
    <w:rsid w:val="00EB5E82"/>
    <w:rsid w:val="00EB6E51"/>
    <w:rsid w:val="00EB7B12"/>
    <w:rsid w:val="00EC1008"/>
    <w:rsid w:val="00EC16FB"/>
    <w:rsid w:val="00EC6C62"/>
    <w:rsid w:val="00EC75FD"/>
    <w:rsid w:val="00EC7CD2"/>
    <w:rsid w:val="00ED19B7"/>
    <w:rsid w:val="00ED245D"/>
    <w:rsid w:val="00ED3A13"/>
    <w:rsid w:val="00ED4793"/>
    <w:rsid w:val="00ED51D9"/>
    <w:rsid w:val="00ED5411"/>
    <w:rsid w:val="00ED5B42"/>
    <w:rsid w:val="00EE0213"/>
    <w:rsid w:val="00EE4F53"/>
    <w:rsid w:val="00EE7670"/>
    <w:rsid w:val="00EE7EB5"/>
    <w:rsid w:val="00EF355D"/>
    <w:rsid w:val="00EF6C85"/>
    <w:rsid w:val="00F026FA"/>
    <w:rsid w:val="00F02794"/>
    <w:rsid w:val="00F032B0"/>
    <w:rsid w:val="00F03325"/>
    <w:rsid w:val="00F035A9"/>
    <w:rsid w:val="00F061B5"/>
    <w:rsid w:val="00F0729E"/>
    <w:rsid w:val="00F10761"/>
    <w:rsid w:val="00F11E69"/>
    <w:rsid w:val="00F1602D"/>
    <w:rsid w:val="00F16ACF"/>
    <w:rsid w:val="00F17E1D"/>
    <w:rsid w:val="00F25799"/>
    <w:rsid w:val="00F25BD5"/>
    <w:rsid w:val="00F34357"/>
    <w:rsid w:val="00F34F3F"/>
    <w:rsid w:val="00F37A02"/>
    <w:rsid w:val="00F40B94"/>
    <w:rsid w:val="00F4135D"/>
    <w:rsid w:val="00F41679"/>
    <w:rsid w:val="00F41717"/>
    <w:rsid w:val="00F433DB"/>
    <w:rsid w:val="00F4410E"/>
    <w:rsid w:val="00F448E2"/>
    <w:rsid w:val="00F54A6D"/>
    <w:rsid w:val="00F54C7F"/>
    <w:rsid w:val="00F55903"/>
    <w:rsid w:val="00F56E40"/>
    <w:rsid w:val="00F573EC"/>
    <w:rsid w:val="00F57F8E"/>
    <w:rsid w:val="00F62D06"/>
    <w:rsid w:val="00F63EDC"/>
    <w:rsid w:val="00F65845"/>
    <w:rsid w:val="00F66278"/>
    <w:rsid w:val="00F66D96"/>
    <w:rsid w:val="00F67273"/>
    <w:rsid w:val="00F70396"/>
    <w:rsid w:val="00F74C87"/>
    <w:rsid w:val="00F75F1E"/>
    <w:rsid w:val="00F77573"/>
    <w:rsid w:val="00F80660"/>
    <w:rsid w:val="00F80C60"/>
    <w:rsid w:val="00F81A31"/>
    <w:rsid w:val="00F82610"/>
    <w:rsid w:val="00F85B51"/>
    <w:rsid w:val="00F85C82"/>
    <w:rsid w:val="00F87529"/>
    <w:rsid w:val="00F90721"/>
    <w:rsid w:val="00F90E5D"/>
    <w:rsid w:val="00F9239E"/>
    <w:rsid w:val="00F945B0"/>
    <w:rsid w:val="00F94D5D"/>
    <w:rsid w:val="00F95109"/>
    <w:rsid w:val="00FA0B5B"/>
    <w:rsid w:val="00FA1C0D"/>
    <w:rsid w:val="00FA2674"/>
    <w:rsid w:val="00FA474C"/>
    <w:rsid w:val="00FA4F59"/>
    <w:rsid w:val="00FA6D58"/>
    <w:rsid w:val="00FA770D"/>
    <w:rsid w:val="00FA7AA5"/>
    <w:rsid w:val="00FB0E61"/>
    <w:rsid w:val="00FB187F"/>
    <w:rsid w:val="00FB221B"/>
    <w:rsid w:val="00FB3A94"/>
    <w:rsid w:val="00FB3B9B"/>
    <w:rsid w:val="00FB4430"/>
    <w:rsid w:val="00FB4C6F"/>
    <w:rsid w:val="00FB5475"/>
    <w:rsid w:val="00FB5F1D"/>
    <w:rsid w:val="00FB63E9"/>
    <w:rsid w:val="00FC0D47"/>
    <w:rsid w:val="00FC0ED1"/>
    <w:rsid w:val="00FC3191"/>
    <w:rsid w:val="00FC60B8"/>
    <w:rsid w:val="00FD17E9"/>
    <w:rsid w:val="00FD1BD5"/>
    <w:rsid w:val="00FD43CF"/>
    <w:rsid w:val="00FD4584"/>
    <w:rsid w:val="00FE1001"/>
    <w:rsid w:val="00FE168B"/>
    <w:rsid w:val="00FE234E"/>
    <w:rsid w:val="00FE2CB3"/>
    <w:rsid w:val="00FE3B7B"/>
    <w:rsid w:val="00FE546B"/>
    <w:rsid w:val="00FE54CE"/>
    <w:rsid w:val="00FE67B0"/>
    <w:rsid w:val="00FF1160"/>
    <w:rsid w:val="00FF3DF1"/>
    <w:rsid w:val="00FF424F"/>
    <w:rsid w:val="00FF5A6F"/>
    <w:rsid w:val="00FF7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18246-7292-4165-8650-17252899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nb-NO" w:bidi="nb-NO"/>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0"/>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0"/>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A70"/>
    <w:pPr>
      <w:spacing w:after="200" w:line="276" w:lineRule="auto"/>
    </w:pPr>
    <w:rPr>
      <w:rFonts w:ascii="Calibri" w:eastAsia="Times New Roman" w:hAnsi="Calibri" w:cs="Times New Roman"/>
    </w:rPr>
  </w:style>
  <w:style w:type="paragraph" w:styleId="Heading1">
    <w:name w:val="heading 1"/>
    <w:aliases w:val="ECDC AF Heading 1"/>
    <w:basedOn w:val="Normal"/>
    <w:next w:val="Normal"/>
    <w:link w:val="Heading1Char"/>
    <w:qFormat/>
    <w:rsid w:val="00DA3A70"/>
    <w:pPr>
      <w:keepNext/>
      <w:spacing w:after="0" w:line="240" w:lineRule="auto"/>
      <w:outlineLvl w:val="0"/>
    </w:pPr>
    <w:rPr>
      <w:rFonts w:ascii="Times New Roman" w:eastAsia="MS Mincho" w:hAnsi="Times New Roman"/>
      <w:b/>
      <w:sz w:val="24"/>
      <w:szCs w:val="24"/>
    </w:rPr>
  </w:style>
  <w:style w:type="paragraph" w:styleId="Heading2">
    <w:name w:val="heading 2"/>
    <w:aliases w:val="ECDC AF Heading 2"/>
    <w:basedOn w:val="Normal"/>
    <w:next w:val="Paragrafoelenco1"/>
    <w:link w:val="Heading2Char"/>
    <w:autoRedefine/>
    <w:uiPriority w:val="9"/>
    <w:qFormat/>
    <w:rsid w:val="00DA3A70"/>
    <w:pPr>
      <w:keepNext/>
      <w:keepLines/>
      <w:spacing w:before="240" w:after="240" w:line="240" w:lineRule="auto"/>
      <w:jc w:val="both"/>
      <w:outlineLvl w:val="1"/>
    </w:pPr>
    <w:rPr>
      <w:rFonts w:ascii="Tahoma" w:hAnsi="Tahoma"/>
      <w:b/>
      <w:bCs/>
      <w:i/>
      <w:color w:val="008000"/>
      <w:sz w:val="26"/>
      <w:szCs w:val="26"/>
    </w:rPr>
  </w:style>
  <w:style w:type="paragraph" w:styleId="Heading3">
    <w:name w:val="heading 3"/>
    <w:aliases w:val="ECDC AF Heading 3"/>
    <w:basedOn w:val="Normal"/>
    <w:next w:val="Normal"/>
    <w:link w:val="Heading3Char"/>
    <w:autoRedefine/>
    <w:uiPriority w:val="9"/>
    <w:qFormat/>
    <w:rsid w:val="00DA3A70"/>
    <w:pPr>
      <w:keepNext/>
      <w:keepLines/>
      <w:spacing w:before="240" w:after="240" w:line="240" w:lineRule="auto"/>
      <w:outlineLvl w:val="2"/>
    </w:pPr>
    <w:rPr>
      <w:rFonts w:ascii="Tahoma" w:hAnsi="Tahoma"/>
      <w:b/>
      <w:bCs/>
      <w:color w:val="1F497D"/>
      <w:szCs w:val="20"/>
    </w:rPr>
  </w:style>
  <w:style w:type="paragraph" w:styleId="Heading4">
    <w:name w:val="heading 4"/>
    <w:basedOn w:val="Normal"/>
    <w:next w:val="Normal"/>
    <w:link w:val="Heading4Char"/>
    <w:uiPriority w:val="9"/>
    <w:unhideWhenUsed/>
    <w:qFormat/>
    <w:rsid w:val="00EA1DD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9380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DC AF Heading 1 Char"/>
    <w:link w:val="Heading1"/>
    <w:rsid w:val="00DA3A70"/>
    <w:rPr>
      <w:rFonts w:ascii="Times New Roman" w:eastAsia="MS Mincho" w:hAnsi="Times New Roman" w:cs="Times New Roman"/>
      <w:b/>
      <w:sz w:val="24"/>
      <w:szCs w:val="24"/>
      <w:lang w:eastAsia="nb-NO"/>
    </w:rPr>
  </w:style>
  <w:style w:type="character" w:customStyle="1" w:styleId="Heading2Char">
    <w:name w:val="Heading 2 Char"/>
    <w:aliases w:val="ECDC AF Heading 2 Char"/>
    <w:link w:val="Heading2"/>
    <w:uiPriority w:val="9"/>
    <w:rsid w:val="00DA3A70"/>
    <w:rPr>
      <w:rFonts w:ascii="Tahoma" w:eastAsia="Times New Roman" w:hAnsi="Tahoma" w:cs="Times New Roman"/>
      <w:b/>
      <w:bCs/>
      <w:i/>
      <w:color w:val="008000"/>
      <w:sz w:val="26"/>
      <w:szCs w:val="26"/>
    </w:rPr>
  </w:style>
  <w:style w:type="character" w:customStyle="1" w:styleId="Heading3Char">
    <w:name w:val="Heading 3 Char"/>
    <w:aliases w:val="ECDC AF Heading 3 Char"/>
    <w:link w:val="Heading3"/>
    <w:uiPriority w:val="9"/>
    <w:rsid w:val="00DA3A70"/>
    <w:rPr>
      <w:rFonts w:ascii="Tahoma" w:eastAsia="Times New Roman" w:hAnsi="Tahoma" w:cs="Times New Roman"/>
      <w:b/>
      <w:bCs/>
      <w:color w:val="1F497D"/>
      <w:szCs w:val="20"/>
    </w:rPr>
  </w:style>
  <w:style w:type="paragraph" w:styleId="BalloonText">
    <w:name w:val="Balloon Text"/>
    <w:basedOn w:val="Normal"/>
    <w:link w:val="BalloonTextChar"/>
    <w:semiHidden/>
    <w:unhideWhenUsed/>
    <w:rsid w:val="00DA3A70"/>
    <w:pPr>
      <w:spacing w:after="0" w:line="240" w:lineRule="auto"/>
    </w:pPr>
    <w:rPr>
      <w:rFonts w:ascii="Tahoma" w:hAnsi="Tahoma"/>
      <w:sz w:val="16"/>
      <w:szCs w:val="16"/>
    </w:rPr>
  </w:style>
  <w:style w:type="character" w:customStyle="1" w:styleId="BalloonTextChar">
    <w:name w:val="Balloon Text Char"/>
    <w:link w:val="BalloonText"/>
    <w:semiHidden/>
    <w:rsid w:val="00DA3A70"/>
    <w:rPr>
      <w:rFonts w:ascii="Tahoma" w:eastAsia="Times New Roman" w:hAnsi="Tahoma" w:cs="Times New Roman"/>
      <w:sz w:val="16"/>
      <w:szCs w:val="16"/>
      <w:lang w:val="nb-NO" w:eastAsia="nb-NO"/>
    </w:rPr>
  </w:style>
  <w:style w:type="paragraph" w:customStyle="1" w:styleId="ListParagraph1">
    <w:name w:val="List Paragraph1"/>
    <w:basedOn w:val="Normal"/>
    <w:uiPriority w:val="34"/>
    <w:qFormat/>
    <w:rsid w:val="00DA3A70"/>
    <w:pPr>
      <w:ind w:left="720"/>
      <w:contextualSpacing/>
    </w:pPr>
  </w:style>
  <w:style w:type="character" w:styleId="Hyperlink">
    <w:name w:val="Hyperlink"/>
    <w:rsid w:val="00DA3A70"/>
    <w:rPr>
      <w:color w:val="0000FF"/>
      <w:u w:val="single"/>
    </w:rPr>
  </w:style>
  <w:style w:type="paragraph" w:styleId="CommentText">
    <w:name w:val="annotation text"/>
    <w:basedOn w:val="Normal"/>
    <w:link w:val="CommentTextChar1"/>
    <w:uiPriority w:val="99"/>
    <w:unhideWhenUsed/>
    <w:rsid w:val="00DA3A70"/>
    <w:pPr>
      <w:spacing w:line="240" w:lineRule="auto"/>
    </w:pPr>
    <w:rPr>
      <w:rFonts w:eastAsia="Calibri"/>
      <w:sz w:val="20"/>
      <w:szCs w:val="20"/>
    </w:rPr>
  </w:style>
  <w:style w:type="character" w:customStyle="1" w:styleId="CommentTextChar">
    <w:name w:val="Comment Text Char"/>
    <w:uiPriority w:val="99"/>
    <w:rsid w:val="00DA3A70"/>
    <w:rPr>
      <w:rFonts w:eastAsia="Times New Roman" w:cs="Times New Roman"/>
      <w:lang w:val="nb-NO" w:eastAsia="nb-NO"/>
    </w:rPr>
  </w:style>
  <w:style w:type="character" w:customStyle="1" w:styleId="CommentTextChar1">
    <w:name w:val="Comment Text Char1"/>
    <w:link w:val="CommentText"/>
    <w:uiPriority w:val="99"/>
    <w:rsid w:val="00DA3A70"/>
    <w:rPr>
      <w:rFonts w:ascii="Calibri" w:eastAsia="Calibri" w:hAnsi="Calibri" w:cs="Times New Roman"/>
      <w:sz w:val="20"/>
      <w:szCs w:val="20"/>
      <w:lang w:val="nb-NO"/>
    </w:rPr>
  </w:style>
  <w:style w:type="paragraph" w:styleId="HTMLPreformatted">
    <w:name w:val="HTML Preformatted"/>
    <w:basedOn w:val="Normal"/>
    <w:link w:val="HTMLPreformattedChar"/>
    <w:uiPriority w:val="99"/>
    <w:semiHidden/>
    <w:unhideWhenUsed/>
    <w:rsid w:val="00DA3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semiHidden/>
    <w:rsid w:val="00DA3A70"/>
    <w:rPr>
      <w:rFonts w:ascii="Courier New" w:eastAsia="Times New Roman" w:hAnsi="Courier New" w:cs="Times New Roman"/>
      <w:sz w:val="20"/>
      <w:szCs w:val="20"/>
      <w:lang w:val="nb-NO" w:eastAsia="nb-NO"/>
    </w:rPr>
  </w:style>
  <w:style w:type="character" w:styleId="CommentReference">
    <w:name w:val="annotation reference"/>
    <w:uiPriority w:val="99"/>
    <w:semiHidden/>
    <w:unhideWhenUsed/>
    <w:rsid w:val="00DA3A70"/>
    <w:rPr>
      <w:sz w:val="16"/>
      <w:szCs w:val="16"/>
    </w:rPr>
  </w:style>
  <w:style w:type="paragraph" w:styleId="CommentSubject">
    <w:name w:val="annotation subject"/>
    <w:basedOn w:val="CommentText"/>
    <w:next w:val="CommentText"/>
    <w:link w:val="CommentSubjectChar"/>
    <w:uiPriority w:val="99"/>
    <w:semiHidden/>
    <w:unhideWhenUsed/>
    <w:rsid w:val="00DA3A70"/>
    <w:pPr>
      <w:spacing w:line="276" w:lineRule="auto"/>
    </w:pPr>
    <w:rPr>
      <w:b/>
      <w:bCs/>
    </w:rPr>
  </w:style>
  <w:style w:type="character" w:customStyle="1" w:styleId="CommentSubjectChar">
    <w:name w:val="Comment Subject Char"/>
    <w:link w:val="CommentSubject"/>
    <w:uiPriority w:val="99"/>
    <w:semiHidden/>
    <w:rsid w:val="00DA3A70"/>
    <w:rPr>
      <w:rFonts w:ascii="Calibri" w:eastAsia="Calibri" w:hAnsi="Calibri" w:cs="Times New Roman"/>
      <w:b/>
      <w:bCs/>
      <w:sz w:val="20"/>
      <w:szCs w:val="20"/>
      <w:lang w:val="nb-NO"/>
    </w:rPr>
  </w:style>
  <w:style w:type="paragraph" w:styleId="Header">
    <w:name w:val="header"/>
    <w:basedOn w:val="Normal"/>
    <w:link w:val="HeaderChar"/>
    <w:uiPriority w:val="99"/>
    <w:unhideWhenUsed/>
    <w:rsid w:val="00DA3A70"/>
    <w:pPr>
      <w:tabs>
        <w:tab w:val="center" w:pos="4819"/>
        <w:tab w:val="right" w:pos="9638"/>
      </w:tabs>
    </w:pPr>
  </w:style>
  <w:style w:type="character" w:customStyle="1" w:styleId="HeaderChar">
    <w:name w:val="Header Char"/>
    <w:link w:val="Header"/>
    <w:uiPriority w:val="99"/>
    <w:rsid w:val="00DA3A70"/>
    <w:rPr>
      <w:rFonts w:ascii="Calibri" w:eastAsia="Times New Roman" w:hAnsi="Calibri" w:cs="Times New Roman"/>
      <w:lang w:val="nb-NO" w:eastAsia="nb-NO"/>
    </w:rPr>
  </w:style>
  <w:style w:type="paragraph" w:styleId="Footer">
    <w:name w:val="footer"/>
    <w:basedOn w:val="Normal"/>
    <w:link w:val="FooterChar"/>
    <w:uiPriority w:val="99"/>
    <w:unhideWhenUsed/>
    <w:rsid w:val="00DA3A70"/>
    <w:pPr>
      <w:tabs>
        <w:tab w:val="center" w:pos="4819"/>
        <w:tab w:val="right" w:pos="9638"/>
      </w:tabs>
    </w:pPr>
  </w:style>
  <w:style w:type="character" w:customStyle="1" w:styleId="FooterChar">
    <w:name w:val="Footer Char"/>
    <w:link w:val="Footer"/>
    <w:uiPriority w:val="99"/>
    <w:rsid w:val="00DA3A70"/>
    <w:rPr>
      <w:rFonts w:ascii="Calibri" w:eastAsia="Times New Roman" w:hAnsi="Calibri" w:cs="Times New Roman"/>
      <w:lang w:val="nb-NO" w:eastAsia="nb-NO"/>
    </w:rPr>
  </w:style>
  <w:style w:type="paragraph" w:styleId="FootnoteText">
    <w:name w:val="footnote text"/>
    <w:basedOn w:val="Normal"/>
    <w:link w:val="FootnoteTextChar"/>
    <w:unhideWhenUsed/>
    <w:rsid w:val="00DA3A70"/>
    <w:rPr>
      <w:sz w:val="20"/>
      <w:szCs w:val="20"/>
    </w:rPr>
  </w:style>
  <w:style w:type="character" w:customStyle="1" w:styleId="FootnoteTextChar">
    <w:name w:val="Footnote Text Char"/>
    <w:link w:val="FootnoteText"/>
    <w:rsid w:val="00DA3A70"/>
    <w:rPr>
      <w:rFonts w:ascii="Calibri" w:eastAsia="Times New Roman" w:hAnsi="Calibri" w:cs="Times New Roman"/>
      <w:sz w:val="20"/>
      <w:szCs w:val="20"/>
      <w:lang w:val="nb-NO" w:eastAsia="nb-NO"/>
    </w:rPr>
  </w:style>
  <w:style w:type="character" w:styleId="FootnoteReference">
    <w:name w:val="footnote reference"/>
    <w:unhideWhenUsed/>
    <w:rsid w:val="00DA3A70"/>
    <w:rPr>
      <w:vertAlign w:val="superscript"/>
    </w:rPr>
  </w:style>
  <w:style w:type="paragraph" w:styleId="PlainText">
    <w:name w:val="Plain Text"/>
    <w:basedOn w:val="Normal"/>
    <w:link w:val="PlainTextChar"/>
    <w:uiPriority w:val="99"/>
    <w:semiHidden/>
    <w:unhideWhenUsed/>
    <w:rsid w:val="00DA3A70"/>
    <w:pPr>
      <w:spacing w:after="0" w:line="240" w:lineRule="auto"/>
    </w:pPr>
    <w:rPr>
      <w:rFonts w:ascii="Consolas" w:eastAsia="Calibri" w:hAnsi="Consolas"/>
      <w:sz w:val="21"/>
      <w:szCs w:val="21"/>
    </w:rPr>
  </w:style>
  <w:style w:type="character" w:customStyle="1" w:styleId="PlainTextChar">
    <w:name w:val="Plain Text Char"/>
    <w:link w:val="PlainText"/>
    <w:uiPriority w:val="99"/>
    <w:semiHidden/>
    <w:rsid w:val="00DA3A70"/>
    <w:rPr>
      <w:rFonts w:ascii="Consolas" w:eastAsia="Calibri" w:hAnsi="Consolas" w:cs="Times New Roman"/>
      <w:sz w:val="21"/>
      <w:szCs w:val="21"/>
      <w:lang w:val="nb-NO"/>
    </w:rPr>
  </w:style>
  <w:style w:type="paragraph" w:customStyle="1" w:styleId="Revision1">
    <w:name w:val="Revision1"/>
    <w:hidden/>
    <w:uiPriority w:val="99"/>
    <w:semiHidden/>
    <w:rsid w:val="00DA3A70"/>
    <w:pPr>
      <w:spacing w:after="0" w:line="240" w:lineRule="auto"/>
    </w:pPr>
    <w:rPr>
      <w:rFonts w:ascii="Calibri" w:eastAsia="Times New Roman" w:hAnsi="Calibri" w:cs="Times New Roman"/>
    </w:rPr>
  </w:style>
  <w:style w:type="character" w:styleId="Emphasis">
    <w:name w:val="Emphasis"/>
    <w:uiPriority w:val="20"/>
    <w:qFormat/>
    <w:rsid w:val="00DA3A70"/>
    <w:rPr>
      <w:i/>
      <w:iCs/>
    </w:rPr>
  </w:style>
  <w:style w:type="character" w:styleId="Strong">
    <w:name w:val="Strong"/>
    <w:uiPriority w:val="22"/>
    <w:qFormat/>
    <w:rsid w:val="00DA3A70"/>
    <w:rPr>
      <w:b/>
      <w:bCs/>
    </w:rPr>
  </w:style>
  <w:style w:type="character" w:customStyle="1" w:styleId="cit-sep3">
    <w:name w:val="cit-sep3"/>
    <w:basedOn w:val="DefaultParagraphFont"/>
    <w:rsid w:val="00DA3A70"/>
  </w:style>
  <w:style w:type="character" w:styleId="HTMLCite">
    <w:name w:val="HTML Cite"/>
    <w:uiPriority w:val="99"/>
    <w:semiHidden/>
    <w:unhideWhenUsed/>
    <w:rsid w:val="00DA3A70"/>
    <w:rPr>
      <w:i/>
      <w:iCs/>
    </w:rPr>
  </w:style>
  <w:style w:type="character" w:customStyle="1" w:styleId="cit-title3">
    <w:name w:val="cit-title3"/>
    <w:basedOn w:val="DefaultParagraphFont"/>
    <w:rsid w:val="00DA3A70"/>
  </w:style>
  <w:style w:type="character" w:customStyle="1" w:styleId="cit-print-date">
    <w:name w:val="cit-print-date"/>
    <w:basedOn w:val="DefaultParagraphFont"/>
    <w:rsid w:val="00DA3A70"/>
  </w:style>
  <w:style w:type="character" w:customStyle="1" w:styleId="cit-vol">
    <w:name w:val="cit-vol"/>
    <w:basedOn w:val="DefaultParagraphFont"/>
    <w:rsid w:val="00DA3A70"/>
  </w:style>
  <w:style w:type="character" w:customStyle="1" w:styleId="cit-first-page">
    <w:name w:val="cit-first-page"/>
    <w:basedOn w:val="DefaultParagraphFont"/>
    <w:rsid w:val="00DA3A70"/>
  </w:style>
  <w:style w:type="character" w:customStyle="1" w:styleId="cit-last-page">
    <w:name w:val="cit-last-page"/>
    <w:basedOn w:val="DefaultParagraphFont"/>
    <w:rsid w:val="00DA3A70"/>
  </w:style>
  <w:style w:type="character" w:customStyle="1" w:styleId="search-result-highlight1">
    <w:name w:val="search-result-highlight1"/>
    <w:rsid w:val="00DA3A70"/>
    <w:rPr>
      <w:b/>
      <w:bCs/>
      <w:color w:val="CC0000"/>
    </w:rPr>
  </w:style>
  <w:style w:type="character" w:customStyle="1" w:styleId="cit-auth2">
    <w:name w:val="cit-auth2"/>
    <w:basedOn w:val="DefaultParagraphFont"/>
    <w:rsid w:val="00DA3A70"/>
  </w:style>
  <w:style w:type="character" w:customStyle="1" w:styleId="cit-sep4">
    <w:name w:val="cit-sep4"/>
    <w:basedOn w:val="DefaultParagraphFont"/>
    <w:rsid w:val="00DA3A70"/>
  </w:style>
  <w:style w:type="character" w:customStyle="1" w:styleId="cit-title9">
    <w:name w:val="cit-title9"/>
    <w:basedOn w:val="DefaultParagraphFont"/>
    <w:rsid w:val="00DA3A70"/>
  </w:style>
  <w:style w:type="character" w:customStyle="1" w:styleId="cit-subtitle">
    <w:name w:val="cit-subtitle"/>
    <w:basedOn w:val="DefaultParagraphFont"/>
    <w:rsid w:val="00DA3A70"/>
  </w:style>
  <w:style w:type="character" w:customStyle="1" w:styleId="cit-vol2">
    <w:name w:val="cit-vol2"/>
    <w:basedOn w:val="DefaultParagraphFont"/>
    <w:rsid w:val="00DA3A70"/>
  </w:style>
  <w:style w:type="character" w:customStyle="1" w:styleId="cit-issue">
    <w:name w:val="cit-issue"/>
    <w:basedOn w:val="DefaultParagraphFont"/>
    <w:rsid w:val="00DA3A70"/>
  </w:style>
  <w:style w:type="character" w:customStyle="1" w:styleId="cit-last-page2">
    <w:name w:val="cit-last-page2"/>
    <w:basedOn w:val="DefaultParagraphFont"/>
    <w:rsid w:val="00DA3A70"/>
  </w:style>
  <w:style w:type="paragraph" w:customStyle="1" w:styleId="Pa4">
    <w:name w:val="Pa4"/>
    <w:basedOn w:val="Normal"/>
    <w:next w:val="Normal"/>
    <w:uiPriority w:val="99"/>
    <w:rsid w:val="00DA3A70"/>
    <w:pPr>
      <w:autoSpaceDE w:val="0"/>
      <w:autoSpaceDN w:val="0"/>
      <w:adjustRightInd w:val="0"/>
      <w:spacing w:after="0" w:line="201" w:lineRule="atLeast"/>
    </w:pPr>
    <w:rPr>
      <w:rFonts w:ascii="Minion Pro" w:eastAsia="MS Mincho" w:hAnsi="Minion Pro"/>
      <w:sz w:val="24"/>
      <w:szCs w:val="24"/>
    </w:rPr>
  </w:style>
  <w:style w:type="character" w:customStyle="1" w:styleId="ja50-ce-author1">
    <w:name w:val="ja50-ce-author1"/>
    <w:rsid w:val="00DA3A70"/>
    <w:rPr>
      <w:color w:val="808080"/>
      <w:sz w:val="23"/>
      <w:szCs w:val="23"/>
    </w:rPr>
  </w:style>
  <w:style w:type="character" w:customStyle="1" w:styleId="ja50-ce-title2">
    <w:name w:val="ja50-ce-title2"/>
    <w:rsid w:val="00DA3A70"/>
    <w:rPr>
      <w:b/>
      <w:bCs/>
      <w:color w:val="000000"/>
      <w:sz w:val="24"/>
      <w:szCs w:val="24"/>
    </w:rPr>
  </w:style>
  <w:style w:type="paragraph" w:customStyle="1" w:styleId="Elencoacolori-Colore11">
    <w:name w:val="Elenco a colori - Colore 11"/>
    <w:basedOn w:val="Normal"/>
    <w:uiPriority w:val="34"/>
    <w:qFormat/>
    <w:rsid w:val="00DA3A70"/>
    <w:pPr>
      <w:ind w:left="720"/>
      <w:contextualSpacing/>
    </w:pPr>
  </w:style>
  <w:style w:type="paragraph" w:customStyle="1" w:styleId="Elencoacolori-Colore12">
    <w:name w:val="Elenco a colori - Colore 12"/>
    <w:basedOn w:val="Normal"/>
    <w:qFormat/>
    <w:rsid w:val="00DA3A70"/>
    <w:pPr>
      <w:ind w:left="720"/>
      <w:contextualSpacing/>
    </w:pPr>
  </w:style>
  <w:style w:type="table" w:styleId="TableGrid">
    <w:name w:val="Table Grid"/>
    <w:basedOn w:val="TableNormal"/>
    <w:uiPriority w:val="39"/>
    <w:rsid w:val="00DA3A70"/>
    <w:pPr>
      <w:spacing w:after="200" w:line="276"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3">
    <w:name w:val="Medium Grid 3 Accent 3"/>
    <w:basedOn w:val="TableNormal"/>
    <w:uiPriority w:val="60"/>
    <w:rsid w:val="00DA3A70"/>
    <w:pPr>
      <w:spacing w:after="0" w:line="240" w:lineRule="auto"/>
    </w:pPr>
    <w:rPr>
      <w:rFonts w:ascii="Tahoma" w:eastAsia="Calibri" w:hAnsi="Tahoma"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TOCHeading">
    <w:name w:val="TOC Heading"/>
    <w:basedOn w:val="Heading1"/>
    <w:next w:val="Normal"/>
    <w:uiPriority w:val="39"/>
    <w:qFormat/>
    <w:rsid w:val="00DA3A70"/>
    <w:pPr>
      <w:keepLines/>
      <w:spacing w:before="240" w:after="600"/>
      <w:jc w:val="center"/>
      <w:outlineLvl w:val="9"/>
    </w:pPr>
    <w:rPr>
      <w:rFonts w:ascii="Tahoma" w:eastAsia="Times New Roman" w:hAnsi="Tahoma"/>
      <w:bCs/>
      <w:color w:val="008000"/>
      <w:sz w:val="28"/>
      <w:szCs w:val="28"/>
    </w:rPr>
  </w:style>
  <w:style w:type="paragraph" w:styleId="Title">
    <w:name w:val="Title"/>
    <w:aliases w:val="ECDC AF Title"/>
    <w:basedOn w:val="Normal"/>
    <w:next w:val="Normal"/>
    <w:link w:val="TitleChar"/>
    <w:autoRedefine/>
    <w:uiPriority w:val="10"/>
    <w:qFormat/>
    <w:rsid w:val="00DA3A70"/>
    <w:pPr>
      <w:spacing w:before="240" w:after="360" w:line="240" w:lineRule="auto"/>
      <w:jc w:val="center"/>
    </w:pPr>
    <w:rPr>
      <w:rFonts w:ascii="Tahoma" w:hAnsi="Tahoma"/>
      <w:b/>
      <w:spacing w:val="5"/>
      <w:kern w:val="28"/>
      <w:sz w:val="28"/>
      <w:szCs w:val="52"/>
    </w:rPr>
  </w:style>
  <w:style w:type="character" w:customStyle="1" w:styleId="TitleChar">
    <w:name w:val="Title Char"/>
    <w:aliases w:val="ECDC AF Title Char"/>
    <w:link w:val="Title"/>
    <w:uiPriority w:val="10"/>
    <w:rsid w:val="00DA3A70"/>
    <w:rPr>
      <w:rFonts w:ascii="Tahoma" w:eastAsia="Times New Roman" w:hAnsi="Tahoma" w:cs="Times New Roman"/>
      <w:b/>
      <w:spacing w:val="5"/>
      <w:kern w:val="28"/>
      <w:sz w:val="28"/>
      <w:szCs w:val="52"/>
    </w:rPr>
  </w:style>
  <w:style w:type="paragraph" w:customStyle="1" w:styleId="Paragrafoelenco1">
    <w:name w:val="Paragrafo elenco1"/>
    <w:aliases w:val="ECDC AF Paragraph"/>
    <w:basedOn w:val="Normal"/>
    <w:autoRedefine/>
    <w:uiPriority w:val="34"/>
    <w:qFormat/>
    <w:rsid w:val="00DA3A70"/>
    <w:pPr>
      <w:numPr>
        <w:numId w:val="7"/>
      </w:numPr>
      <w:tabs>
        <w:tab w:val="left" w:pos="567"/>
      </w:tabs>
      <w:spacing w:before="120" w:after="120" w:line="240" w:lineRule="auto"/>
      <w:ind w:left="0" w:firstLine="0"/>
      <w:jc w:val="both"/>
    </w:pPr>
    <w:rPr>
      <w:rFonts w:ascii="Tahoma" w:eastAsia="Calibri" w:hAnsi="Tahoma"/>
      <w:sz w:val="20"/>
      <w:szCs w:val="20"/>
    </w:rPr>
  </w:style>
  <w:style w:type="paragraph" w:styleId="TOC1">
    <w:name w:val="toc 1"/>
    <w:basedOn w:val="Normal"/>
    <w:next w:val="Normal"/>
    <w:autoRedefine/>
    <w:uiPriority w:val="39"/>
    <w:unhideWhenUsed/>
    <w:rsid w:val="00DA3A70"/>
    <w:pPr>
      <w:spacing w:before="120" w:after="100" w:line="240" w:lineRule="auto"/>
    </w:pPr>
    <w:rPr>
      <w:rFonts w:ascii="Tahoma" w:eastAsia="Calibri" w:hAnsi="Tahoma"/>
      <w:sz w:val="20"/>
      <w:szCs w:val="20"/>
    </w:rPr>
  </w:style>
  <w:style w:type="paragraph" w:styleId="TOC2">
    <w:name w:val="toc 2"/>
    <w:basedOn w:val="Normal"/>
    <w:next w:val="Normal"/>
    <w:autoRedefine/>
    <w:uiPriority w:val="39"/>
    <w:unhideWhenUsed/>
    <w:rsid w:val="00DA3A70"/>
    <w:pPr>
      <w:spacing w:before="120" w:after="100" w:line="240" w:lineRule="auto"/>
      <w:ind w:left="200"/>
    </w:pPr>
    <w:rPr>
      <w:rFonts w:ascii="Tahoma" w:eastAsia="Calibri" w:hAnsi="Tahoma"/>
      <w:sz w:val="20"/>
      <w:szCs w:val="20"/>
    </w:rPr>
  </w:style>
  <w:style w:type="paragraph" w:styleId="TOC3">
    <w:name w:val="toc 3"/>
    <w:basedOn w:val="Normal"/>
    <w:next w:val="Normal"/>
    <w:autoRedefine/>
    <w:uiPriority w:val="39"/>
    <w:unhideWhenUsed/>
    <w:rsid w:val="00DA3A70"/>
    <w:pPr>
      <w:spacing w:before="120" w:after="100" w:line="240" w:lineRule="auto"/>
      <w:ind w:left="400"/>
    </w:pPr>
    <w:rPr>
      <w:rFonts w:ascii="Tahoma" w:eastAsia="Calibri" w:hAnsi="Tahoma"/>
      <w:sz w:val="20"/>
      <w:szCs w:val="20"/>
    </w:rPr>
  </w:style>
  <w:style w:type="paragraph" w:customStyle="1" w:styleId="ColorfulShading-Accent11">
    <w:name w:val="Colorful Shading - Accent 11"/>
    <w:hidden/>
    <w:uiPriority w:val="99"/>
    <w:semiHidden/>
    <w:rsid w:val="00DA3A70"/>
    <w:pPr>
      <w:spacing w:after="0" w:line="240" w:lineRule="auto"/>
    </w:pPr>
    <w:rPr>
      <w:rFonts w:ascii="Calibri" w:eastAsia="Times New Roman" w:hAnsi="Calibri" w:cs="Times New Roman"/>
    </w:rPr>
  </w:style>
  <w:style w:type="paragraph" w:customStyle="1" w:styleId="ColorfulList-Accent11">
    <w:name w:val="Colorful List - Accent 11"/>
    <w:basedOn w:val="Normal"/>
    <w:uiPriority w:val="34"/>
    <w:qFormat/>
    <w:rsid w:val="00DA3A70"/>
    <w:pPr>
      <w:ind w:left="708"/>
    </w:pPr>
  </w:style>
  <w:style w:type="paragraph" w:styleId="NormalWeb">
    <w:name w:val="Normal (Web)"/>
    <w:basedOn w:val="Normal"/>
    <w:uiPriority w:val="99"/>
    <w:semiHidden/>
    <w:unhideWhenUsed/>
    <w:rsid w:val="00DA3A70"/>
    <w:rPr>
      <w:rFonts w:ascii="Times New Roman" w:hAnsi="Times New Roman"/>
      <w:sz w:val="24"/>
      <w:szCs w:val="24"/>
    </w:rPr>
  </w:style>
  <w:style w:type="paragraph" w:customStyle="1" w:styleId="EndNoteBibliographyTitle">
    <w:name w:val="EndNote Bibliography Title"/>
    <w:basedOn w:val="Normal"/>
    <w:link w:val="EndNoteBibliographyTitleChar"/>
    <w:rsid w:val="00DA3A70"/>
    <w:pPr>
      <w:spacing w:after="0"/>
      <w:jc w:val="center"/>
    </w:pPr>
    <w:rPr>
      <w:noProof/>
      <w:sz w:val="20"/>
    </w:rPr>
  </w:style>
  <w:style w:type="character" w:customStyle="1" w:styleId="EndNoteBibliographyTitleChar">
    <w:name w:val="EndNote Bibliography Title Char"/>
    <w:link w:val="EndNoteBibliographyTitle"/>
    <w:rsid w:val="00DA3A70"/>
    <w:rPr>
      <w:rFonts w:ascii="Calibri" w:eastAsia="Times New Roman" w:hAnsi="Calibri" w:cs="Times New Roman"/>
      <w:noProof/>
      <w:sz w:val="20"/>
      <w:lang w:val="nb-NO" w:eastAsia="nb-NO"/>
    </w:rPr>
  </w:style>
  <w:style w:type="paragraph" w:customStyle="1" w:styleId="EndNoteBibliography">
    <w:name w:val="EndNote Bibliography"/>
    <w:basedOn w:val="Normal"/>
    <w:link w:val="EndNoteBibliographyChar"/>
    <w:rsid w:val="00DA3A70"/>
    <w:pPr>
      <w:spacing w:line="240" w:lineRule="auto"/>
      <w:jc w:val="both"/>
    </w:pPr>
    <w:rPr>
      <w:noProof/>
      <w:sz w:val="20"/>
    </w:rPr>
  </w:style>
  <w:style w:type="character" w:customStyle="1" w:styleId="EndNoteBibliographyChar">
    <w:name w:val="EndNote Bibliography Char"/>
    <w:link w:val="EndNoteBibliography"/>
    <w:rsid w:val="00DA3A70"/>
    <w:rPr>
      <w:rFonts w:ascii="Calibri" w:eastAsia="Times New Roman" w:hAnsi="Calibri" w:cs="Times New Roman"/>
      <w:noProof/>
      <w:sz w:val="20"/>
      <w:lang w:val="nb-NO" w:eastAsia="nb-NO"/>
    </w:rPr>
  </w:style>
  <w:style w:type="character" w:styleId="FollowedHyperlink">
    <w:name w:val="FollowedHyperlink"/>
    <w:uiPriority w:val="99"/>
    <w:semiHidden/>
    <w:unhideWhenUsed/>
    <w:rsid w:val="00DA3A70"/>
    <w:rPr>
      <w:color w:val="954F72"/>
      <w:u w:val="single"/>
    </w:rPr>
  </w:style>
  <w:style w:type="paragraph" w:customStyle="1" w:styleId="MediumGrid21">
    <w:name w:val="Medium Grid 21"/>
    <w:uiPriority w:val="1"/>
    <w:qFormat/>
    <w:rsid w:val="00DA3A7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yperlink0">
    <w:name w:val="Hyperlink.0"/>
    <w:rsid w:val="00DA3A70"/>
  </w:style>
  <w:style w:type="character" w:customStyle="1" w:styleId="hide1">
    <w:name w:val="hide1"/>
    <w:rsid w:val="00DA3A70"/>
    <w:rPr>
      <w:vanish/>
      <w:webHidden w:val="0"/>
      <w:specVanish w:val="0"/>
    </w:rPr>
  </w:style>
  <w:style w:type="paragraph" w:customStyle="1" w:styleId="Default">
    <w:name w:val="Default"/>
    <w:rsid w:val="00DA3A7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ListParagraph">
    <w:name w:val="List Paragraph"/>
    <w:basedOn w:val="Normal"/>
    <w:uiPriority w:val="34"/>
    <w:qFormat/>
    <w:rsid w:val="00DA3A70"/>
    <w:pPr>
      <w:ind w:left="720"/>
    </w:pPr>
  </w:style>
  <w:style w:type="table" w:customStyle="1" w:styleId="GridTable4-Accent31">
    <w:name w:val="Grid Table 4 - Accent 31"/>
    <w:basedOn w:val="TableNormal"/>
    <w:next w:val="GridTable4-Accent32"/>
    <w:uiPriority w:val="49"/>
    <w:rsid w:val="00DA3A70"/>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2">
    <w:name w:val="Grid Table 4 - Accent 32"/>
    <w:basedOn w:val="TableNormal"/>
    <w:uiPriority w:val="49"/>
    <w:rsid w:val="00DA3A70"/>
    <w:pPr>
      <w:spacing w:after="0" w:line="240" w:lineRule="auto"/>
    </w:pPr>
    <w:rPr>
      <w:rFonts w:ascii="Calibri" w:eastAsia="Times New Roman" w:hAnsi="Calibri" w:cs="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m2344583173576020509msolistparagraph">
    <w:name w:val="m_2344583173576020509msolistparagraph"/>
    <w:basedOn w:val="Normal"/>
    <w:rsid w:val="00DA3A70"/>
    <w:pPr>
      <w:spacing w:before="100" w:beforeAutospacing="1" w:after="100" w:afterAutospacing="1" w:line="240" w:lineRule="auto"/>
    </w:pPr>
    <w:rPr>
      <w:rFonts w:ascii="Times New Roman" w:eastAsia="Calibri" w:hAnsi="Times New Roman"/>
      <w:sz w:val="24"/>
      <w:szCs w:val="24"/>
    </w:rPr>
  </w:style>
  <w:style w:type="table" w:styleId="MediumShading2-Accent4">
    <w:name w:val="Medium Shading 2 Accent 4"/>
    <w:basedOn w:val="TableNormal"/>
    <w:uiPriority w:val="60"/>
    <w:rsid w:val="00DA3A70"/>
    <w:pPr>
      <w:spacing w:after="0" w:line="240" w:lineRule="auto"/>
    </w:pPr>
    <w:rPr>
      <w:rFonts w:ascii="Tahoma" w:eastAsia="Calibri" w:hAnsi="Tahoma"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odyText">
    <w:name w:val="Body Text"/>
    <w:basedOn w:val="Normal"/>
    <w:link w:val="BodyTextChar"/>
    <w:uiPriority w:val="1"/>
    <w:qFormat/>
    <w:rsid w:val="00DA3A70"/>
    <w:pPr>
      <w:widowControl w:val="0"/>
      <w:spacing w:after="0" w:line="240" w:lineRule="auto"/>
    </w:pPr>
    <w:rPr>
      <w:rFonts w:eastAsia="Calibri" w:cs="Calibri"/>
    </w:rPr>
  </w:style>
  <w:style w:type="character" w:customStyle="1" w:styleId="BodyTextChar">
    <w:name w:val="Body Text Char"/>
    <w:basedOn w:val="DefaultParagraphFont"/>
    <w:link w:val="BodyText"/>
    <w:uiPriority w:val="1"/>
    <w:rsid w:val="00DA3A70"/>
    <w:rPr>
      <w:rFonts w:ascii="Calibri" w:eastAsia="Calibri" w:hAnsi="Calibri" w:cs="Calibri"/>
      <w:lang w:val="nb-NO"/>
    </w:rPr>
  </w:style>
  <w:style w:type="character" w:customStyle="1" w:styleId="Heading4Char">
    <w:name w:val="Heading 4 Char"/>
    <w:basedOn w:val="DefaultParagraphFont"/>
    <w:link w:val="Heading4"/>
    <w:uiPriority w:val="9"/>
    <w:rsid w:val="00EA1DD2"/>
    <w:rPr>
      <w:rFonts w:asciiTheme="majorHAnsi" w:eastAsiaTheme="majorEastAsia" w:hAnsiTheme="majorHAnsi" w:cstheme="majorBidi"/>
      <w:i/>
      <w:iCs/>
      <w:color w:val="2E74B5" w:themeColor="accent1" w:themeShade="BF"/>
      <w:lang w:val="nb-NO" w:eastAsia="nb-NO"/>
    </w:rPr>
  </w:style>
  <w:style w:type="character" w:customStyle="1" w:styleId="Heading5Char">
    <w:name w:val="Heading 5 Char"/>
    <w:basedOn w:val="DefaultParagraphFont"/>
    <w:link w:val="Heading5"/>
    <w:uiPriority w:val="9"/>
    <w:rsid w:val="00E93802"/>
    <w:rPr>
      <w:rFonts w:asciiTheme="majorHAnsi" w:eastAsiaTheme="majorEastAsia" w:hAnsiTheme="majorHAnsi" w:cstheme="majorBidi"/>
      <w:color w:val="2E74B5" w:themeColor="accent1" w:themeShade="BF"/>
      <w:lang w:val="nb-NO" w:eastAsia="nb-NO"/>
    </w:rPr>
  </w:style>
  <w:style w:type="paragraph" w:customStyle="1" w:styleId="EC-Title-5">
    <w:name w:val="EC-Title-5"/>
    <w:next w:val="Normal"/>
    <w:link w:val="EC-Title-5CharChar"/>
    <w:qFormat/>
    <w:rsid w:val="00E93802"/>
    <w:pPr>
      <w:autoSpaceDE w:val="0"/>
      <w:autoSpaceDN w:val="0"/>
      <w:adjustRightInd w:val="0"/>
      <w:spacing w:before="240" w:after="120" w:line="241" w:lineRule="atLeast"/>
      <w:outlineLvl w:val="1"/>
    </w:pPr>
    <w:rPr>
      <w:rFonts w:ascii="Tahoma" w:eastAsia="Batang" w:hAnsi="Tahoma" w:cs="Tahoma"/>
      <w:b/>
      <w:bCs/>
      <w:color w:val="69AE23"/>
      <w:sz w:val="30"/>
      <w:szCs w:val="30"/>
    </w:rPr>
  </w:style>
  <w:style w:type="character" w:customStyle="1" w:styleId="EC-Title-5CharChar">
    <w:name w:val="EC-Title-5 Char Char"/>
    <w:basedOn w:val="DefaultParagraphFont"/>
    <w:link w:val="EC-Title-5"/>
    <w:rsid w:val="00E93802"/>
    <w:rPr>
      <w:rFonts w:ascii="Tahoma" w:eastAsia="Batang" w:hAnsi="Tahoma" w:cs="Tahoma"/>
      <w:b/>
      <w:bCs/>
      <w:color w:val="69AE23"/>
      <w:sz w:val="30"/>
      <w:szCs w:val="30"/>
    </w:rPr>
  </w:style>
  <w:style w:type="paragraph" w:customStyle="1" w:styleId="EC-Title-6">
    <w:name w:val="EC-Title-6"/>
    <w:next w:val="Normal"/>
    <w:link w:val="EC-Title-6CharChar"/>
    <w:qFormat/>
    <w:rsid w:val="00E93802"/>
    <w:pPr>
      <w:widowControl w:val="0"/>
      <w:spacing w:before="120" w:after="120" w:line="240" w:lineRule="auto"/>
      <w:outlineLvl w:val="2"/>
    </w:pPr>
    <w:rPr>
      <w:rFonts w:ascii="Tahoma" w:eastAsia="Batang" w:hAnsi="Tahoma" w:cs="Tahoma"/>
      <w:b/>
      <w:bCs/>
      <w:color w:val="69AE23"/>
      <w:sz w:val="26"/>
      <w:szCs w:val="26"/>
    </w:rPr>
  </w:style>
  <w:style w:type="character" w:customStyle="1" w:styleId="EC-Title-6CharChar">
    <w:name w:val="EC-Title-6 Char Char"/>
    <w:link w:val="EC-Title-6"/>
    <w:rsid w:val="00E93802"/>
    <w:rPr>
      <w:rFonts w:ascii="Tahoma" w:eastAsia="Batang" w:hAnsi="Tahoma" w:cs="Tahoma"/>
      <w:b/>
      <w:bCs/>
      <w:color w:val="69AE23"/>
      <w:sz w:val="26"/>
      <w:szCs w:val="26"/>
    </w:rPr>
  </w:style>
  <w:style w:type="paragraph" w:customStyle="1" w:styleId="EC-Title-7">
    <w:name w:val="EC-Title-7"/>
    <w:next w:val="Normal"/>
    <w:link w:val="EC-Title-7Char"/>
    <w:qFormat/>
    <w:rsid w:val="00083CEE"/>
    <w:pPr>
      <w:spacing w:before="120" w:after="0" w:line="240" w:lineRule="auto"/>
      <w:outlineLvl w:val="3"/>
    </w:pPr>
    <w:rPr>
      <w:rFonts w:ascii="Tahoma" w:eastAsia="Times New Roman" w:hAnsi="Tahoma" w:cs="Tahoma"/>
      <w:b/>
      <w:bCs/>
      <w:i/>
      <w:color w:val="69AE23"/>
    </w:rPr>
  </w:style>
  <w:style w:type="character" w:customStyle="1" w:styleId="EC-Title-7Char">
    <w:name w:val="EC-Title-7 Char"/>
    <w:basedOn w:val="DefaultParagraphFont"/>
    <w:link w:val="EC-Title-7"/>
    <w:rsid w:val="00083CEE"/>
    <w:rPr>
      <w:rFonts w:ascii="Tahoma" w:eastAsia="Times New Roman" w:hAnsi="Tahoma" w:cs="Tahoma"/>
      <w:b/>
      <w:bCs/>
      <w:i/>
      <w:color w:val="69AE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dc.europa.eu/en/tuberculos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rs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2CBC8-0170-4316-8A27-D1047FB98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9</Pages>
  <Words>5709</Words>
  <Characters>32542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38175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dc:creator>
  <cp:lastModifiedBy>Senia Rosales-Klintz</cp:lastModifiedBy>
  <cp:revision>16</cp:revision>
  <cp:lastPrinted>2018-05-24T11:29:00Z</cp:lastPrinted>
  <dcterms:created xsi:type="dcterms:W3CDTF">2018-05-24T10:20:00Z</dcterms:created>
  <dcterms:modified xsi:type="dcterms:W3CDTF">2018-06-13T10:14:00Z</dcterms:modified>
</cp:coreProperties>
</file>