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0 -->
  <w:body>
    <w:p w:rsidR="00DA3A70" w:rsidRPr="003506D9" w:rsidP="000D0DB0">
      <w:pPr>
        <w:pStyle w:val="EC-Title-5"/>
        <w:rPr>
          <w:b w:val="0"/>
          <w:spacing w:val="-10"/>
          <w:sz w:val="24"/>
        </w:rPr>
      </w:pPr>
      <w:r w:rsidRPr="003506D9">
        <w:t>Standards tal-Unjoni Ewropea għall-Kura tat-Tuberkolożi - aġġornament tal-2017</w:t>
      </w:r>
    </w:p>
    <w:p w:rsidR="008745B1" w:rsidRPr="003506D9" w:rsidP="000D0DB0">
      <w:pPr>
        <w:autoSpaceDE w:val="0"/>
        <w:autoSpaceDN w:val="0"/>
        <w:adjustRightInd w:val="0"/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Iċ-Ċentru Ewropew għall-Prevenzjoni u l-Kontroll tal-Mard (ECDC) u s-Soċjetà Respiratorja Ewropea(ERS) żviluppaw 21 standard ibbażati fuq il-pazjent biex jiggwidaw lit-tobba u lill-ħaddiema tas-saħħa pubblika fix-xogħol tagħhom biex jiżguraw dijanjożi, kur</w:t>
      </w:r>
      <w:r w:rsidRPr="003506D9">
        <w:rPr>
          <w:rFonts w:ascii="Tahoma" w:hAnsi="Tahoma"/>
          <w:sz w:val="18"/>
        </w:rPr>
        <w:t>a u prevenzjoni ottimali tat-tuberkulożi (TB) fl-Ewropa. Fl-2017, l-Istandards tal-Unjoni Ewropea għall-Kura tat-Tuberkolożi (ESTC) ġew aġġornati biex jinkorporaw l-iżviluppi teknoloġiċi u r-rakkomandazzjonijiet internazzjonali l-aktar riċenti għad-dijanjo</w:t>
      </w:r>
      <w:r w:rsidRPr="003506D9">
        <w:rPr>
          <w:rFonts w:ascii="Tahoma" w:hAnsi="Tahoma"/>
          <w:sz w:val="18"/>
        </w:rPr>
        <w:t>żi, il-kura u l-prevenzjoni tat-TB.</w:t>
      </w:r>
    </w:p>
    <w:p w:rsidR="00E93802" w:rsidRPr="003506D9" w:rsidP="0028467E">
      <w:pPr>
        <w:pStyle w:val="EC-Title-6"/>
      </w:pPr>
      <w:bookmarkStart w:id="0" w:name="_Toc512588780"/>
      <w:r w:rsidRPr="003506D9">
        <w:t>Standards ogħla meħtieġa biex isir progress għall-eliminazzjoni tat-TB fl-Unjoni Ewropea</w:t>
      </w:r>
      <w:bookmarkEnd w:id="0"/>
    </w:p>
    <w:p w:rsidR="00083CEE" w:rsidRPr="003506D9" w:rsidP="00083CEE">
      <w:pPr>
        <w:pStyle w:val="EC-Title-7"/>
      </w:pPr>
      <w:r w:rsidRPr="003506D9">
        <w:t>Għaliex standards Ewropej għandhom jiġu adattati?</w:t>
      </w:r>
    </w:p>
    <w:p w:rsidR="008745B1" w:rsidRPr="003506D9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L-Istandards Internazzjonali għall-Kura tat-Tuberkolożi (ISTC) ġew ippubblikati g</w:t>
      </w:r>
      <w:r w:rsidRPr="003506D9">
        <w:rPr>
          <w:rFonts w:ascii="Tahoma" w:hAnsi="Tahoma"/>
          <w:sz w:val="18"/>
        </w:rPr>
        <w:t>ħall-ewwel darba fl-2006 u sussegwentement ġew aġġornati fl-2009 u l-2014. L-ISTC jiddeskrivu livell aċċettat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mod ġenerali tal-kura tat-TB, madankollu, jiffukaw fuq ambjenti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piż għoli u dħul baxx.</w:t>
      </w:r>
    </w:p>
    <w:p w:rsidR="008745B1" w:rsidRPr="003506D9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Fl-UE/ŻEE, il-kuntest epidemijoloġiku u d-disponibbil</w:t>
      </w:r>
      <w:r w:rsidRPr="003506D9">
        <w:rPr>
          <w:rFonts w:ascii="Tahoma" w:hAnsi="Tahoma"/>
          <w:sz w:val="18"/>
        </w:rPr>
        <w:t>tà tar-riżorsi finanzjarji huma differenti:</w:t>
      </w:r>
    </w:p>
    <w:p w:rsidR="00F03325" w:rsidRPr="003506D9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Il-piż huwa baxx/intermedjarju iżda eteroġenu</w:t>
      </w:r>
    </w:p>
    <w:p w:rsidR="008745B1" w:rsidRPr="003506D9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Tradizzjoni twila tal-prevenzjoni u l-kontroll tat-TB</w:t>
      </w:r>
    </w:p>
    <w:p w:rsidR="008745B1" w:rsidRPr="003506D9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Hemm riżorsi disponibbli</w:t>
      </w:r>
    </w:p>
    <w:p w:rsidR="008745B1" w:rsidRPr="003506D9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Ħtieġa li jiġi żgurat l-użu ottimali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dawn ir-riżorsi</w:t>
      </w:r>
    </w:p>
    <w:p w:rsidR="008745B1" w:rsidRPr="003506D9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Is-servizzi tat-TB huma integr</w:t>
      </w:r>
      <w:r w:rsidRPr="003506D9">
        <w:rPr>
          <w:rFonts w:ascii="Tahoma" w:hAnsi="Tahoma"/>
          <w:sz w:val="18"/>
        </w:rPr>
        <w:t>ati fis-sistema tas-saħħa</w:t>
      </w:r>
    </w:p>
    <w:p w:rsidR="008745B1" w:rsidRPr="003506D9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Kull pazjent għandu d-dritt li jaċċessa l-aħjar kura possibbli.</w:t>
      </w:r>
    </w:p>
    <w:p w:rsidR="008745B1" w:rsidRPr="003506D9" w:rsidP="0028467E">
      <w:pPr>
        <w:pStyle w:val="EC-Title-6"/>
        <w:rPr>
          <w:sz w:val="30"/>
          <w:szCs w:val="30"/>
        </w:rPr>
      </w:pPr>
      <w:r w:rsidRPr="003506D9">
        <w:rPr>
          <w:sz w:val="30"/>
        </w:rPr>
        <w:t>L-ESTC huma standards li fiċ-ċentru tagħhom hemm il-pazjent u huma mfasslin għal dawk li jaħdmu fil-kliniċi u għal ħaddiema tas-saħħa pubblika</w:t>
      </w:r>
    </w:p>
    <w:p w:rsidR="008745B1" w:rsidRPr="003506D9" w:rsidP="0028467E">
      <w:pPr>
        <w:pStyle w:val="EC-Title-7"/>
        <w:rPr>
          <w:rFonts w:eastAsia="Batang"/>
        </w:rPr>
      </w:pPr>
      <w:r w:rsidRPr="003506D9">
        <w:t>Kif ġew żviluppati u aġ</w:t>
      </w:r>
      <w:r w:rsidRPr="003506D9">
        <w:t>ġornati l-ESTC?</w:t>
      </w:r>
    </w:p>
    <w:p w:rsidR="008745B1" w:rsidRPr="003506D9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dan l-isforz kollaborattiv, l-ERS hija l-mexxej fl-iżvilupp u fl-aġġornament tal-istandards relatati klinikament u l-ECDC żviluppa u aġġorna l-istandards relatati mas-saħħa pubblika. L-iżvilupp u l-aġġornament ġew iggwidati minn task forc</w:t>
      </w:r>
      <w:r w:rsidRPr="003506D9">
        <w:rPr>
          <w:rFonts w:ascii="Tahoma" w:hAnsi="Tahoma"/>
          <w:sz w:val="18"/>
        </w:rPr>
        <w:t>e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esperti internazzjonali li jirrappreżentaw oqsma differenti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kompetenza, organizzazzjonijiet u rappreżentanti tal-pazjenti tat-TB. L-evidenza ġiet rieżaminata fl-isfond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linji gwida internazzjonali ppubblikati. Kumitat tal-kitba ħejja abbozz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dokument li mbagħad ġie rieżaminat u approvat mit-task force. L-ESTC ġew żviluppati u aġġornati biex jikkumplimentaw l-ISTC u linji gwida eżistenti oħrajn. </w:t>
      </w:r>
    </w:p>
    <w:p w:rsidR="008745B1" w:rsidRPr="003506D9" w:rsidP="000D0DB0">
      <w:pPr>
        <w:pStyle w:val="EC-Title-5"/>
        <w:spacing w:before="120"/>
        <w:rPr>
          <w:b w:val="0"/>
        </w:rPr>
      </w:pPr>
      <w:r w:rsidRPr="003506D9">
        <w:t>Riżors faċli biex jintuża biex tkun żgurata d-dijanjożi, il-kura u l-prevenzjoni ottimali tat-TB</w:t>
      </w:r>
    </w:p>
    <w:p w:rsidR="008745B1" w:rsidRPr="003506D9" w:rsidP="000D0DB0">
      <w:pPr>
        <w:pStyle w:val="EC-Title-6"/>
        <w:spacing w:after="0"/>
        <w:rPr>
          <w:b w:val="0"/>
        </w:rPr>
      </w:pPr>
      <w:r w:rsidRPr="003506D9">
        <w:t>Raġunament għall-ESTC</w:t>
      </w:r>
    </w:p>
    <w:p w:rsidR="008745B1" w:rsidRPr="003506D9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 xml:space="preserve">L-Istandards tal-Unjoni Ewropea għall-Kura tat-Tuberkolożi (ESTC) jfittxu li jnaqqsu n-nuqqasijiet attwali fil-ġestjoni tal-każ tat-TB fl-Unjoni Ewropea/fiż-Żona Ekonomika Ewropea (UE/ŻEE). </w:t>
      </w:r>
    </w:p>
    <w:p w:rsidR="008745B1" w:rsidRPr="003506D9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 xml:space="preserve">L-għan tal-ESTC huwa li jipprovdi </w:t>
      </w:r>
      <w:r w:rsidRPr="003506D9">
        <w:rPr>
          <w:rFonts w:ascii="Tahoma" w:hAnsi="Tahoma"/>
          <w:sz w:val="18"/>
        </w:rPr>
        <w:t>lill-esperti tas-saħħa pubblika, lil dawk li jaħdmu fil-kliniċi u lil programmi tal-kura tas-saħħa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sett strutturat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standards ibbażati fuq l-evidenza li jiddeskrivu r-rekwiżiti minimi biex tiġi żgurata l-aħjar kura, prevenzjoni u kontroll tat-TB.</w:t>
      </w:r>
    </w:p>
    <w:p w:rsidR="008745B1" w:rsidRPr="003506D9" w:rsidP="003506D9">
      <w:pPr>
        <w:pStyle w:val="EC-Title-5"/>
        <w:pageBreakBefore/>
        <w:spacing w:before="120"/>
        <w:rPr>
          <w:b w:val="0"/>
        </w:rPr>
      </w:pPr>
      <w:r w:rsidRPr="003506D9">
        <w:t>Għal</w:t>
      </w:r>
      <w:r w:rsidRPr="003506D9">
        <w:t xml:space="preserve"> aktar informazzjoni:</w:t>
      </w:r>
    </w:p>
    <w:p w:rsidR="008745B1" w:rsidRPr="003506D9" w:rsidP="000D0DB0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L-ECDC hija aġenzija tal-UE li l-mandat tagħha huwa li tidentifika, tevalwa u tikkomunika theddid għas-saħħa tal-bniedem ikkawżat minn mard li jittieħed. Tappoġġa l-ħidma tal-awtoritajiet tas-saħħa pubblika fl-Istati Membri tal-UE/taż</w:t>
      </w:r>
      <w:r w:rsidRPr="003506D9">
        <w:rPr>
          <w:rFonts w:ascii="Tahoma" w:hAnsi="Tahoma"/>
          <w:sz w:val="18"/>
        </w:rPr>
        <w:t>-ŻEE.</w:t>
      </w:r>
    </w:p>
    <w:p w:rsidR="008745B1" w:rsidRPr="003506D9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>
        <w:fldChar w:fldCharType="begin"/>
      </w:r>
      <w:r>
        <w:instrText xml:space="preserve"> HYPERLINK "http://www.ecdc.europa.eu/en/tuberculosis" </w:instrText>
      </w:r>
      <w:r>
        <w:fldChar w:fldCharType="separate"/>
      </w:r>
      <w:r w:rsidRPr="003506D9">
        <w:rPr>
          <w:rStyle w:val="Hyperlink"/>
          <w:rFonts w:ascii="Tahoma" w:hAnsi="Tahoma"/>
          <w:sz w:val="18"/>
        </w:rPr>
        <w:t>www.ecdc.europa.eu/en/tuberculosis</w:t>
      </w:r>
      <w:r>
        <w:fldChar w:fldCharType="end"/>
      </w:r>
    </w:p>
    <w:p w:rsidR="008745B1" w:rsidRPr="003506D9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L-ERS hija l-organizzazzjoni professjonali ewlenija fil-qasam tagħha fl-Ewropa. Għandha iktar minn 30,000 membru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aktar minn 160 pajjiż. L-ERS tfittex li ttaf</w:t>
      </w:r>
      <w:r w:rsidRPr="003506D9">
        <w:rPr>
          <w:rFonts w:ascii="Tahoma" w:hAnsi="Tahoma"/>
          <w:sz w:val="18"/>
        </w:rPr>
        <w:t>fi t-tbatija minn mard respiratorju u tippromwovi s-saħħa tal-pulmun permezz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riċerka, il-kondiviżjoni tal-għarfien u edukazzjoni medika u pubblika.</w:t>
      </w:r>
    </w:p>
    <w:p w:rsidR="008745B1" w:rsidRPr="003506D9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>
        <w:fldChar w:fldCharType="begin"/>
      </w:r>
      <w:r>
        <w:instrText xml:space="preserve"> HYPERLINK "http://www.ersnet.org/" </w:instrText>
      </w:r>
      <w:r>
        <w:fldChar w:fldCharType="separate"/>
      </w:r>
      <w:r w:rsidRPr="003506D9">
        <w:rPr>
          <w:rStyle w:val="Hyperlink"/>
          <w:rFonts w:ascii="Tahoma" w:hAnsi="Tahoma"/>
          <w:sz w:val="18"/>
        </w:rPr>
        <w:t>www.ersnet.org</w:t>
      </w:r>
      <w:r>
        <w:fldChar w:fldCharType="end"/>
      </w:r>
    </w:p>
    <w:p w:rsidR="008745B1" w:rsidRPr="003506D9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L-aġġornament sħiħ tal-ESTC ġie ppubblikat fil-Europ</w:t>
      </w:r>
      <w:r w:rsidRPr="003506D9">
        <w:rPr>
          <w:rFonts w:ascii="Tahoma" w:hAnsi="Tahoma"/>
          <w:sz w:val="18"/>
        </w:rPr>
        <w:t>ean Respiratory Journal (ERJ),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Mejju 2018 (DOI: 10.1183/13993003.02678-2017)</w:t>
      </w:r>
    </w:p>
    <w:p w:rsidR="00792C6D" w:rsidRPr="003506D9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3506D9">
        <w:br w:type="page"/>
      </w:r>
    </w:p>
    <w:p w:rsidR="00CC0F38" w:rsidRPr="003506D9" w:rsidP="0028467E">
      <w:pPr>
        <w:pStyle w:val="EC-Title-5"/>
        <w:spacing w:after="240"/>
      </w:pPr>
      <w:r w:rsidRPr="003506D9">
        <w:t>Standards għad-dijanjożi tat-tuberkulożi</w:t>
      </w:r>
    </w:p>
    <w:p w:rsidR="00DA3A70" w:rsidRPr="003506D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3506D9">
        <w:rPr>
          <w:rFonts w:ascii="Tahoma" w:hAnsi="Tahoma"/>
          <w:b/>
          <w:sz w:val="24"/>
        </w:rPr>
        <w:t>Standard Nru 1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Il-persuni kollha li juru sinjali, sintomi, storja jew fatturi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riskju kompatibbli mat-tuberkulożi għandhom jiġu </w:t>
      </w:r>
      <w:r w:rsidRPr="003506D9">
        <w:rPr>
          <w:rFonts w:ascii="Tahoma" w:hAnsi="Tahoma"/>
          <w:sz w:val="18"/>
        </w:rPr>
        <w:t>evalwati għal tuberkulożi pulmonari u / jew ekstrapulmonari.</w:t>
      </w:r>
    </w:p>
    <w:p w:rsidR="00DA3A70" w:rsidRPr="003506D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3506D9">
        <w:rPr>
          <w:rFonts w:ascii="Tahoma" w:hAnsi="Tahoma"/>
          <w:b/>
          <w:sz w:val="24"/>
        </w:rPr>
        <w:t>Standard Nru 2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Il-pazjenti kollha (adulti, adolexxenti u tfal li huma kapaċi jipproduċu sputum) maħsuba li jkollhom tuberkulożi pulmonari għandu jkollhom mill-inqas żewġ kampjuni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sputum sotto</w:t>
      </w:r>
      <w:r w:rsidRPr="003506D9">
        <w:rPr>
          <w:rFonts w:ascii="Tahoma" w:hAnsi="Tahoma"/>
          <w:sz w:val="18"/>
        </w:rPr>
        <w:t>messi għal eżami mikroskopiku u wieħed għal ittestjar rapidu għall-identifikazzjoni tat-tuberkolożi u r-reżistenza għall-mediċini bl-użu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test molekulari (rapidu) rakkomandat fuq livell internazzjonali. Il-kampjun għandu jintbagħat għal kultura likwida </w:t>
      </w:r>
      <w:r w:rsidRPr="003506D9">
        <w:rPr>
          <w:rFonts w:ascii="Tahoma" w:hAnsi="Tahoma"/>
          <w:sz w:val="18"/>
        </w:rPr>
        <w:t>u, jekk jinstab pożittiv, għal ittestjar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suxxettibilità tal-mediċina bbażat fuq il-kultura (DST) f</w:t>
      </w:r>
      <w:r w:rsidR="003506D9">
        <w:rPr>
          <w:rFonts w:ascii="Tahoma" w:hAnsi="Tahoma"/>
          <w:sz w:val="18"/>
        </w:rPr>
        <w:t>’’</w:t>
      </w:r>
      <w:r w:rsidRPr="003506D9">
        <w:rPr>
          <w:rFonts w:ascii="Tahoma" w:hAnsi="Tahoma"/>
          <w:sz w:val="18"/>
        </w:rPr>
        <w:t>laboratorju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assigurazzjoni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kwalità. Meta jkun possibbli, għandu jinkiseb mill-inqas kampjun wieħed filgħodu kmieni. Ir-radjografija tas-sider tist</w:t>
      </w:r>
      <w:r w:rsidRPr="003506D9">
        <w:rPr>
          <w:rFonts w:ascii="Tahoma" w:hAnsi="Tahoma"/>
          <w:sz w:val="18"/>
        </w:rPr>
        <w:t>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tintuża wkoll.</w:t>
      </w:r>
    </w:p>
    <w:p w:rsidR="00DA3A70" w:rsidRPr="003506D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3506D9">
        <w:rPr>
          <w:rFonts w:ascii="Tahoma" w:hAnsi="Tahoma"/>
          <w:b/>
          <w:sz w:val="24"/>
        </w:rPr>
        <w:t>Standard Nru 3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Għall-pazjenti kollha (adulti, adolexxenti u tfal) li huma maħsuba li għandhom tuberkulożi ekstrapulmonari, għandhom jinkisbu kampjuni xierqa mis-siti suspettati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involviment għal testijiet mikrobijoloġiċi (mikroskopija,</w:t>
      </w:r>
      <w:r w:rsidRPr="003506D9">
        <w:rPr>
          <w:rFonts w:ascii="Tahoma" w:hAnsi="Tahoma"/>
          <w:sz w:val="18"/>
        </w:rPr>
        <w:t xml:space="preserve"> testijiet molekulari rapidi, kultura, identifikazzjoni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speċi, DST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testijiet molekulari rapidi u tekniki bbażati fuq il-kultura) u eżami istopatoloġiku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laboratorji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assigurazzjoni tal-kwalità. </w:t>
      </w:r>
    </w:p>
    <w:p w:rsidR="00CC0F38" w:rsidRPr="003506D9" w:rsidP="00CC0F38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3506D9">
        <w:rPr>
          <w:rFonts w:ascii="Tahoma" w:hAnsi="Tahoma"/>
          <w:b/>
          <w:sz w:val="24"/>
        </w:rPr>
        <w:t>Standard Nru 4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Il-persuni kollha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sejbiet </w:t>
      </w:r>
      <w:r w:rsidRPr="003506D9">
        <w:rPr>
          <w:rFonts w:ascii="Tahoma" w:hAnsi="Tahoma"/>
          <w:sz w:val="18"/>
        </w:rPr>
        <w:t>radjografiċi tas-sider li jissuġġerixxu tuberkolożi pulmonari għandu jkollhom kampjuni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sputum sottomessi għal eżami mikroskopiku, testijiet molekulari rapidi, tal-kultura, identifikazzjoni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speċi u DST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testijiet molekulari rapidi u tekniki bbażati</w:t>
      </w:r>
      <w:r w:rsidRPr="003506D9">
        <w:rPr>
          <w:rFonts w:ascii="Tahoma" w:hAnsi="Tahoma"/>
          <w:sz w:val="18"/>
        </w:rPr>
        <w:t xml:space="preserve"> fuq il-kultura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laboratorju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assigurazzjoni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kwalità.</w:t>
      </w:r>
    </w:p>
    <w:p w:rsidR="00DA3A70" w:rsidRPr="003506D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3506D9">
        <w:rPr>
          <w:rFonts w:ascii="Tahoma" w:hAnsi="Tahoma"/>
          <w:b/>
          <w:sz w:val="24"/>
          <w:shd w:val="clear" w:color="auto" w:fill="D9D9D9"/>
        </w:rPr>
        <w:t>Standard Nru 5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Id-dijanjożi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tuberkulożi pulmonari negattiva għall-kultura għandha tkun ibbażata fuq il-kriterji li ġejjin: it-testijiet batterjoloġiċi kollha huma negattivi (inklużi eżamijiet </w:t>
      </w:r>
      <w:r w:rsidRPr="003506D9">
        <w:rPr>
          <w:rFonts w:ascii="Tahoma" w:hAnsi="Tahoma"/>
          <w:sz w:val="18"/>
        </w:rPr>
        <w:t>diretti tal-ismear tal-isputum, tal-kulturi u ttestjar molekulari rapidu); sejbiet radjografiċi tas-sider kompatibbli mat-tuberkulożi; u nuqqas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rispons għal prova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aġenti antimikrobiċi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firxa wiesgħa (nota: minħabba li l-fluworokinoloni huma attivi</w:t>
      </w:r>
      <w:r w:rsidRPr="003506D9">
        <w:rPr>
          <w:rFonts w:ascii="Tahoma" w:hAnsi="Tahoma"/>
          <w:sz w:val="18"/>
        </w:rPr>
        <w:t xml:space="preserve"> kontra l-kumpless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</w:t>
      </w:r>
      <w:r w:rsidRPr="003506D9">
        <w:rPr>
          <w:rFonts w:ascii="Tahoma" w:hAnsi="Tahoma"/>
          <w:i/>
          <w:sz w:val="18"/>
        </w:rPr>
        <w:t>M. tuberculosis</w:t>
      </w:r>
      <w:r w:rsidRPr="003506D9">
        <w:rPr>
          <w:rFonts w:ascii="Tahoma" w:hAnsi="Tahoma"/>
          <w:sz w:val="18"/>
        </w:rPr>
        <w:t xml:space="preserve"> u jistgħu jikkawżaw titjib temporanju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persuni bit-tuberkulożi, l-użu tagħhom għandu jiġi evitat).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pazjenti li huma morda serjament jew li huwa magħruf li għandhom jew kienu preżunti li għandhom infezzjoni bil-viru</w:t>
      </w:r>
      <w:r w:rsidRPr="003506D9">
        <w:rPr>
          <w:rFonts w:ascii="Tahoma" w:hAnsi="Tahoma"/>
          <w:sz w:val="18"/>
        </w:rPr>
        <w:t>s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immunodefiċjenza umana (HIV) jew li għandhom xi kundizzjonijiet immunoloġiċi oħrajn, l-evalwazzjoni dijanjostika għandha titħaffef u, jekk l-evidenza klinika tissuġġerixxi bis-sħiħ it-tuberkulożi, għandu jinbeda kors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kura kontra t-tuberkolożi. </w:t>
      </w:r>
    </w:p>
    <w:p w:rsidR="00E23086" w:rsidRPr="003506D9" w:rsidP="000D0DB0">
      <w:pPr>
        <w:pStyle w:val="EC-Title-6"/>
      </w:pPr>
      <w:r w:rsidRPr="003506D9">
        <w:t>R</w:t>
      </w:r>
      <w:r w:rsidRPr="003506D9">
        <w:t>ekwiżiti speċifiċi tal-UE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Sabiex tkun żgurata d-dijanjożi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kwalità kemm tat-tuberkolożi pulmonari kif ukoll dik ekstrapulmonari, għandhom jinkisbu kampjuni adegwati għal eżaminazzjoni batterjoloġika. L-induzzjoni tal-isputum, bronkoskopija u ħasil bronk</w:t>
      </w:r>
      <w:r w:rsidRPr="003506D9">
        <w:rPr>
          <w:rFonts w:ascii="Tahoma" w:hAnsi="Tahoma"/>
          <w:sz w:val="18"/>
        </w:rPr>
        <w:t>oalveolari, ħasil gastriku, bijopsija jew aspirazzjoni bil-labra fina għandhom jintużaw fejn xieraq [1]. Il-kampjuni għandhom jiġu pproċessati bl-użu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għodod dijanjostiċi disponibbli [2], u jiġu kkumplimentati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immmaġni (radjoloġija, ultrasound, tomogr</w:t>
      </w:r>
      <w:r w:rsidRPr="003506D9">
        <w:rPr>
          <w:rFonts w:ascii="Tahoma" w:hAnsi="Tahoma"/>
          <w:sz w:val="18"/>
        </w:rPr>
        <w:t>afija kompjuterizzata, immaġni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reżonanza manjetika, tomografija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emissjoni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pożitroni-tomografija kompjutata) u eżamijiet oħrajn meħtieġa mwettqa skont linji gwida bbażati fuq evidenza [2-4]. 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 xml:space="preserve">L-ittestjar molekulari rapidu rakkomandat mid-WHO [5], </w:t>
      </w:r>
      <w:r w:rsidRPr="003506D9">
        <w:rPr>
          <w:rFonts w:ascii="Tahoma" w:hAnsi="Tahoma"/>
          <w:sz w:val="18"/>
        </w:rPr>
        <w:t>tal-kultura u DST għandu jitwettaq fuq kull kampjun minn pazjenti li għandhom tuberkulożi pulmonari u ekstrapulmonari preżunta, inklużi kampjuni miksuba matul intervent kirurġiku jew proċeduri invażivi oħra li s-soltu jgħaddu minn eżamijiet istoloġiċi. Għa</w:t>
      </w:r>
      <w:r w:rsidRPr="003506D9">
        <w:rPr>
          <w:rFonts w:ascii="Tahoma" w:hAnsi="Tahoma"/>
          <w:sz w:val="18"/>
        </w:rPr>
        <w:t>ldaqstant, il-kirurgi għandhom jingħataw parir biex iżommu kampjun bijoloġiku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salina normali għal eżamijiet mikrobijoloġiċi u bioloġiċi molekulari u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formalina għal eżamijiet istopatoloġiċi.</w:t>
      </w:r>
    </w:p>
    <w:p w:rsidR="00DA3A70" w:rsidRPr="003506D9" w:rsidP="008A39C9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3506D9">
        <w:rPr>
          <w:rFonts w:ascii="Tahoma" w:hAnsi="Tahoma"/>
          <w:b/>
          <w:sz w:val="24"/>
        </w:rPr>
        <w:t>Standard Nru 6</w:t>
      </w:r>
    </w:p>
    <w:p w:rsidR="00D830C5" w:rsidRPr="003506D9" w:rsidP="000D0DB0">
      <w:pPr>
        <w:spacing w:after="120"/>
        <w:rPr>
          <w:rFonts w:ascii="Tahoma" w:hAnsi="Tahoma" w:cs="Tahoma"/>
          <w:spacing w:val="-4"/>
          <w:sz w:val="18"/>
          <w:szCs w:val="18"/>
        </w:rPr>
      </w:pPr>
      <w:r w:rsidRPr="003506D9">
        <w:rPr>
          <w:rFonts w:ascii="Tahoma" w:hAnsi="Tahoma"/>
          <w:spacing w:val="-4"/>
          <w:sz w:val="18"/>
        </w:rPr>
        <w:t>Fit-tfal kollha, li huma maħsuba li għandhom tuberkulożi intratoraċika (jiġifieri, pulmonari, plewrali, u medjastinali jew nodi linfatiċi ilari), għandha titfittex konferma batterjoloġika permezz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eżami xieraq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kampjuni bijoloġiċi (minn sputum ekspet</w:t>
      </w:r>
      <w:r w:rsidRPr="003506D9">
        <w:rPr>
          <w:rFonts w:ascii="Tahoma" w:hAnsi="Tahoma"/>
          <w:spacing w:val="-4"/>
          <w:sz w:val="18"/>
        </w:rPr>
        <w:t>torat jew indott, tnixxijiet tal-bronki, fluwidu plewrali, ħasil gastriku, jew bijopsija endoskopika iggwidata bl-ultrasound) b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>mikroskopija smear, testijiet molekulari rapidi, identifikazzjoni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speċijiet u DST b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>tekniki bbażati fuq il-kultura f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>laborat</w:t>
      </w:r>
      <w:r w:rsidRPr="003506D9">
        <w:rPr>
          <w:rFonts w:ascii="Tahoma" w:hAnsi="Tahoma"/>
          <w:spacing w:val="-4"/>
          <w:sz w:val="18"/>
        </w:rPr>
        <w:t>orju b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>assigurazzjoni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kwalità [3, 5-9]. Fil-każ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riżultati batterjoloġiċi negattivi, dijanjożi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</w:t>
      </w:r>
      <w:r w:rsidRPr="003506D9">
        <w:rPr>
          <w:rFonts w:ascii="Tahoma" w:hAnsi="Tahoma"/>
          <w:spacing w:val="-4"/>
          <w:sz w:val="18"/>
        </w:rPr>
        <w:t>tuberkolożi għandha tkun ibbażata fuq il-preżenza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anormalitajiet konsistenti mat-tuberkulożi fir-radjografija tas-sider jew immaġnijiet oħrajn, st</w:t>
      </w:r>
      <w:r w:rsidRPr="003506D9">
        <w:rPr>
          <w:rFonts w:ascii="Tahoma" w:hAnsi="Tahoma"/>
          <w:spacing w:val="-4"/>
          <w:sz w:val="18"/>
        </w:rPr>
        <w:t>orja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esponiment għal każ infettiv, evidenza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infezzjoni tat-tuberkulożi (test pożittiv tal-ġilda għat-tuberkulin (TST) u/jew assaġġ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rilaxx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interferon-gamma pożittiv (IGRA)) [5, 10-13], u/jew sejbiet kliniċi li jissuġġerixxu tuberkolożi [3]. </w:t>
      </w:r>
      <w:r w:rsidRPr="003506D9">
        <w:rPr>
          <w:rFonts w:ascii="Tahoma" w:hAnsi="Tahoma"/>
          <w:spacing w:val="-4"/>
          <w:sz w:val="18"/>
        </w:rPr>
        <w:t>Għat-tfal li huma maħsuba li għandhom tuberkolożi ekstrapulmonari, għandhom jinkisbu kampjuni xierqa mis-siti suspettati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involviment għal mikroskopija, rakkomdazzjoni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testijiet molekulari rapidi, identifikazzjoni ta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 xml:space="preserve"> speċijiet u DST b</w:t>
      </w:r>
      <w:r w:rsidR="003506D9">
        <w:rPr>
          <w:rFonts w:ascii="Tahoma" w:hAnsi="Tahoma"/>
          <w:spacing w:val="-4"/>
          <w:sz w:val="18"/>
        </w:rPr>
        <w:t>’</w:t>
      </w:r>
      <w:r w:rsidRPr="003506D9">
        <w:rPr>
          <w:rFonts w:ascii="Tahoma" w:hAnsi="Tahoma"/>
          <w:spacing w:val="-4"/>
          <w:sz w:val="18"/>
        </w:rPr>
        <w:t>tekniki bbaża</w:t>
      </w:r>
      <w:r w:rsidRPr="003506D9">
        <w:rPr>
          <w:rFonts w:ascii="Tahoma" w:hAnsi="Tahoma"/>
          <w:spacing w:val="-4"/>
          <w:sz w:val="18"/>
        </w:rPr>
        <w:t xml:space="preserve">ti fuq il-kultura; u eżami istopatoloġiku [5, 14, 15]. </w:t>
      </w:r>
    </w:p>
    <w:p w:rsidR="00D830C5" w:rsidRPr="003506D9" w:rsidP="0028467E">
      <w:pPr>
        <w:pStyle w:val="EC-Title-5"/>
        <w:spacing w:before="120" w:after="240"/>
      </w:pPr>
      <w:r w:rsidRPr="003506D9">
        <w:t>Standards għall-kura tat-tuberkulożi</w:t>
      </w:r>
    </w:p>
    <w:p w:rsidR="00DA3A70" w:rsidRPr="003506D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3506D9">
        <w:rPr>
          <w:rFonts w:ascii="Tahoma" w:hAnsi="Tahoma"/>
          <w:b/>
          <w:sz w:val="24"/>
        </w:rPr>
        <w:t>Standard Nru 7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Kull prattikant li jikkura pazjent għal tuberkulożi jassumi responsabbiltà importanti għas-saħħa pubblika biex jipprevjeni t-trażmissjoni kontinwa t</w:t>
      </w:r>
      <w:r w:rsidRPr="003506D9">
        <w:rPr>
          <w:rFonts w:ascii="Tahoma" w:hAnsi="Tahoma"/>
          <w:sz w:val="18"/>
        </w:rPr>
        <w:t>al-infezzjoni u l-iżvilupp tar-reżistenza għall-mediċina. Biex iwettaq din ir-responsabbiltà, il-prattikant,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kollaborazzjoni mal-awtoritajiet tas-saħħa pubblika, għandu: 1) jagħti reġimen xieraq (iggwidat mir-riżultati ġenotipiċi u/jew fenotipiċi tad-DST</w:t>
      </w:r>
      <w:r w:rsidRPr="003506D9">
        <w:rPr>
          <w:rFonts w:ascii="Tahoma" w:hAnsi="Tahoma"/>
          <w:sz w:val="18"/>
        </w:rPr>
        <w:t>); 2) iwettaq investigazzjonijiet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kuntatt; 3) jivvaluta u jippromwovi l-aderenza tal-pazjent għal kura bl-użu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approċċ li fiċ-ċentru tiegħu hemm il-pazjent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kollaborazzjoni ma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membri tal-familja, servizzi tas-saħħa lokali pubbliċi u/jew komunitarj</w:t>
      </w:r>
      <w:r w:rsidRPr="003506D9">
        <w:rPr>
          <w:rFonts w:ascii="Tahoma" w:hAnsi="Tahoma"/>
          <w:sz w:val="18"/>
        </w:rPr>
        <w:t xml:space="preserve">i u organizzazzjonijiet tas-soċjetà ċivili 4) u jagħmel monitoraġġ tar-riżultati tal-kura [2, 16, 17]. </w:t>
      </w:r>
    </w:p>
    <w:p w:rsidR="00DA3A70" w:rsidRPr="003506D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3506D9">
        <w:rPr>
          <w:rFonts w:ascii="Tahoma" w:hAnsi="Tahoma"/>
          <w:b/>
          <w:sz w:val="24"/>
          <w:shd w:val="clear" w:color="auto" w:fill="D9D9D9"/>
        </w:rPr>
        <w:t>Standard Nru 8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Il-pazjenti kollha (inklużi dawk li għandhom koinfezzjoni bl-HIV), li ma ġewx ikkurati qabel u li m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għandhomx reżistenza għall-mediċina (</w:t>
      </w:r>
      <w:r w:rsidRPr="003506D9">
        <w:rPr>
          <w:rFonts w:ascii="Tahoma" w:hAnsi="Tahoma"/>
          <w:sz w:val="18"/>
        </w:rPr>
        <w:t>evalwati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testijiet xierqa), għandhom jirċievu kors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kura tal-ewwel linja aċċettat fuq livell internazzjonali li juża mediċini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bijodisponibilità magħrufa. Il-fażi inizjali għandha tikkonsisti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xahrejn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iżoniażid (H), rifampiċina (R), pirażinami</w:t>
      </w:r>
      <w:r w:rsidRPr="003506D9">
        <w:rPr>
          <w:rFonts w:ascii="Tahoma" w:hAnsi="Tahoma"/>
          <w:sz w:val="18"/>
        </w:rPr>
        <w:t>d (Z), u etambutolu (E). Il-fażi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kontinwazzjoni għandha tikkonsisti minn iżoniażid u rifampiċina mogħtija għal 4 xhur (2HRZE/4HR). Id-dożi użati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mediċina kontra t-tuberkolożi għandhom jikkonformaw mar-rakkomandazzjonijiet internazzjonali. Kombinazz</w:t>
      </w:r>
      <w:r w:rsidRPr="003506D9">
        <w:rPr>
          <w:rFonts w:ascii="Tahoma" w:hAnsi="Tahoma"/>
          <w:sz w:val="18"/>
        </w:rPr>
        <w:t>jonijiet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dożi fissi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żewġ (iżoniażid u rifampiċina), tliet (iżoniażid, rifampiċina, u pirażinamid) u erba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(iżoniażid, rifampiċina, pirażinamid, u etambutolu) mediċini jistgħu jipprovdu forma iktar konvenjenti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amministrazzjoni tal-mediċina. </w:t>
      </w:r>
    </w:p>
    <w:p w:rsidR="00DA3A70" w:rsidRPr="003506D9" w:rsidP="00037B0F">
      <w:pPr>
        <w:keepNext/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3506D9">
        <w:rPr>
          <w:rFonts w:ascii="Tahoma" w:hAnsi="Tahoma"/>
          <w:b/>
          <w:sz w:val="24"/>
        </w:rPr>
        <w:t>Sta</w:t>
      </w:r>
      <w:r w:rsidRPr="003506D9">
        <w:rPr>
          <w:rFonts w:ascii="Tahoma" w:hAnsi="Tahoma"/>
          <w:b/>
          <w:sz w:val="24"/>
        </w:rPr>
        <w:t>ndard Nru 9</w:t>
      </w:r>
    </w:p>
    <w:p w:rsidR="00DA3A70" w:rsidRPr="003506D9" w:rsidP="0028467E">
      <w:pPr>
        <w:spacing w:after="120"/>
        <w:rPr>
          <w:rFonts w:ascii="Tahoma" w:hAnsi="Tahoma" w:cs="Tahoma"/>
          <w:szCs w:val="24"/>
        </w:rPr>
      </w:pPr>
      <w:r w:rsidRPr="003506D9">
        <w:rPr>
          <w:rFonts w:ascii="Tahoma" w:hAnsi="Tahoma"/>
          <w:sz w:val="18"/>
        </w:rPr>
        <w:t>Approċċ li fiċ-ċentru hemm il-pazjent għall-kura, ibbażat fuq il-ħtiġijiet tal-pazjent u r-rispett reċiproku bejn il-pazjent u l-fornitur għandu jiġi żviluppat għall-pazjenti kollha.</w:t>
      </w:r>
    </w:p>
    <w:p w:rsidR="00DA3A70" w:rsidRPr="003506D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3506D9">
        <w:rPr>
          <w:rFonts w:ascii="Tahoma" w:hAnsi="Tahoma"/>
          <w:b/>
          <w:sz w:val="24"/>
        </w:rPr>
        <w:t>Standard Nru 10</w:t>
      </w:r>
    </w:p>
    <w:p w:rsidR="00DA3A70" w:rsidRPr="003506D9" w:rsidP="000D0DB0">
      <w:pPr>
        <w:spacing w:after="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Ir-rispons għat-terapija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pazjenti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tuberkulożi pulmonari għandu jiġi mmonitorjat permezz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mikroskopija u tal-kultura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smear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segwitu, għallinqas, meta titlesta l-fażi inizjali tal-kura (xahrejn għal tuberkulożi suxxettibbli għal mediċina). Jekk</w:t>
      </w:r>
      <w:r w:rsidRPr="003506D9">
        <w:rPr>
          <w:rFonts w:ascii="Tahoma" w:hAnsi="Tahoma"/>
          <w:sz w:val="18"/>
        </w:rPr>
        <w:t xml:space="preserve"> l-ismear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sputum u/jew tal-kultura jkunu pożittivi meta titlesta l-fażi inizjali, testijiet molekulari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reżistenza għall-mediċina u DST ulterjuri għandhom jitwettqu minnufih.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pazjenti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tuberkolożi ekstrapulmonari u fi tfal li ma jistgħux jipprodu</w:t>
      </w:r>
      <w:r w:rsidRPr="003506D9">
        <w:rPr>
          <w:rFonts w:ascii="Tahoma" w:hAnsi="Tahoma"/>
          <w:sz w:val="18"/>
        </w:rPr>
        <w:t xml:space="preserve">ċu sputum, ir-rispons kliniku għall-kura (piż, markaturi infjammatorji u immaġni ripetuta) huwa evalwat oġġettivament. </w:t>
      </w:r>
    </w:p>
    <w:p w:rsidR="003663F5" w:rsidRPr="003506D9" w:rsidP="003663F5">
      <w:pPr>
        <w:pStyle w:val="EC-Title-6"/>
      </w:pPr>
      <w:r w:rsidRPr="003506D9">
        <w:t>Rekwiżiti speċifiċi tal-UE</w:t>
      </w:r>
    </w:p>
    <w:p w:rsidR="00DA3A70" w:rsidRPr="003506D9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3506D9">
        <w:rPr>
          <w:rFonts w:ascii="Tahoma" w:hAnsi="Tahoma"/>
          <w:spacing w:val="-2"/>
          <w:sz w:val="18"/>
        </w:rPr>
        <w:t>Il-monitoraġġ tal-kura għandu jsir skont il-linji gwida internazzjonali [2, 3, 6-8, 18-20]. Fl-UE, il-pajjiżi</w:t>
      </w:r>
      <w:r w:rsidRPr="003506D9">
        <w:rPr>
          <w:rFonts w:ascii="Tahoma" w:hAnsi="Tahoma"/>
          <w:spacing w:val="-2"/>
          <w:sz w:val="18"/>
        </w:rPr>
        <w:t xml:space="preserve"> għandhom ir-riżorsi biex iwettqu monitoraġġ tal-kura fuq bażi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kull xahar. Għal każijiet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tuberkolożi reżistenti għal ħafna mediċini (MDR-TB), dan il-monitoraġġ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kull xahar għandu jsir ibbażat fuq smear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sputum u tal-kultura [21, 22].</w:t>
      </w:r>
    </w:p>
    <w:p w:rsidR="00DA3A70" w:rsidRPr="003506D9" w:rsidP="00BE259C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3506D9">
        <w:rPr>
          <w:rFonts w:ascii="Tahoma" w:hAnsi="Tahoma"/>
          <w:b/>
          <w:sz w:val="24"/>
          <w:shd w:val="clear" w:color="auto" w:fill="D9D9D9"/>
        </w:rPr>
        <w:t>Standard</w:t>
      </w:r>
      <w:r w:rsidRPr="003506D9">
        <w:rPr>
          <w:rFonts w:ascii="Tahoma" w:hAnsi="Tahoma"/>
          <w:b/>
          <w:sz w:val="24"/>
          <w:shd w:val="clear" w:color="auto" w:fill="D9D9D9"/>
        </w:rPr>
        <w:t xml:space="preserve"> Nru 11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Għandha ssir valutazzjoni tal-probabbiltà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reżistenza għall-mediċina, ibbażata fuq l-istorja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kura minn qabel, esponiment għal każ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sors possibbli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tuberkolożi reżistenti għal mediċina, u l-prevalenza komunitarja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reżistenza għal mediċ</w:t>
      </w:r>
      <w:r w:rsidRPr="003506D9">
        <w:rPr>
          <w:rFonts w:ascii="Tahoma" w:hAnsi="Tahoma"/>
          <w:sz w:val="18"/>
        </w:rPr>
        <w:t>ina, speċjalment għal pazjenti li mhumiex ikkonfermati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mod batterjoloġiku jew għal min l-ittestjar tas-suxxettibilità tal-mediċina ma jistax jitwettaq. Għandu jsir ittestjar rapidu (ittestjar għar-rifampiċina ġenotipika u reżistenza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iżoniażid u ttest</w:t>
      </w:r>
      <w:r w:rsidRPr="003506D9">
        <w:rPr>
          <w:rFonts w:ascii="Tahoma" w:hAnsi="Tahoma"/>
          <w:sz w:val="18"/>
        </w:rPr>
        <w:t>jar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reżistenza għal mediċini tat-tieni linja ġenotipiċi/fenotipiċi għal pazjenti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reżistenza għal rifampiċina jew TB-MDR) għall-pazjenti kollha kif definit fl-istandards 2-4 u 8. Barra minn hekk, l-għoti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pariri lill-pazjent u l-edukazzjoni tal-paz</w:t>
      </w:r>
      <w:r w:rsidRPr="003506D9">
        <w:rPr>
          <w:rFonts w:ascii="Tahoma" w:hAnsi="Tahoma"/>
          <w:sz w:val="18"/>
        </w:rPr>
        <w:t>jent għandhom jibdew immedjatament għall-pazjenti kollha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tuberkulożi, sabiex jitnaqqas il-potenzjal għat-trażmissjoni. Il-miżuri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kontroll tal-infezzjonijiet xierqa fil-qasam għandhom jiġu applikati kif rakkomandat fl-istandard tas-saħħa pubblika numr</w:t>
      </w:r>
      <w:r w:rsidRPr="003506D9">
        <w:rPr>
          <w:rFonts w:ascii="Tahoma" w:hAnsi="Tahoma"/>
          <w:sz w:val="18"/>
        </w:rPr>
        <w:t>u 20 tal-ESTC.</w:t>
      </w:r>
    </w:p>
    <w:p w:rsidR="00DA3A70" w:rsidRPr="003506D9" w:rsidP="003506D9">
      <w:pPr>
        <w:pageBreakBefore/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3506D9">
        <w:rPr>
          <w:rFonts w:ascii="Tahoma" w:hAnsi="Tahoma"/>
          <w:b/>
          <w:sz w:val="24"/>
          <w:shd w:val="clear" w:color="auto" w:fill="D9D9D9"/>
        </w:rPr>
        <w:t xml:space="preserve">Standard Nru 12 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 xml:space="preserve">Pazjenti li għandhom, jew li probabbli jkollhom, tuberkulożi kkawżata minn organiżmi reżistenti għall-mediċina (speċjalment reżistenti għal rifampicin/MDR/ estensivament reżistenti għal mediċina (XDR)) għandhom jiġu kkurati </w:t>
      </w:r>
      <w:r w:rsidRPr="003506D9">
        <w:rPr>
          <w:rFonts w:ascii="Tahoma" w:hAnsi="Tahoma"/>
          <w:sz w:val="18"/>
        </w:rPr>
        <w:t>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reġimens individwalizzati li fihom mediċini tat-tieni linja u mediċini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kontra t-tuberkulożi miżjuda (</w:t>
      </w:r>
      <w:r w:rsidR="003506D9">
        <w:rPr>
          <w:rFonts w:ascii="Tahoma" w:hAnsi="Tahoma"/>
          <w:sz w:val="18"/>
        </w:rPr>
        <w:t>‘</w:t>
      </w:r>
      <w:r w:rsidRPr="003506D9">
        <w:rPr>
          <w:rFonts w:ascii="Tahoma" w:hAnsi="Tahoma"/>
          <w:sz w:val="18"/>
        </w:rPr>
        <w:t>add-on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). Ir-reġimen magħżul għandu jkun ibbażat fuq mudelli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suxxettibilità tal-mediċina kkonfermati. Reġimens empiriċi jistgħu jikkawżaw reżist</w:t>
      </w:r>
      <w:r w:rsidRPr="003506D9">
        <w:rPr>
          <w:rFonts w:ascii="Tahoma" w:hAnsi="Tahoma"/>
          <w:sz w:val="18"/>
        </w:rPr>
        <w:t>enza ulterjuri u mhumiex rakkomandati, ħlief għat-tuberkolożi negattiva għall-kultura.</w:t>
      </w:r>
    </w:p>
    <w:p w:rsidR="00083CEE" w:rsidRPr="003506D9" w:rsidP="00083CE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Skont il-mudell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suxxettibilità għall-mediċina, għandha tiġi pprovduta kura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minimu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ħames mediċini effettivi kontra t-tuberkolożi għal mill-inqas 20 xahar [5]. </w:t>
      </w:r>
      <w:r w:rsidRPr="003506D9">
        <w:rPr>
          <w:rFonts w:ascii="Tahoma" w:hAnsi="Tahoma"/>
          <w:sz w:val="18"/>
        </w:rPr>
        <w:t>Jekk il-pazjent jissodisfa l-kriterji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eliġibilità għar-reġimen MDR-TB standard iqsar (9 xhur -11-il xahar), dan jista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jintuża. </w:t>
      </w:r>
    </w:p>
    <w:p w:rsidR="00835340" w:rsidRPr="003506D9" w:rsidP="00835340">
      <w:pPr>
        <w:pStyle w:val="EC-Title-6"/>
      </w:pPr>
      <w:r w:rsidRPr="003506D9">
        <w:t>Rekwiżiti speċifiċi tal-UE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Peress li l-kura għal MDR/XDR-TB ħafna drabi tirrappreżenta l-aħħar ċans li tiġi żgurata l-kur</w:t>
      </w:r>
      <w:r w:rsidRPr="003506D9">
        <w:rPr>
          <w:rFonts w:ascii="Tahoma" w:hAnsi="Tahoma"/>
          <w:sz w:val="18"/>
        </w:rPr>
        <w:t>a u s-sopravivenza tal-pazjent, hemm bżonn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firxa sħiħa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miżuri li fiċ-ċentru tagħhom hemm il-pazjent , inkluż pariri, osservazzjoni u appoġġ għall-kura, kif ukoll appoġġ psikosoċjali biex jiżguraw l-aderenza [5, 23-25]. Dan huwa partikolarment impor</w:t>
      </w:r>
      <w:r w:rsidRPr="003506D9">
        <w:rPr>
          <w:rFonts w:ascii="Tahoma" w:hAnsi="Tahoma"/>
          <w:sz w:val="18"/>
        </w:rPr>
        <w:t>tanti minħabba li dawn il-pazjenti ħafna drabi jappartjenu għal gruppi soċjalment u ekonomikament żvantaġġati.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Għall-kura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MDR-TB, l-ebda mediċina m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għandha tingħata lil pazjent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reżistenza dokumentata (jew permezz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DST molekulari jew fenotipiku). G</w:t>
      </w:r>
      <w:r w:rsidRPr="003506D9">
        <w:rPr>
          <w:rFonts w:ascii="Tahoma" w:hAnsi="Tahoma"/>
          <w:sz w:val="18"/>
        </w:rPr>
        <w:t>ħalhekk, id-DST tat-tieni linja għandu jitwettaq biex jikkonferma l-mudell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reżistenza għall-mediċina kif ukoll biex ikun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gwida għall-għażla korretta tal-kura.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Fl-UE/fiż-ŻEE, id-DST għal etambutolu huwa kkunsidrat affidabbli meta jitwettaq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laborat</w:t>
      </w:r>
      <w:r w:rsidRPr="003506D9">
        <w:rPr>
          <w:rFonts w:ascii="Tahoma" w:hAnsi="Tahoma"/>
          <w:sz w:val="18"/>
        </w:rPr>
        <w:t>orji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assigurazzjoni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kwalità [26]. L-ittestjar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Pirażinamid jista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jsir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test ġenotipiku (sejbien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mutazzjonijiet </w:t>
      </w:r>
      <w:r w:rsidRPr="003506D9">
        <w:rPr>
          <w:rFonts w:ascii="Tahoma" w:hAnsi="Tahoma"/>
          <w:i/>
          <w:sz w:val="18"/>
        </w:rPr>
        <w:t>pncA</w:t>
      </w:r>
      <w:r w:rsidRPr="003506D9">
        <w:rPr>
          <w:rFonts w:ascii="Tahoma" w:hAnsi="Tahoma"/>
          <w:sz w:val="18"/>
        </w:rPr>
        <w:t>) jew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test fenotipiku (jiġifieri metodi awtomatizzati bbażati fuq it-tkabbir (likwidu).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Ir-reġimen individwalizzat għandu ji</w:t>
      </w:r>
      <w:r w:rsidRPr="003506D9">
        <w:rPr>
          <w:rFonts w:ascii="Tahoma" w:hAnsi="Tahoma"/>
          <w:sz w:val="18"/>
        </w:rPr>
        <w:t>nkludi mill-inqas ħames mediċini effettivi tat-tuberkulożi matul il-fażi intensiva, inkluż il-pirażinamid u erba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mediċini ewlenin tat-tuberkulożi tat-tieni linja. Il-mediċini għandhom jintgħażlu kif ġej: waħda magħżula mill-grupp A, waħda mill-grupp B, u </w:t>
      </w:r>
      <w:r w:rsidRPr="003506D9">
        <w:rPr>
          <w:rFonts w:ascii="Tahoma" w:hAnsi="Tahoma"/>
          <w:sz w:val="18"/>
        </w:rPr>
        <w:t>mill-inqas tnejn mill-grupp Ċ (Tabella). Jekk in-numru minimu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ħames mediċini effettivi tat-tuberkulożi ma jistax ikun magħmul minn mediċini inklużi fil-Grupp A sa Ċ, jistgħu jiżdiedu aġent mill-grupp D2 u aġenti oħrajn mill-grupp D3 biex it-total jitla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għal ħamsa. Jekk il-pirażinamid ma jkunx jista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jintuża (eż. minħabba reżistenza jew tossiċità) jista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jiżdied aġent mill-grupp Ċ jew D biex jissaħħaħ r-reġimen. It-tul tal-kura totali jvarja minn 20 sa 24 xahar, bil-fażi intensiva rakkomandata tkun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</w:t>
      </w:r>
      <w:r w:rsidRPr="003506D9">
        <w:rPr>
          <w:rFonts w:ascii="Tahoma" w:hAnsi="Tahoma"/>
          <w:sz w:val="18"/>
        </w:rPr>
        <w:t xml:space="preserve">8 xhur [5]. 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  <w:highlight w:val="yellow"/>
        </w:rPr>
      </w:pPr>
      <w:r w:rsidRPr="003506D9">
        <w:rPr>
          <w:rFonts w:ascii="Tahoma" w:hAnsi="Tahoma"/>
          <w:sz w:val="18"/>
        </w:rPr>
        <w:t>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pazjenti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tuberkolożi reżistenti għal rifampiċin jew MDR-TB, li ma ġewx ikkurati qabel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mediċini tat-tieni linja u li fihom, reżistenza għal fluworokinoloni u l-aġenti injettabbli tat-tieni linja ġiet eskluża jew hi kkunsidrata improbabbli</w:t>
      </w:r>
      <w:r w:rsidRPr="003506D9">
        <w:rPr>
          <w:rFonts w:ascii="Tahoma" w:hAnsi="Tahoma"/>
          <w:sz w:val="18"/>
        </w:rPr>
        <w:t xml:space="preserve"> ħafna, TB MDR iqsar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bejn id-9 xhur- 11-il xahar kif irrakkomandati mid-WHO tista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tintuża minflok reġimen individwalizzati konvenzjonali [5, 25, 27]. 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Kura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mediċini ġodda inkluż bedakwilin u delamanid flimkien ma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mediċini li jkunu ngħataw għan ieħor bħal lineżolide u klofażamina u mediċini tat-tieni linja, li għalihom, ir-razza </w:t>
      </w:r>
      <w:r w:rsidRPr="003506D9">
        <w:rPr>
          <w:rFonts w:ascii="Tahoma" w:hAnsi="Tahoma"/>
          <w:i/>
          <w:sz w:val="18"/>
        </w:rPr>
        <w:t xml:space="preserve">M. tuberculosis </w:t>
      </w:r>
      <w:r w:rsidRPr="003506D9">
        <w:rPr>
          <w:rFonts w:ascii="Tahoma" w:hAnsi="Tahoma"/>
          <w:sz w:val="18"/>
        </w:rPr>
        <w:t xml:space="preserve">probabbli li tkun sensittiva, hija meħtieġa għal pazjenti </w:t>
      </w:r>
      <w:r w:rsidRPr="003506D9">
        <w:rPr>
          <w:rFonts w:ascii="Tahoma" w:hAnsi="Tahoma"/>
          <w:sz w:val="18"/>
        </w:rPr>
        <w:t>li jbatu minn XDR-TB jew għal dawk il-pazjenti li jbatu minn razez reżistenti għal fluworokinoloni jew injezzjonijiet tat-tieni linja [28, 29]. Għal pazjenti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avvenimenti avversi serji għal fluworokinoloni jew għal preparazzjonijiet injettabbli tat-tieni </w:t>
      </w:r>
      <w:r w:rsidRPr="003506D9">
        <w:rPr>
          <w:rFonts w:ascii="Tahoma" w:hAnsi="Tahoma"/>
          <w:sz w:val="18"/>
        </w:rPr>
        <w:t>linja u mediċini ġodda jew mogħtija għan ieħor jistgħu jiġu kkunsidrati wkoll.</w:t>
      </w:r>
    </w:p>
    <w:p w:rsidR="00DA3A70" w:rsidRPr="003506D9" w:rsidP="000D0DB0">
      <w:pPr>
        <w:rPr>
          <w:rFonts w:ascii="Tahoma" w:hAnsi="Tahoma" w:cs="Tahoma"/>
          <w:spacing w:val="-2"/>
          <w:sz w:val="18"/>
          <w:szCs w:val="18"/>
        </w:rPr>
      </w:pPr>
      <w:r w:rsidRPr="003506D9">
        <w:rPr>
          <w:rFonts w:ascii="Tahoma" w:hAnsi="Tahoma"/>
          <w:spacing w:val="-2"/>
          <w:sz w:val="18"/>
        </w:rPr>
        <w:t>Avvenimenti avversi b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>segwitu tal-preskrizzjoni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mediċini tat-tieni linja għandhom jiġu ġestiti skont rakkomandazzjonijiet internazzjonali bil-għan li tiġi limitata l-probabb</w:t>
      </w:r>
      <w:r w:rsidRPr="003506D9">
        <w:rPr>
          <w:rFonts w:ascii="Tahoma" w:hAnsi="Tahoma"/>
          <w:spacing w:val="-2"/>
          <w:sz w:val="18"/>
        </w:rPr>
        <w:t>iltà li tintilef mediċina effettiva minħabba dawn l-avvenimenti avversi [2]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Avvenimenti avversi, kif ukoll id-deċiżjoni li jinbeda, jew ikun modifikat jew li ikun interrott reġimen tat-tieni linja għandhom jiġu ġestiti minn tim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esperti (eż. "TB Consili</w:t>
      </w:r>
      <w:r w:rsidRPr="003506D9">
        <w:rPr>
          <w:rFonts w:ascii="Tahoma" w:hAnsi="Tahoma"/>
          <w:sz w:val="18"/>
        </w:rPr>
        <w:t>um" jew korp simili), u mhux minn tobba individwali, sabiex jiġu minimizzati l-iżbalji u r-responsabbiltajiet jiġu kondiviżi kif ukoll ikun hemm kondiviżjoni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esperjenza u għarfien espert [28, 30, 31]. Għandhom isiru l-isforzi kollha biex jiġi evitat l-</w:t>
      </w:r>
      <w:r w:rsidRPr="003506D9">
        <w:rPr>
          <w:rFonts w:ascii="Tahoma" w:hAnsi="Tahoma"/>
          <w:sz w:val="18"/>
        </w:rPr>
        <w:t>iżvilupp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reżistenza addizzjonali għall-mediċina.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Id-WHO ssuġġeriet li, minbarra l-kimoterapija, il-kirurġija tista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tintuża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każijiet magħżula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tuberkulożi pulmonari, eż. dawk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kavitajiet kbar limitati għal lobu wieħed [23]. Hija meħtieġa aktar riċe</w:t>
      </w:r>
      <w:r w:rsidRPr="003506D9">
        <w:rPr>
          <w:rFonts w:ascii="Tahoma" w:hAnsi="Tahoma"/>
          <w:sz w:val="18"/>
        </w:rPr>
        <w:t>rka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din id-direzzjoni.</w:t>
      </w:r>
    </w:p>
    <w:p w:rsidR="00DA3A70" w:rsidRPr="003506D9" w:rsidP="0028467E">
      <w:pPr>
        <w:spacing w:after="120"/>
        <w:rPr>
          <w:rFonts w:ascii="Tahoma" w:hAnsi="Tahoma" w:cs="Tahoma"/>
          <w:b/>
          <w:sz w:val="18"/>
          <w:szCs w:val="18"/>
        </w:rPr>
      </w:pPr>
      <w:r w:rsidRPr="003506D9">
        <w:rPr>
          <w:rFonts w:ascii="Tahoma" w:hAnsi="Tahoma"/>
          <w:b/>
          <w:sz w:val="18"/>
        </w:rPr>
        <w:t>Klassifikazzjoni tad-WHO ta</w:t>
      </w:r>
      <w:r w:rsidR="003506D9">
        <w:rPr>
          <w:rFonts w:ascii="Tahoma" w:hAnsi="Tahoma"/>
          <w:b/>
          <w:sz w:val="18"/>
        </w:rPr>
        <w:t>’</w:t>
      </w:r>
      <w:r w:rsidRPr="003506D9">
        <w:rPr>
          <w:rFonts w:ascii="Tahoma" w:hAnsi="Tahoma"/>
          <w:b/>
          <w:sz w:val="18"/>
        </w:rPr>
        <w:t xml:space="preserve"> mediċini kontra t-tuberkulożi [23]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/>
      </w:tblPr>
      <w:tblGrid>
        <w:gridCol w:w="3031"/>
        <w:gridCol w:w="675"/>
        <w:gridCol w:w="2528"/>
        <w:gridCol w:w="2835"/>
      </w:tblGrid>
      <w:tr w:rsidTr="0028467E">
        <w:tblPrEx>
          <w:tblW w:w="9069" w:type="dxa"/>
          <w:tblBorders>
            <w:top w:val="single" w:sz="2" w:space="0" w:color="D9D9D9" w:themeColor="background1" w:themeShade="D9"/>
            <w:left w:val="single" w:sz="2" w:space="0" w:color="D9D9D9" w:themeColor="background1" w:themeShade="D9"/>
            <w:bottom w:val="single" w:sz="2" w:space="0" w:color="D9D9D9" w:themeColor="background1" w:themeShade="D9"/>
            <w:right w:val="single" w:sz="2" w:space="0" w:color="D9D9D9" w:themeColor="background1" w:themeShade="D9"/>
            <w:insideH w:val="single" w:sz="2" w:space="0" w:color="D9D9D9" w:themeColor="background1" w:themeShade="D9"/>
            <w:insideV w:val="single" w:sz="2" w:space="0" w:color="D9D9D9" w:themeColor="background1" w:themeShade="D9"/>
          </w:tblBorders>
          <w:tblLook w:val="04A0"/>
        </w:tblPrEx>
        <w:tc>
          <w:tcPr>
            <w:tcW w:w="3031" w:type="dxa"/>
            <w:shd w:val="clear" w:color="auto" w:fill="69AF23"/>
          </w:tcPr>
          <w:p w:rsidR="00DA3A70" w:rsidRPr="003506D9" w:rsidP="0028467E">
            <w:pPr>
              <w:autoSpaceDE w:val="0"/>
              <w:autoSpaceDN w:val="0"/>
              <w:adjustRightInd w:val="0"/>
              <w:spacing w:before="120" w:after="120" w:line="240" w:lineRule="auto"/>
              <w:ind w:left="720"/>
              <w:jc w:val="both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3506D9">
              <w:rPr>
                <w:rFonts w:ascii="Tahoma" w:hAnsi="Tahoma"/>
                <w:b/>
                <w:color w:val="FFFFFF" w:themeColor="background1"/>
                <w:sz w:val="18"/>
              </w:rPr>
              <w:t>Grupp</w:t>
            </w:r>
          </w:p>
        </w:tc>
        <w:tc>
          <w:tcPr>
            <w:tcW w:w="3203" w:type="dxa"/>
            <w:gridSpan w:val="2"/>
            <w:shd w:val="clear" w:color="auto" w:fill="69AF23"/>
          </w:tcPr>
          <w:p w:rsidR="00DA3A70" w:rsidRPr="003506D9" w:rsidP="0028467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3506D9">
              <w:rPr>
                <w:rFonts w:ascii="Tahoma" w:hAnsi="Tahoma"/>
                <w:b/>
                <w:color w:val="FFFFFF" w:themeColor="background1"/>
                <w:sz w:val="18"/>
              </w:rPr>
              <w:t>Mediċini</w:t>
            </w:r>
          </w:p>
        </w:tc>
        <w:tc>
          <w:tcPr>
            <w:tcW w:w="2835" w:type="dxa"/>
            <w:shd w:val="clear" w:color="auto" w:fill="69AF23"/>
          </w:tcPr>
          <w:p w:rsidR="00DA3A70" w:rsidRPr="003506D9" w:rsidP="0028467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3506D9">
              <w:rPr>
                <w:rFonts w:ascii="Tahoma" w:hAnsi="Tahoma"/>
                <w:b/>
                <w:color w:val="FFFFFF" w:themeColor="background1"/>
                <w:sz w:val="18"/>
              </w:rPr>
              <w:t>Abbrevjazzjoni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shd w:val="clear" w:color="auto" w:fill="auto"/>
          </w:tcPr>
          <w:p w:rsidR="00DA3A70" w:rsidRPr="003506D9" w:rsidP="00D40AC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Fluworokinoloni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DA3A70" w:rsidRPr="003506D9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Levoflossaċina</w:t>
            </w:r>
          </w:p>
          <w:p w:rsidR="00DA3A70" w:rsidRPr="003506D9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Moksiflossaċina</w:t>
            </w:r>
          </w:p>
          <w:p w:rsidR="00DA3A70" w:rsidRPr="003506D9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Gatiflossaċina</w:t>
            </w:r>
          </w:p>
        </w:tc>
        <w:tc>
          <w:tcPr>
            <w:tcW w:w="2835" w:type="dxa"/>
            <w:shd w:val="clear" w:color="auto" w:fill="auto"/>
          </w:tcPr>
          <w:p w:rsidR="00DA3A70" w:rsidRPr="003506D9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Lfx</w:t>
            </w:r>
          </w:p>
          <w:p w:rsidR="00DA3A70" w:rsidRPr="003506D9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Mfx</w:t>
            </w:r>
          </w:p>
          <w:p w:rsidR="00DA3A70" w:rsidRPr="003506D9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Gfx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shd w:val="clear" w:color="auto" w:fill="auto"/>
          </w:tcPr>
          <w:p w:rsidR="00DA3A70" w:rsidRPr="003506D9" w:rsidP="00D40AC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Preparazzjonijiet injettabbli tat-tieni linja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Amikaċina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Kapreomiċina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Kanamiċina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(Streptomiċina)</w:t>
            </w:r>
          </w:p>
        </w:tc>
        <w:tc>
          <w:tcPr>
            <w:tcW w:w="2835" w:type="dxa"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Am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Cm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Km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(S)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shd w:val="clear" w:color="auto" w:fill="auto"/>
          </w:tcPr>
          <w:p w:rsidR="00DA3A70" w:rsidRPr="003506D9" w:rsidP="00D40AC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Aġenti oħrajn ewlenin tat-tieni linja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Etjonamid/ Protionamid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Ċikloserina/Teriżidon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Lineżolid</w:t>
            </w:r>
          </w:p>
          <w:p w:rsidR="00DA3A70" w:rsidRPr="003506D9" w:rsidP="00BD3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Klofażimina</w:t>
            </w:r>
          </w:p>
        </w:tc>
        <w:tc>
          <w:tcPr>
            <w:tcW w:w="2835" w:type="dxa"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Eto/Pto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Cs/Trd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Lzd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Cfz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vMerge w:val="restart"/>
            <w:shd w:val="clear" w:color="auto" w:fill="auto"/>
          </w:tcPr>
          <w:p w:rsidR="00DA3A70" w:rsidRPr="003506D9" w:rsidP="00D40AC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Aġenti miżjuda</w:t>
            </w:r>
            <w:r w:rsidRPr="003506D9">
              <w:rPr>
                <w:rFonts w:ascii="Tahoma" w:hAnsi="Tahoma" w:cs="Tahoma"/>
                <w:sz w:val="18"/>
                <w:szCs w:val="18"/>
              </w:rPr>
              <w:br/>
            </w:r>
            <w:r w:rsidRPr="003506D9">
              <w:rPr>
                <w:rFonts w:ascii="Tahoma" w:hAnsi="Tahoma"/>
                <w:sz w:val="18"/>
              </w:rPr>
              <w:t>(mhux parti mir-reġim ewlieni tat-TB MDR)</w:t>
            </w:r>
          </w:p>
        </w:tc>
        <w:tc>
          <w:tcPr>
            <w:tcW w:w="675" w:type="dxa"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D1</w:t>
            </w:r>
          </w:p>
        </w:tc>
        <w:tc>
          <w:tcPr>
            <w:tcW w:w="2528" w:type="dxa"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Pirażinamid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Etambutolu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Iżoniażid ta</w:t>
            </w:r>
            <w:r w:rsidR="003506D9">
              <w:rPr>
                <w:rFonts w:ascii="Tahoma" w:hAnsi="Tahoma"/>
                <w:sz w:val="18"/>
              </w:rPr>
              <w:t>’</w:t>
            </w:r>
            <w:r w:rsidRPr="003506D9">
              <w:rPr>
                <w:rFonts w:ascii="Tahoma" w:hAnsi="Tahoma"/>
                <w:sz w:val="18"/>
              </w:rPr>
              <w:t xml:space="preserve"> doża għolja</w:t>
            </w:r>
          </w:p>
        </w:tc>
        <w:tc>
          <w:tcPr>
            <w:tcW w:w="2835" w:type="dxa"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Z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E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3506D9">
              <w:rPr>
                <w:rFonts w:ascii="Tahoma" w:hAnsi="Tahoma"/>
                <w:sz w:val="18"/>
              </w:rPr>
              <w:t>H</w:t>
            </w:r>
            <w:r w:rsidRPr="003506D9">
              <w:rPr>
                <w:rFonts w:ascii="Tahoma" w:hAnsi="Tahoma"/>
                <w:b/>
                <w:sz w:val="18"/>
                <w:vertAlign w:val="subscript"/>
              </w:rPr>
              <w:t xml:space="preserve"> (doża-għolja)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vMerge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D2</w:t>
            </w:r>
          </w:p>
        </w:tc>
        <w:tc>
          <w:tcPr>
            <w:tcW w:w="2528" w:type="dxa"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Bedakwilin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Delamanid</w:t>
            </w:r>
          </w:p>
        </w:tc>
        <w:tc>
          <w:tcPr>
            <w:tcW w:w="2835" w:type="dxa"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Bdq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Dlm</w:t>
            </w:r>
          </w:p>
        </w:tc>
      </w:tr>
      <w:tr w:rsidTr="0028467E">
        <w:tblPrEx>
          <w:tblW w:w="9069" w:type="dxa"/>
          <w:tblLook w:val="04A0"/>
        </w:tblPrEx>
        <w:tc>
          <w:tcPr>
            <w:tcW w:w="3031" w:type="dxa"/>
            <w:vMerge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D3</w:t>
            </w:r>
          </w:p>
        </w:tc>
        <w:tc>
          <w:tcPr>
            <w:tcW w:w="2528" w:type="dxa"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Aċidu p-aminosaliċiliċ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Imipenem-ċilastatin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Meropenem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Amoksiċillina-klavulanat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(Tioaċetażon)</w:t>
            </w:r>
          </w:p>
        </w:tc>
        <w:tc>
          <w:tcPr>
            <w:tcW w:w="2835" w:type="dxa"/>
            <w:shd w:val="clear" w:color="auto" w:fill="auto"/>
          </w:tcPr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PAS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Ipm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Mpm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Amx-Clv</w:t>
            </w:r>
          </w:p>
          <w:p w:rsidR="00DA3A70" w:rsidRPr="003506D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506D9">
              <w:rPr>
                <w:rFonts w:ascii="Tahoma" w:hAnsi="Tahoma"/>
                <w:sz w:val="18"/>
              </w:rPr>
              <w:t>(T)</w:t>
            </w:r>
          </w:p>
        </w:tc>
      </w:tr>
    </w:tbl>
    <w:p w:rsidR="00DA3A70" w:rsidRPr="003506D9" w:rsidP="00DB519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Cs w:val="24"/>
        </w:rPr>
      </w:pPr>
    </w:p>
    <w:p w:rsidR="00DA3A70" w:rsidRPr="003506D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3506D9">
        <w:rPr>
          <w:rFonts w:ascii="Tahoma" w:hAnsi="Tahoma"/>
          <w:b/>
          <w:sz w:val="24"/>
          <w:shd w:val="clear" w:color="auto" w:fill="D9D9D9"/>
        </w:rPr>
        <w:t>Standard Nru 13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 xml:space="preserve">Għandu jinżamm rekord bil-miktub jew elettroniku tal-medikazzjonijiet kollha amministrati, monitoraġġ tal-kura (inkluż rispons batterjoloġiku), reazzjonijiet avversi u riżultati tal-kura, għall-pazjenti kollha. </w:t>
      </w:r>
    </w:p>
    <w:p w:rsidR="00835340" w:rsidRPr="003506D9" w:rsidP="000D0DB0">
      <w:pPr>
        <w:pStyle w:val="EC-Title-6"/>
        <w:rPr>
          <w:sz w:val="18"/>
          <w:szCs w:val="18"/>
        </w:rPr>
      </w:pPr>
      <w:r w:rsidRPr="003506D9">
        <w:t>Rekwiżiti speċifiċi tal-UE</w:t>
      </w:r>
    </w:p>
    <w:p w:rsidR="00DA3A70" w:rsidRPr="003506D9" w:rsidP="00604B0D">
      <w:pPr>
        <w:widowControl w:val="0"/>
        <w:spacing w:after="0"/>
        <w:jc w:val="both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Fl-ewwel kuntatt ma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kull pazjent, għandha tinġabar l-istorja klinika u soċjali kompluta dwar it-tuberkolożi u din għandha tiġi inkluża fir-rekords mediċi. Għandha tinkludi l-informazzjoni disponibbli dwar id-dijanjożi preċedenti, il-kura (reġimen, dożi, t</w:t>
      </w:r>
      <w:r w:rsidRPr="003506D9">
        <w:rPr>
          <w:rFonts w:ascii="Tahoma" w:hAnsi="Tahoma"/>
          <w:sz w:val="18"/>
        </w:rPr>
        <w:t>ul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żmien, bidliet fir-reġimen, eċċ.) u aderenza, kif ukoll informazzjoni kompluta dwar batterjoloġija fid-dijanjożi u waqt l-eżami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segwitu (smear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sputum, tal-kultura u l-identifikazzjoni tal-ispeċi, ittestjar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suxxettibilità għal mediċini ta</w:t>
      </w:r>
      <w:r w:rsidRPr="003506D9">
        <w:rPr>
          <w:rFonts w:ascii="Tahoma" w:hAnsi="Tahoma"/>
          <w:sz w:val="18"/>
        </w:rPr>
        <w:t>l-ewwel u tat-tieni linja). Din l-informazzjoni għandha tiġi rrapportata fid-dokumentazzjoni rilaxxata lill-pazjent (ittra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rilaxx, formola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trasferiment </w:t>
      </w:r>
      <w:r w:rsidR="003506D9">
        <w:rPr>
          <w:rFonts w:ascii="Tahoma" w:hAnsi="Tahoma"/>
          <w:sz w:val="18"/>
        </w:rPr>
        <w:t>‘</w:t>
      </w:r>
      <w:r w:rsidRPr="003506D9">
        <w:rPr>
          <w:rFonts w:ascii="Tahoma" w:hAnsi="Tahoma"/>
          <w:sz w:val="18"/>
        </w:rPr>
        <w:t>il barra jew dokument ekwivalenti) biex tiffaċilita l-kontinwità tal-kura jekk il-pazjent jiċċa</w:t>
      </w:r>
      <w:r w:rsidRPr="003506D9">
        <w:rPr>
          <w:rFonts w:ascii="Tahoma" w:hAnsi="Tahoma"/>
          <w:sz w:val="18"/>
        </w:rPr>
        <w:t>qlaq / jitmexxa għal unità tas-saħħa oħra [32, 33].</w:t>
      </w:r>
    </w:p>
    <w:p w:rsidR="00D830C5" w:rsidRPr="003506D9" w:rsidP="000D0DB0">
      <w:pPr>
        <w:pStyle w:val="EC-Title-5"/>
        <w:spacing w:before="120"/>
      </w:pPr>
      <w:r w:rsidRPr="003506D9">
        <w:t>Standards għall-indirizzar ta</w:t>
      </w:r>
      <w:r w:rsidR="003506D9">
        <w:t>’</w:t>
      </w:r>
      <w:r w:rsidRPr="003506D9">
        <w:t xml:space="preserve"> infezzjoni u komorbiditajiet tal-HIV </w:t>
      </w:r>
    </w:p>
    <w:p w:rsidR="00DA3A70" w:rsidRPr="003506D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3506D9">
        <w:rPr>
          <w:rFonts w:ascii="Tahoma" w:hAnsi="Tahoma"/>
          <w:b/>
          <w:sz w:val="24"/>
          <w:shd w:val="clear" w:color="auto" w:fill="D9D9D9"/>
        </w:rPr>
        <w:t>Standard Nru 14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Għandha ssir konsulenza dwar l-HIV u għandu jkun rakkomandat l-ittestjar għall-HIV għall-pazjenti kollha li għandhom it</w:t>
      </w:r>
      <w:r w:rsidRPr="003506D9">
        <w:rPr>
          <w:rFonts w:ascii="Tahoma" w:hAnsi="Tahoma"/>
          <w:sz w:val="18"/>
        </w:rPr>
        <w:t>-tuberkolożi, jew għal dawk li huma maħsuba li għandhom it-tuberkolożi. L-ittestjar huwa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importanza speċjali bħala parti mill-ġestjoni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rutina tal-pazjenti kollha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żoni bi prevalenza għolja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infezzjoni tal-HIV fil-popolazzjoni ġenerali, jew jekk</w:t>
      </w:r>
      <w:r w:rsidRPr="003506D9">
        <w:rPr>
          <w:rFonts w:ascii="Tahoma" w:hAnsi="Tahoma"/>
          <w:sz w:val="18"/>
        </w:rPr>
        <w:t xml:space="preserve"> il-pazjent huwa minn popolazzjoni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riskju għoli jew għandu sintomi u/jew sinjali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kundizzjonijiet relatati mal-HIV. Minħabba l-interazzjoni mill-qrib bejn it-tuberkolożi u l-infezzjoni tal-HIV, huma rrakkomandati approċċi integrati għall-prevenzjoni</w:t>
      </w:r>
      <w:r w:rsidRPr="003506D9">
        <w:rPr>
          <w:rFonts w:ascii="Tahoma" w:hAnsi="Tahoma"/>
          <w:sz w:val="18"/>
        </w:rPr>
        <w:t xml:space="preserve"> u għall-kura taż-żewġ infezzjonijiet [34].</w:t>
      </w:r>
    </w:p>
    <w:p w:rsidR="00DA3A70" w:rsidRPr="003506D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3506D9">
        <w:rPr>
          <w:rFonts w:ascii="Tahoma" w:hAnsi="Tahoma"/>
          <w:b/>
          <w:sz w:val="24"/>
          <w:shd w:val="clear" w:color="auto" w:fill="D9D9D9"/>
        </w:rPr>
        <w:t>Standard Nru 15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Il-pazjenti kollha bit-tuberkolożi u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infezzjoni tal-HIV għandhom jiġu evalwati bir-reqqa: it-terapija antiretrovirali hija rakkomandata fil-pazjenti kollha bit-tuberkulożi li huma pożittivi għal</w:t>
      </w:r>
      <w:r w:rsidRPr="003506D9">
        <w:rPr>
          <w:rFonts w:ascii="Tahoma" w:hAnsi="Tahoma"/>
          <w:sz w:val="18"/>
        </w:rPr>
        <w:t>l-HIV. Il-kura tat-tuberkulożi għandha tinbeda immedjatament u l-kura antiretrovirali għandha tingħata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riċetta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tabib malajr kemm jista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jkun. </w:t>
      </w:r>
    </w:p>
    <w:p w:rsidR="00DA3A70" w:rsidRPr="003506D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i/>
          <w:sz w:val="24"/>
          <w:szCs w:val="24"/>
          <w:shd w:val="clear" w:color="auto" w:fill="D9D9D9"/>
        </w:rPr>
      </w:pPr>
      <w:r w:rsidRPr="003506D9">
        <w:rPr>
          <w:rFonts w:ascii="Tahoma" w:hAnsi="Tahoma"/>
          <w:b/>
          <w:sz w:val="24"/>
          <w:shd w:val="clear" w:color="auto" w:fill="D9D9D9"/>
        </w:rPr>
        <w:t>Standard Nru 16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Persuni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koinfezzjoni tal-HIV li, wara evalwazzjoni bir-reqqa, ikollhom test pożittiv (TST</w:t>
      </w:r>
      <w:r w:rsidRPr="003506D9">
        <w:rPr>
          <w:rFonts w:ascii="Tahoma" w:hAnsi="Tahoma"/>
          <w:sz w:val="18"/>
        </w:rPr>
        <w:t xml:space="preserve"> u/jew IGRAs) għal dik li hija maħsuba li hija infezzjoni moħbija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i/>
          <w:sz w:val="18"/>
        </w:rPr>
        <w:t xml:space="preserve">M. tuberculosis </w:t>
      </w:r>
      <w:r w:rsidRPr="003506D9">
        <w:rPr>
          <w:rFonts w:ascii="Tahoma" w:hAnsi="Tahoma"/>
          <w:sz w:val="18"/>
        </w:rPr>
        <w:t>iżda m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għandhomx tuberkulożi attiva għandhom jingħataw kura preventiva.</w:t>
      </w:r>
    </w:p>
    <w:p w:rsidR="00835340" w:rsidRPr="003506D9" w:rsidP="000D0DB0">
      <w:pPr>
        <w:pStyle w:val="EC-Title-6"/>
        <w:rPr>
          <w:sz w:val="18"/>
          <w:szCs w:val="18"/>
        </w:rPr>
      </w:pPr>
      <w:r w:rsidRPr="003506D9">
        <w:t>Rekwiżiti speċifiċi tal-UE</w:t>
      </w:r>
    </w:p>
    <w:p w:rsidR="00DA3A70" w:rsidRPr="003506D9" w:rsidP="000D0DB0">
      <w:pPr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Billi l-koinfezzjoni tal-HIV hija magħrufa li żżid il-probabbiltà li jiżv</w:t>
      </w:r>
      <w:r w:rsidRPr="003506D9">
        <w:rPr>
          <w:rFonts w:ascii="Tahoma" w:hAnsi="Tahoma"/>
          <w:sz w:val="18"/>
        </w:rPr>
        <w:t>iluppa mard attiv tat-tuberkulożi wara infezzjoni, persuni seropożittivi bl-HIV li ġew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kuntatt ma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każ indiċi li jista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jkun kawża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razza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MDR-TB, għandhom inizjalment jgħaddu minn valutazzjoni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riskju individwali. Għandhom jiġu pprovduti monito</w:t>
      </w:r>
      <w:r w:rsidRPr="003506D9">
        <w:rPr>
          <w:rFonts w:ascii="Tahoma" w:hAnsi="Tahoma"/>
          <w:sz w:val="18"/>
        </w:rPr>
        <w:t>raġġ u segwitu kliniku regolari għal dawk li għandhom evidenza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infezzjoni moħbija. [35].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Il-kura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prevenzjoni għandha tqis il-mudell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reżistenza għall-mediċina tal-każ tas-sors, l-għadd CD4 u l-użu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kura antiretrovirali. Għandha tingħata kura </w:t>
      </w:r>
      <w:r w:rsidRPr="003506D9">
        <w:rPr>
          <w:rFonts w:ascii="Tahoma" w:hAnsi="Tahoma"/>
          <w:sz w:val="18"/>
        </w:rPr>
        <w:t>preventiva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iżoniażid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6 xhur, jew iżoniażid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9 xhur, jew reġimen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3 xhur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rifapentina għal kull ġimgħa flimkien ma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iżoniażid, jew 3 sa 4 xhur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iżoniażid flimkien ma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rifampiċina, jew rifampiċina għal bejn it-3 u 4 xhur waħdu [36, 37]. Reġ</w:t>
      </w:r>
      <w:r w:rsidRPr="003506D9">
        <w:rPr>
          <w:rFonts w:ascii="Tahoma" w:hAnsi="Tahoma"/>
          <w:sz w:val="18"/>
        </w:rPr>
        <w:t>imen li fihom riflampiċin u rifapentina għandhom jiġu preskritti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kawtela lil persuni li jgħixu bl-HIV li huma fuq kura antiretrovirali minħabba interazzjonijiet potenzjali minn mediċina għal oħra [36, 38].</w:t>
      </w:r>
    </w:p>
    <w:p w:rsidR="00DA3A70" w:rsidRPr="003506D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3506D9">
        <w:rPr>
          <w:rFonts w:ascii="Tahoma" w:hAnsi="Tahoma"/>
          <w:b/>
          <w:sz w:val="24"/>
        </w:rPr>
        <w:t>Standard Nru 17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Il-fornituri kollha għandhom iwe</w:t>
      </w:r>
      <w:r w:rsidRPr="003506D9">
        <w:rPr>
          <w:rFonts w:ascii="Tahoma" w:hAnsi="Tahoma"/>
          <w:sz w:val="18"/>
        </w:rPr>
        <w:t>ttqu evalwazzjoni bir-reqqa tal-kundizzjonijiet li jistgħu jaffettwaw ir-rispons għall-kura jew l-eżitu tat-kura tat-tuberkulożi. Fiż-żmien li jiġi żviluppat il-pjan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ġestjoni tal-każ, il-fornitur għandu jidentifika servizzi addizzjonali li jsostnu riżu</w:t>
      </w:r>
      <w:r w:rsidRPr="003506D9">
        <w:rPr>
          <w:rFonts w:ascii="Tahoma" w:hAnsi="Tahoma"/>
          <w:sz w:val="18"/>
        </w:rPr>
        <w:t>ltat ottimali għal kull pazjent u għandu jinkorpora dawn is-servizzi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pjan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kura individwalizzat. Dan il-pjan għandu jinkludi valutazzjoni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u referenzi għal kura għal mard ieħor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attenzjoni partikolari għal dawk magħrufa li jaffettwaw ir-riżultat t</w:t>
      </w:r>
      <w:r w:rsidRPr="003506D9">
        <w:rPr>
          <w:rFonts w:ascii="Tahoma" w:hAnsi="Tahoma"/>
          <w:sz w:val="18"/>
        </w:rPr>
        <w:t>al-kura, pereżempju l-HIV, diabetes mellitus, il-vizzju tad-droga u l-alkoħol, it-tipjip tat-tabakk u problemi psikosoċjali oħrajn [39]. Servizzi bħal pereżempju l-kura tat-tarbija qabel it-twelid jew il-kura tal-benesseri tat-tarbija għandhom ukoll jiġu p</w:t>
      </w:r>
      <w:r w:rsidRPr="003506D9">
        <w:rPr>
          <w:rFonts w:ascii="Tahoma" w:hAnsi="Tahoma"/>
          <w:sz w:val="18"/>
        </w:rPr>
        <w:t>provduti meta meħtieġ.</w:t>
      </w:r>
    </w:p>
    <w:p w:rsidR="00835340" w:rsidRPr="003506D9" w:rsidP="000D0DB0">
      <w:pPr>
        <w:pStyle w:val="EC-Title-6"/>
      </w:pPr>
      <w:r w:rsidRPr="003506D9">
        <w:t>Rekwiżiti speċifiċi tal-UE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 xml:space="preserve">L-implimentazzjoni tal-pakkett sħiħ deskritt fil-Politika Interim tad-WHO dwar Attivitajiet Kollaborattivi tat-TB/HIV għandha ssir għall-attivitajiet kollha, kemm dawk koperti hawnhekk kif ukoll oħrajn </w:t>
      </w:r>
      <w:r w:rsidRPr="003506D9">
        <w:rPr>
          <w:rFonts w:ascii="Tahoma" w:hAnsi="Tahoma"/>
          <w:sz w:val="18"/>
        </w:rPr>
        <w:t>inklużi fil-pakkett tas-WHO [34].</w:t>
      </w:r>
    </w:p>
    <w:p w:rsidR="00DA3A70" w:rsidRPr="003506D9" w:rsidP="0028467E">
      <w:pPr>
        <w:pStyle w:val="EC-Title-5"/>
        <w:spacing w:before="120"/>
        <w:rPr>
          <w:b w:val="0"/>
          <w:sz w:val="24"/>
          <w:szCs w:val="24"/>
        </w:rPr>
      </w:pPr>
      <w:r w:rsidRPr="003506D9">
        <w:t>Standards għas-saħħa pubblika u l-prevenzjoni tat-tuberkolożi</w:t>
      </w:r>
    </w:p>
    <w:p w:rsidR="00DA3A70" w:rsidRPr="003506D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3506D9">
        <w:rPr>
          <w:rFonts w:ascii="Tahoma" w:hAnsi="Tahoma"/>
          <w:b/>
          <w:sz w:val="24"/>
        </w:rPr>
        <w:t>Standard Nru 18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Il-fornituri kollha tal-kura għall-pazjenti bit-tuberkulożi għandhom jiżguraw li persuni li kienu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kuntatt mill-qrib ma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pazjenti attivi u infe</w:t>
      </w:r>
      <w:r w:rsidRPr="003506D9">
        <w:rPr>
          <w:rFonts w:ascii="Tahoma" w:hAnsi="Tahoma"/>
          <w:sz w:val="18"/>
        </w:rPr>
        <w:t>ttivi tat-tuberkulożi jiġu evalwati u ġestiti skont ir-rakkomandazzjonijiet internazzjonali. Kuntatti mill-qrib jinkludu membri tad-dar u tal-familja, u individwi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kuntatt intensiv jew imtawwal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ambjenti kongregati bħall-ħabsijiet, postijiet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kenn għa</w:t>
      </w:r>
      <w:r w:rsidRPr="003506D9">
        <w:rPr>
          <w:rFonts w:ascii="Tahoma" w:hAnsi="Tahoma"/>
          <w:sz w:val="18"/>
        </w:rPr>
        <w:t>l persuni bla dar jew immigranti, u spazji interni bħal skejjel jew uffiċċji.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Ir-riskju tat-trażmissjoni tat-tuberkolożi jiddependi mill-konċentrazzjoni tal-baċilli tat-tuberkulini fl-arja, il-fluss tal-arja, it-tul tal-kuntatt u s-suxxettibilità tal-kunta</w:t>
      </w:r>
      <w:r w:rsidRPr="003506D9">
        <w:rPr>
          <w:rFonts w:ascii="Tahoma" w:hAnsi="Tahoma"/>
          <w:sz w:val="18"/>
        </w:rPr>
        <w:t>tt għall-infezzjoni. Id-determinazzjoni tal-prijoritajiet għall-investigazzjoni tal-kuntatt hija bbażata fuq il-probabbiltà li kuntatt: 1) ma ġiex iddijanjostikat u għalhekk tuberkulożi mhux ikkurata; 2) jinsab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riskju għoli li jkun ġie infettat mill-każ </w:t>
      </w:r>
      <w:r w:rsidRPr="003506D9">
        <w:rPr>
          <w:rFonts w:ascii="Tahoma" w:hAnsi="Tahoma"/>
          <w:sz w:val="18"/>
        </w:rPr>
        <w:t>tal-indiċi; 3) huwa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riskju għoli li jiżviluppa t-tuberkulożi jekk ikun infettat; 4) jinsab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riskju li jkollu tuberkulożi severa jekk tiżviluppa l-marda.</w:t>
      </w:r>
    </w:p>
    <w:p w:rsidR="00835340" w:rsidRPr="003506D9" w:rsidP="00835340">
      <w:pPr>
        <w:pStyle w:val="EC-Title-6"/>
      </w:pPr>
      <w:r w:rsidRPr="003506D9">
        <w:t>Rekwiżiti speċifiċi tal-UE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Id-determinanti tat-trażmissjoni tat-tuberkulożi u s-suxxettibilità għandhom jiġu kkunsidrati bir-reqqa meta jiġi vvalutat jekk it-trażmissjoni x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aktarx li seħħet u l-ħtieġa li jinbeda r-rintraċċar tal-kuntatt [40]. 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Għandhom jiġu ttestjati kuntatti mill-q</w:t>
      </w:r>
      <w:r w:rsidRPr="003506D9">
        <w:rPr>
          <w:rFonts w:ascii="Tahoma" w:hAnsi="Tahoma"/>
          <w:sz w:val="18"/>
        </w:rPr>
        <w:t>rib tal-pazjenti li għandhom TB MDR u XDR għal infezzjoni tat-tuberkolożi moħbija (LTBI) u tat-tuberkolożi skont il-linji gwida nazzjonali. Kuntatti li fihom il-marda tat-tuberkolożi ġiet eskluża u li huma dijanjostikati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LTBI għandha ssirilhom valutazzjo</w:t>
      </w:r>
      <w:r w:rsidRPr="003506D9">
        <w:rPr>
          <w:rFonts w:ascii="Tahoma" w:hAnsi="Tahoma"/>
          <w:sz w:val="18"/>
        </w:rPr>
        <w:t xml:space="preserve">ni tar-riskju individwali biex jiġi determinat: 1) ir-riskju tal-kuntatt għall-progressjoni għall-marda tat-tuberkulożi; 2) il-mudell tas-suxxettibilità għall-mediċina tal-każ tas-sors; u 3) ir-riskju tal-kuntatt għal avvenimenti avversi jekk tibda l-kura </w:t>
      </w:r>
      <w:r w:rsidRPr="003506D9">
        <w:rPr>
          <w:rFonts w:ascii="Tahoma" w:hAnsi="Tahoma"/>
          <w:sz w:val="18"/>
        </w:rPr>
        <w:t>għall-LTBI [36, 38]. Irrispettivament mill-pariri għat-tobba dwar il-kura għal-LTBI, dawn il-kuntatti għandhom jiġu pprovduti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osservazzjoni klinika bir-reqqa, informazzjoni u edukazzjoni dwar is-saħħa minn ħaddiema fil-qasam tal-kura tas-saħħa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esperjen</w:t>
      </w:r>
      <w:r w:rsidRPr="003506D9">
        <w:rPr>
          <w:rFonts w:ascii="Tahoma" w:hAnsi="Tahoma"/>
          <w:sz w:val="18"/>
        </w:rPr>
        <w:t>za fil-ġestjoni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mard LTBI u tuberkulożi [35, 41].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L-involviment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organizzazzjonijiet lokali bbażati fil-komunità (inklużi ħaddiema fil-qasam tal-kura tas-saħħa fil-komunità, professjonisti mhux tobba u kollegi) huwa rrakkomandat meta jitwettaq traċċ</w:t>
      </w:r>
      <w:r w:rsidRPr="003506D9">
        <w:rPr>
          <w:rFonts w:ascii="Tahoma" w:hAnsi="Tahoma"/>
          <w:sz w:val="18"/>
        </w:rPr>
        <w:t>ar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kuntatt fost popolazzjonijiet vulnerabbli u diffiċli biex jintlaħqu. Dan l-approċċ jista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jikkontribwixxi għall-identifikazzjoni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suċċess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kuntatti potenzjali [42, 43].</w:t>
      </w:r>
    </w:p>
    <w:p w:rsidR="0098145B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Dawk li jaħdmu fil-kliniċi u maniġers tal-programmi nazzjonali għandhom jint</w:t>
      </w:r>
      <w:r w:rsidRPr="003506D9">
        <w:rPr>
          <w:rFonts w:ascii="Tahoma" w:hAnsi="Tahoma"/>
          <w:sz w:val="18"/>
        </w:rPr>
        <w:t>eraġixxu mal-awtoritajiet tas-saħħa relevanti tal-pajjiżi ospiti u/jew tal-pajjiż tal-pazjenti tat-tuberkolożi li jappartjenu għal gruppi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migranti jew popolazzjonijiet li jimxu minn post għall-ieħor, biex jiżguraw kontinwità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kura u investigazzjoni </w:t>
      </w:r>
      <w:r w:rsidRPr="003506D9">
        <w:rPr>
          <w:rFonts w:ascii="Tahoma" w:hAnsi="Tahoma"/>
          <w:sz w:val="18"/>
        </w:rPr>
        <w:t>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kuntatt kif xieraq [44]. </w:t>
      </w:r>
    </w:p>
    <w:p w:rsidR="00DA3A70" w:rsidRPr="003506D9" w:rsidP="00604B0D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3506D9">
        <w:rPr>
          <w:rFonts w:ascii="Tahoma" w:hAnsi="Tahoma"/>
          <w:b/>
          <w:sz w:val="24"/>
          <w:shd w:val="clear" w:color="auto" w:fill="D9D9D9"/>
        </w:rPr>
        <w:t>Standard Nru 19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Kuntatti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pazjent bit-tuberkulożi infettiva, persuni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infezzjoni tal-HIV, pazjenti li qed jibdew kura tal-fattur tan-nekrożi kontra tumur (TNF, tumour necrosis factor), pazjenti li jkunu qed jirċievu dija</w:t>
      </w:r>
      <w:r w:rsidRPr="003506D9">
        <w:rPr>
          <w:rFonts w:ascii="Tahoma" w:hAnsi="Tahoma"/>
          <w:sz w:val="18"/>
        </w:rPr>
        <w:t>liżi, pazjenti li jkunu qed jippreparaw lilhom infushom għal trapjant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xi organu jew ematoloġiku, u pazjenti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silikożi għandhom jiġu ttestjati għal infezzjoni tat-tuberkulożi moħbija. Jekk tiġi identifikata infezzjoni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tuberkulożi moħbija dawn għand</w:t>
      </w:r>
      <w:r w:rsidRPr="003506D9">
        <w:rPr>
          <w:rFonts w:ascii="Tahoma" w:hAnsi="Tahoma"/>
          <w:sz w:val="18"/>
        </w:rPr>
        <w:t>hom jiġu evalwati bir-reqqa għat-tuberkolożi attiva. Meta tiġi eskluża t-tuberkolożi attiva, għandha tiġi offruta kura preventiva bl-użu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reġimen kif rakkomandat mid-WHO.</w:t>
      </w:r>
    </w:p>
    <w:p w:rsidR="00DA3A70" w:rsidRPr="003506D9" w:rsidP="000D0DB0">
      <w:pPr>
        <w:pStyle w:val="EC-Title-6"/>
        <w:rPr>
          <w:b w:val="0"/>
          <w:sz w:val="24"/>
          <w:szCs w:val="24"/>
        </w:rPr>
      </w:pPr>
      <w:r w:rsidRPr="003506D9">
        <w:rPr>
          <w:sz w:val="24"/>
        </w:rPr>
        <w:t>Rekwiżiti speċifiċi tal-UE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Dawk li jaħdmu fil-kliniċi għandhom jikkollaboraw ma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a</w:t>
      </w:r>
      <w:r w:rsidRPr="003506D9">
        <w:rPr>
          <w:rFonts w:ascii="Tahoma" w:hAnsi="Tahoma"/>
          <w:sz w:val="18"/>
        </w:rPr>
        <w:t>wtoritajiet tas-saħħa pubblika biex jimplimentaw proċeduri xierqa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intraċċar tal-kuntatt, imwettqa skont rakkomandazzjonijiet nazzjonali u internazzjonali fuq ċrieki progressivi, meta jiġi dijanjostikat u notifikat każ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indiċi infettiv [40, 41, 45, 4</w:t>
      </w:r>
      <w:r w:rsidRPr="003506D9">
        <w:rPr>
          <w:rFonts w:ascii="Tahoma" w:hAnsi="Tahoma"/>
          <w:sz w:val="18"/>
        </w:rPr>
        <w:t>6]. Bl-istess mod, għandha tinbeda kemm it-tfittxija għas-sors kif ukoll investigazzjoni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kuntatt jekk jiġi identifikat tifel jew tifla bit-tuberkulożi (fi kwalunkwe sit tal-infezzjoni) kif ukoll fejn ma jkun ġie identifikat l-ebda sors [41, 47]. 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Indiv</w:t>
      </w:r>
      <w:r w:rsidRPr="003506D9">
        <w:rPr>
          <w:rFonts w:ascii="Tahoma" w:hAnsi="Tahoma"/>
          <w:sz w:val="18"/>
        </w:rPr>
        <w:t>idwi li jkunu qegħdin jieħdu kura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anti-TNF-ɑ għandhom jiġu kkunsidrati bħala kuntatti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riskju kbir. Skont in-numru 16 tal-ECTS,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individwi li huma infettati bl-HIV jew affettwati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komorbożitajiet, il-kura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infezzjoni moħbija għandha tinbeda minnu</w:t>
      </w:r>
      <w:r w:rsidRPr="003506D9">
        <w:rPr>
          <w:rFonts w:ascii="Tahoma" w:hAnsi="Tahoma"/>
          <w:sz w:val="18"/>
        </w:rPr>
        <w:t>fih jekk l-infezzjoni tat-tuberkulożi tiġi identifikata b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TST u/jew IGRAs u mard attiv tat-tuberkulożi huwa eskluż [10, 36, 38, 40, 48, 49].</w:t>
      </w:r>
    </w:p>
    <w:p w:rsidR="00DA3A70" w:rsidRPr="003506D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3506D9">
        <w:rPr>
          <w:rFonts w:ascii="Tahoma" w:hAnsi="Tahoma"/>
          <w:b/>
          <w:sz w:val="24"/>
          <w:shd w:val="clear" w:color="auto" w:fill="D9D9D9"/>
        </w:rPr>
        <w:t>Standard Nru 20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Kull faċilità tal-kura tas-saħħa li tieħu ħsieb pazjenti li għandhom, jew li huwa maħsub li għandho</w:t>
      </w:r>
      <w:r w:rsidRPr="003506D9">
        <w:rPr>
          <w:rFonts w:ascii="Tahoma" w:hAnsi="Tahoma"/>
          <w:sz w:val="18"/>
        </w:rPr>
        <w:t>m tuberkulożi infettiva, għandha tiżviluppa u timplimenta pjan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kontroll xieraq ta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 xml:space="preserve"> infezzjoni tat-tuberkolożi. </w:t>
      </w:r>
    </w:p>
    <w:p w:rsidR="0098145B" w:rsidRPr="003506D9" w:rsidP="0098145B">
      <w:pPr>
        <w:pStyle w:val="EC-Title-6"/>
        <w:rPr>
          <w:sz w:val="24"/>
          <w:szCs w:val="24"/>
        </w:rPr>
      </w:pPr>
      <w:r w:rsidRPr="003506D9">
        <w:rPr>
          <w:sz w:val="24"/>
        </w:rPr>
        <w:t>Rekwiżiti speċifiċi tal-UE</w:t>
      </w:r>
    </w:p>
    <w:p w:rsidR="00DA3A70" w:rsidRPr="003506D9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3506D9">
        <w:rPr>
          <w:rFonts w:ascii="Tahoma" w:hAnsi="Tahoma"/>
          <w:spacing w:val="-2"/>
          <w:sz w:val="18"/>
        </w:rPr>
        <w:t>Kura bbażata fil-komunità, appoġġjata minn miżuri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kontroll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infezzjonijiet fid-dar, għandha tkun </w:t>
      </w:r>
      <w:r w:rsidRPr="003506D9">
        <w:rPr>
          <w:rFonts w:ascii="Tahoma" w:hAnsi="Tahoma"/>
          <w:spacing w:val="-2"/>
          <w:sz w:val="18"/>
        </w:rPr>
        <w:t>disponibbli għal pazjenti li jippreferu jingħataw kura d-dar [5, 24].</w:t>
      </w:r>
    </w:p>
    <w:p w:rsidR="00DA3A70" w:rsidRPr="003506D9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3506D9">
        <w:rPr>
          <w:rFonts w:ascii="Tahoma" w:hAnsi="Tahoma"/>
          <w:spacing w:val="-2"/>
          <w:sz w:val="18"/>
        </w:rPr>
        <w:t>Jekk ikun meħtieġ li pazjent jiddaħħal l-isptar, dawk li jaħdmu fil-kliniċi għandhom jiżguraw li l-pazjenti kollha li jkunu għadhom kif ġew ammessi l-isptar u li huma maħsuba li għandhom</w:t>
      </w:r>
      <w:r w:rsidRPr="003506D9">
        <w:rPr>
          <w:rFonts w:ascii="Tahoma" w:hAnsi="Tahoma"/>
          <w:spacing w:val="-2"/>
          <w:sz w:val="18"/>
        </w:rPr>
        <w:t xml:space="preserve"> tuberkulożi infettiva jiġu soġġetti għal iżolatament respiratorju sakemm id-dijanjożi tagħhom tkun ikkonfermata jew eskluża [2]. </w:t>
      </w:r>
    </w:p>
    <w:p w:rsidR="00DA3A70" w:rsidRPr="003506D9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3506D9">
        <w:rPr>
          <w:rFonts w:ascii="Tahoma" w:hAnsi="Tahoma"/>
          <w:spacing w:val="-2"/>
          <w:sz w:val="18"/>
        </w:rPr>
        <w:t>Sabiex tiġi evitata t-trażmissjoni tal-baċilli tat-tuberkulini lil pazjenti, persunal u/jew viżitaturi oħrajn, pazjenti li għ</w:t>
      </w:r>
      <w:r w:rsidRPr="003506D9">
        <w:rPr>
          <w:rFonts w:ascii="Tahoma" w:hAnsi="Tahoma"/>
          <w:spacing w:val="-2"/>
          <w:sz w:val="18"/>
        </w:rPr>
        <w:t>adhom tip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tuberkolożi msejħa smear-positive għandhom idealment jiġu iżolati fi kmamar xierqa sakemm jilħqu konverżjoni batterjoloġika (mikroskopija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sputum negattiva). L-iżolament għandu jkun fil-kmamar b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ventilazzjoni bi pressjoni negattiva. </w:t>
      </w:r>
    </w:p>
    <w:p w:rsidR="00DA3A70" w:rsidRPr="003506D9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3506D9">
        <w:rPr>
          <w:rFonts w:ascii="Tahoma" w:hAnsi="Tahoma"/>
          <w:spacing w:val="-2"/>
          <w:sz w:val="18"/>
        </w:rPr>
        <w:t xml:space="preserve">Pjan </w:t>
      </w:r>
      <w:r w:rsidRPr="003506D9">
        <w:rPr>
          <w:rFonts w:ascii="Tahoma" w:hAnsi="Tahoma"/>
          <w:spacing w:val="-2"/>
          <w:sz w:val="18"/>
        </w:rPr>
        <w:t>xieraq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kontroll tal-infezzjoni, immexxi minn persuna nominata, għandu jinkludi l-erba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komponenti li ġejjin; attivitajiet maniġerjali; kontrolli amministrattivi; kontrolli ambjentali; u interventi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protezzjoni personali [5, 50]. Miżuri amministratti</w:t>
      </w:r>
      <w:r w:rsidRPr="003506D9">
        <w:rPr>
          <w:rFonts w:ascii="Tahoma" w:hAnsi="Tahoma"/>
          <w:spacing w:val="-2"/>
          <w:sz w:val="18"/>
        </w:rPr>
        <w:t>vi adegwati għall-kontroll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infezzjoni tat-tuberkulożi għandhom ikunu fis-seħħ fil-faċilitajiet kollha fil-qasam tal-kura tas-saħħa, kif ukoll miżuri adegwati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protezzjoni respiratorja (inkluż l-użu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respiraturi wara ittestjar biex ikun stabbilit </w:t>
      </w:r>
      <w:r w:rsidRPr="003506D9">
        <w:rPr>
          <w:rFonts w:ascii="Tahoma" w:hAnsi="Tahoma"/>
          <w:spacing w:val="-2"/>
          <w:sz w:val="18"/>
        </w:rPr>
        <w:t>li r-respiraturi jkunu tajbin għal persunal u l-użu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maskra kirurġika għal pazjenti infettivi). Taħriġ xieraq dwar il-kontroll tal-infezzjonijiet lill-persunal, u edukazzjoni tas-saħħa standardizzata tal-pazjenti dwar l-etikett meta jisogħlu, ibbażati f</w:t>
      </w:r>
      <w:r w:rsidRPr="003506D9">
        <w:rPr>
          <w:rFonts w:ascii="Tahoma" w:hAnsi="Tahoma"/>
          <w:spacing w:val="-2"/>
          <w:sz w:val="18"/>
        </w:rPr>
        <w:t>uq għodod ivvalidati, għandhom jiġu inklużi wkoll fil-pjan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kontroll tal-infezzjoni. Il-kumitati għall-kontroll tal-infezzjonijiet, li jkopru mard trażmess fl-arja, u jinkludu esperti għall-kontroll tal-infezzjonijiet, għandhom jiġu implimentati wkoll [</w:t>
      </w:r>
      <w:r w:rsidRPr="003506D9">
        <w:rPr>
          <w:rFonts w:ascii="Tahoma" w:hAnsi="Tahoma"/>
          <w:spacing w:val="-2"/>
          <w:sz w:val="18"/>
        </w:rPr>
        <w:t>5, 50-52].</w:t>
      </w:r>
    </w:p>
    <w:p w:rsidR="00DA3A70" w:rsidRPr="003506D9" w:rsidP="003506D9">
      <w:pPr>
        <w:pageBreakBefore/>
        <w:shd w:val="clear" w:color="auto" w:fill="E7E6E6"/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3506D9">
        <w:rPr>
          <w:rFonts w:ascii="Tahoma" w:hAnsi="Tahoma"/>
          <w:b/>
          <w:sz w:val="24"/>
          <w:shd w:val="clear" w:color="auto" w:fill="D9D9D9"/>
        </w:rPr>
        <w:t>Standar</w:t>
      </w:r>
      <w:bookmarkStart w:id="1" w:name="_GoBack"/>
      <w:bookmarkEnd w:id="1"/>
      <w:r w:rsidRPr="003506D9">
        <w:rPr>
          <w:rFonts w:ascii="Tahoma" w:hAnsi="Tahoma"/>
          <w:b/>
          <w:sz w:val="24"/>
          <w:shd w:val="clear" w:color="auto" w:fill="D9D9D9"/>
        </w:rPr>
        <w:t>d Nru 21</w:t>
      </w:r>
    </w:p>
    <w:p w:rsidR="00DA3A70" w:rsidRPr="003506D9" w:rsidP="0028467E">
      <w:pPr>
        <w:spacing w:after="120"/>
        <w:rPr>
          <w:rFonts w:ascii="Tahoma" w:hAnsi="Tahoma" w:cs="Tahoma"/>
          <w:sz w:val="18"/>
          <w:szCs w:val="18"/>
        </w:rPr>
      </w:pPr>
      <w:r w:rsidRPr="003506D9">
        <w:rPr>
          <w:rFonts w:ascii="Tahoma" w:hAnsi="Tahoma"/>
          <w:sz w:val="18"/>
        </w:rPr>
        <w:t>Il-fornituri kollha għandhom jirrapportaw kemm każijiet ġodda kif ukoll kura mill-ġdid tat-tuberkulożi kif ukoll ir-riżultati tal-kura tagħhom lill-awtoritajiet lokali tas-saħħa pubblika, f</w:t>
      </w:r>
      <w:r w:rsidR="003506D9">
        <w:rPr>
          <w:rFonts w:ascii="Tahoma" w:hAnsi="Tahoma"/>
          <w:sz w:val="18"/>
        </w:rPr>
        <w:t>’</w:t>
      </w:r>
      <w:r w:rsidRPr="003506D9">
        <w:rPr>
          <w:rFonts w:ascii="Tahoma" w:hAnsi="Tahoma"/>
          <w:sz w:val="18"/>
        </w:rPr>
        <w:t>konformità mar-rekwiżiti legali applika</w:t>
      </w:r>
      <w:r w:rsidRPr="003506D9">
        <w:rPr>
          <w:rFonts w:ascii="Tahoma" w:hAnsi="Tahoma"/>
          <w:sz w:val="18"/>
        </w:rPr>
        <w:t xml:space="preserve">bbli u l-politiki applikabbli. </w:t>
      </w:r>
    </w:p>
    <w:p w:rsidR="0098145B" w:rsidRPr="003506D9" w:rsidP="0098145B">
      <w:pPr>
        <w:pStyle w:val="EC-Title-6"/>
        <w:rPr>
          <w:sz w:val="24"/>
          <w:szCs w:val="24"/>
        </w:rPr>
      </w:pPr>
      <w:r w:rsidRPr="003506D9">
        <w:rPr>
          <w:sz w:val="24"/>
        </w:rPr>
        <w:t>Rekwiżiti speċifiċi tal-UE</w:t>
      </w:r>
    </w:p>
    <w:p w:rsidR="00DA3A70" w:rsidRPr="003506D9" w:rsidP="000D0DB0">
      <w:pPr>
        <w:rPr>
          <w:rFonts w:ascii="Tahoma" w:hAnsi="Tahoma" w:cs="Tahoma"/>
          <w:spacing w:val="-2"/>
          <w:sz w:val="18"/>
          <w:szCs w:val="18"/>
        </w:rPr>
      </w:pPr>
      <w:r w:rsidRPr="003506D9">
        <w:rPr>
          <w:rFonts w:ascii="Tahoma" w:hAnsi="Tahoma"/>
          <w:spacing w:val="-2"/>
          <w:sz w:val="18"/>
        </w:rPr>
        <w:t>Dawk li jaħdmu fil-kliniċi għandhom iwettqu evalwazzjonijiet tar-riżultat tal-kura fl-unità klinika tagħhom f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>intervalli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żmien regolari (pereżempju kull tliet xhur) [18, 53]. Ir-riżultati </w:t>
      </w:r>
      <w:r w:rsidRPr="003506D9">
        <w:rPr>
          <w:rFonts w:ascii="Tahoma" w:hAnsi="Tahoma"/>
          <w:spacing w:val="-2"/>
          <w:sz w:val="18"/>
        </w:rPr>
        <w:t>tal-kura għandhom jiġu rrappurtati lill-awtoritajiet lokali tas-saħħa pubblika, f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>konformità mar-rekwiżiti u l-politiki applikabbli u, fl-istess ħin, jintużaw bħala għodda 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monitoraġġ u evalwazzjoni biex titjieb il-kwalità tal-ġestjoni tal-pazjent.</w:t>
      </w:r>
      <w:r w:rsidRPr="003506D9">
        <w:rPr>
          <w:rFonts w:ascii="Tahoma" w:hAnsi="Tahoma"/>
          <w:b/>
          <w:spacing w:val="-2"/>
          <w:sz w:val="18"/>
        </w:rPr>
        <w:t xml:space="preserve"> </w:t>
      </w:r>
      <w:r w:rsidRPr="003506D9">
        <w:rPr>
          <w:rFonts w:ascii="Tahoma" w:hAnsi="Tahoma"/>
          <w:spacing w:val="-2"/>
          <w:sz w:val="18"/>
        </w:rPr>
        <w:t>L-in</w:t>
      </w:r>
      <w:r w:rsidRPr="003506D9">
        <w:rPr>
          <w:rFonts w:ascii="Tahoma" w:hAnsi="Tahoma"/>
          <w:spacing w:val="-2"/>
          <w:sz w:val="18"/>
        </w:rPr>
        <w:t>formazzjoni dwar ir-riżultat tal-kura għandha wkoll tiġi kondiviża regolarment mid-dipartiment tas-saħħa pubblika lill-fornituri fil-qasam tal-kura tas-saħħa, biex tkun tista</w:t>
      </w:r>
      <w:r w:rsidR="003506D9">
        <w:rPr>
          <w:rFonts w:ascii="Tahoma" w:hAnsi="Tahoma"/>
          <w:spacing w:val="-2"/>
          <w:sz w:val="18"/>
        </w:rPr>
        <w:t>’</w:t>
      </w:r>
      <w:r w:rsidRPr="003506D9">
        <w:rPr>
          <w:rFonts w:ascii="Tahoma" w:hAnsi="Tahoma"/>
          <w:spacing w:val="-2"/>
          <w:sz w:val="18"/>
        </w:rPr>
        <w:t xml:space="preserve"> ssir evalwazzjoni koordinata tar-riżultati. Tagħrif dwar l-eżitu finali tal-pazj</w:t>
      </w:r>
      <w:r w:rsidRPr="003506D9">
        <w:rPr>
          <w:rFonts w:ascii="Tahoma" w:hAnsi="Tahoma"/>
          <w:spacing w:val="-2"/>
          <w:sz w:val="18"/>
        </w:rPr>
        <w:t>enti għandu jkun disponibbli fl-unità klinika li tkun bdiet il-kura, anke meta l-pazjent jiġi ttrasferit. Għandu jiġi pprovdut taħriġ adegwat lill-persunal tas-saħħa inkarigat li jirrapporta l-eżiti tal-kura lill-awtoritajiet tas-saħħa pubblika u jwettaq l</w:t>
      </w:r>
      <w:r w:rsidRPr="003506D9">
        <w:rPr>
          <w:rFonts w:ascii="Tahoma" w:hAnsi="Tahoma"/>
          <w:spacing w:val="-2"/>
          <w:sz w:val="18"/>
        </w:rPr>
        <w:t>-evalwazzjoni trimestrali tal-każijiet tal-klinika stess. Dan il-prinċipju huwa applikabbli wkoll għall-pazjenti li għandhom it-tuberkulożi li jiċċaqilqu minn fruntiera tal-UE għal oħra [54-57].</w:t>
      </w:r>
    </w:p>
    <w:p w:rsidR="00E9311A" w:rsidRPr="003506D9" w:rsidP="0028467E">
      <w:pPr>
        <w:rPr>
          <w:rFonts w:ascii="Tahoma" w:eastAsia="Batang" w:hAnsi="Tahoma" w:cs="Tahoma"/>
          <w:color w:val="69AE23"/>
          <w:sz w:val="30"/>
          <w:szCs w:val="30"/>
        </w:rPr>
      </w:pPr>
      <w:r w:rsidRPr="003506D9">
        <w:br w:type="page"/>
      </w:r>
    </w:p>
    <w:p w:rsidR="00CC0F38" w:rsidRPr="003506D9" w:rsidP="0028467E">
      <w:pPr>
        <w:pStyle w:val="EC-Title-5"/>
        <w:spacing w:before="120"/>
      </w:pPr>
      <w:r w:rsidRPr="003506D9">
        <w:t>Referenzi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1.</w:t>
      </w:r>
      <w:r w:rsidRPr="003506D9">
        <w:tab/>
      </w:r>
      <w:r w:rsidRPr="003506D9">
        <w:rPr>
          <w:rFonts w:ascii="Tahoma" w:hAnsi="Tahoma"/>
          <w:sz w:val="16"/>
        </w:rPr>
        <w:t>Schoch OD, Rieder P, Tueller C, Altpeter E, Ze</w:t>
      </w:r>
      <w:r w:rsidRPr="003506D9">
        <w:rPr>
          <w:rFonts w:ascii="Tahoma" w:hAnsi="Tahoma"/>
          <w:sz w:val="16"/>
        </w:rPr>
        <w:t>llweger JP, Rieder HL, et al. Diagnostic yield of sputum, induced sputum, and bronchoscopy after radiologic tuberculosis screening. Am J Respir Crit Care Med. 2007;175(1):80-86.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2.</w:t>
      </w:r>
      <w:r w:rsidRPr="003506D9">
        <w:tab/>
      </w:r>
      <w:r w:rsidRPr="003506D9">
        <w:rPr>
          <w:rFonts w:ascii="Tahoma" w:hAnsi="Tahoma"/>
          <w:sz w:val="16"/>
        </w:rPr>
        <w:t>TB CARE I. International Standards for Tuberculosis Care. 3rd ed. The Hague</w:t>
      </w:r>
      <w:r w:rsidRPr="003506D9">
        <w:rPr>
          <w:rFonts w:ascii="Tahoma" w:hAnsi="Tahoma"/>
          <w:sz w:val="16"/>
        </w:rPr>
        <w:t>: TB CARE; 2014.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3.</w:t>
      </w:r>
      <w:r w:rsidRPr="003506D9">
        <w:tab/>
      </w:r>
      <w:r w:rsidRPr="003506D9">
        <w:rPr>
          <w:rFonts w:ascii="Tahoma" w:hAnsi="Tahoma"/>
          <w:sz w:val="16"/>
        </w:rPr>
        <w:t>Lewinsohn DM, Leonard MK, LoBue PA, Cohn DL, Daley CL, Desmond E, et al. Official American Thoracic Society/Infectious Diseases Society of America/Centers for Disease Control and Prevention Clinical Practice Guidelines: Diagnosis of Tub</w:t>
      </w:r>
      <w:r w:rsidRPr="003506D9">
        <w:rPr>
          <w:rFonts w:ascii="Tahoma" w:hAnsi="Tahoma"/>
          <w:sz w:val="16"/>
        </w:rPr>
        <w:t>erculosis in Adults and Children. Clin Infect Dis. 2017;64(2):e1-e33.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4.</w:t>
      </w:r>
      <w:r w:rsidRPr="003506D9">
        <w:tab/>
      </w:r>
      <w:r w:rsidRPr="003506D9">
        <w:rPr>
          <w:rFonts w:ascii="Tahoma" w:hAnsi="Tahoma"/>
          <w:sz w:val="16"/>
        </w:rPr>
        <w:t>European Centre for Disease Prevention and Control. Use of interferon-gamma release assays in support of TB diagnosis. Stockholm: ECDC; 2011.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5.</w:t>
      </w:r>
      <w:r w:rsidRPr="003506D9">
        <w:tab/>
      </w:r>
      <w:r w:rsidRPr="003506D9">
        <w:rPr>
          <w:rFonts w:ascii="Tahoma" w:hAnsi="Tahoma"/>
          <w:sz w:val="16"/>
        </w:rPr>
        <w:t xml:space="preserve">World Health Organization. Compendium </w:t>
      </w:r>
      <w:r w:rsidRPr="003506D9">
        <w:rPr>
          <w:rFonts w:ascii="Tahoma" w:hAnsi="Tahoma"/>
          <w:sz w:val="16"/>
        </w:rPr>
        <w:t>of WHO guidelines and associated standards: ensuring optimum delivery of the cascade of care for patients with tuberculosis. Geneva: World Health Organization; 2017.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6.</w:t>
      </w:r>
      <w:r w:rsidRPr="003506D9">
        <w:tab/>
      </w:r>
      <w:r w:rsidRPr="003506D9">
        <w:rPr>
          <w:rFonts w:ascii="Tahoma" w:hAnsi="Tahoma"/>
          <w:sz w:val="16"/>
        </w:rPr>
        <w:t>Drobniewski FA, Hoffner S, Rusch-Gerdes S, Skenders G, Thomsen V. Recommended standards</w:t>
      </w:r>
      <w:r w:rsidRPr="003506D9">
        <w:rPr>
          <w:rFonts w:ascii="Tahoma" w:hAnsi="Tahoma"/>
          <w:sz w:val="16"/>
        </w:rPr>
        <w:t xml:space="preserve"> for modern tuberculosis laboratory services in Europe. Eur Respir J. 2006;28(5):903-909.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7.</w:t>
      </w:r>
      <w:r w:rsidRPr="003506D9">
        <w:tab/>
      </w:r>
      <w:r w:rsidRPr="003506D9">
        <w:rPr>
          <w:rFonts w:ascii="Tahoma" w:hAnsi="Tahoma"/>
          <w:sz w:val="16"/>
        </w:rPr>
        <w:t>World Health Organization Regional Office for Europe. Algorithm for laboratory diagnosis and treatment-monitoring of pulmonary tuberculosis and drug-resistant tube</w:t>
      </w:r>
      <w:r w:rsidRPr="003506D9">
        <w:rPr>
          <w:rFonts w:ascii="Tahoma" w:hAnsi="Tahoma"/>
          <w:sz w:val="16"/>
        </w:rPr>
        <w:t>rculosis using state-of-the-art rapid molecular diagnostic technologies. Expert opinion of the European Tuberculosis Laboratory Initiative core group members for the WHO European Region. Copenhagen: WHO Regional Office for Europe; 2017.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8.</w:t>
      </w:r>
      <w:r w:rsidRPr="003506D9">
        <w:tab/>
      </w:r>
      <w:r w:rsidRPr="003506D9">
        <w:rPr>
          <w:rFonts w:ascii="Tahoma" w:hAnsi="Tahoma"/>
          <w:sz w:val="16"/>
        </w:rPr>
        <w:t xml:space="preserve">European Centre </w:t>
      </w:r>
      <w:r w:rsidRPr="003506D9">
        <w:rPr>
          <w:rFonts w:ascii="Tahoma" w:hAnsi="Tahoma"/>
          <w:sz w:val="16"/>
        </w:rPr>
        <w:t>for Disease Prevention and Control. Handbook on TB laboratory diagnostic methods for the European Union. Stockholm: ECDC; 2016.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9.</w:t>
      </w:r>
      <w:r w:rsidRPr="003506D9">
        <w:tab/>
      </w:r>
      <w:r w:rsidRPr="003506D9">
        <w:rPr>
          <w:rFonts w:ascii="Tahoma" w:hAnsi="Tahoma"/>
          <w:sz w:val="16"/>
        </w:rPr>
        <w:t>Sotgiu G, Tiberi S, D</w:t>
      </w:r>
      <w:r w:rsidR="003506D9">
        <w:rPr>
          <w:rFonts w:ascii="Tahoma" w:hAnsi="Tahoma"/>
          <w:sz w:val="16"/>
        </w:rPr>
        <w:t>’</w:t>
      </w:r>
      <w:r w:rsidRPr="003506D9">
        <w:rPr>
          <w:rFonts w:ascii="Tahoma" w:hAnsi="Tahoma"/>
          <w:sz w:val="16"/>
        </w:rPr>
        <w:t>Ambrosio L, Centis R, Zumla A, Migliori GB. WHO recommendations on shorter treatment of multidrug-resis</w:t>
      </w:r>
      <w:r w:rsidRPr="003506D9">
        <w:rPr>
          <w:rFonts w:ascii="Tahoma" w:hAnsi="Tahoma"/>
          <w:sz w:val="16"/>
        </w:rPr>
        <w:t>tant tuberculosis. Lancet. 2016;387(10037):2486-2487.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10.</w:t>
      </w:r>
      <w:r w:rsidRPr="003506D9">
        <w:tab/>
      </w:r>
      <w:r w:rsidRPr="003506D9">
        <w:rPr>
          <w:rFonts w:ascii="Tahoma" w:hAnsi="Tahoma"/>
          <w:sz w:val="16"/>
        </w:rPr>
        <w:t>Diel R, Goletti D, Ferrara G, Bothamley G, Cirillo D, Kampmann B, et al. Interferon-gamma release assays for the diagnosis of latent Mycobacterium tuberculosis infection: a systematic review and met</w:t>
      </w:r>
      <w:r w:rsidRPr="003506D9">
        <w:rPr>
          <w:rFonts w:ascii="Tahoma" w:hAnsi="Tahoma"/>
          <w:sz w:val="16"/>
        </w:rPr>
        <w:t>a-analysis. Eur Respir J. 2011;37(1):88-99.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11.</w:t>
      </w:r>
      <w:r w:rsidRPr="003506D9">
        <w:tab/>
      </w:r>
      <w:r w:rsidRPr="003506D9">
        <w:rPr>
          <w:rFonts w:ascii="Tahoma" w:hAnsi="Tahoma"/>
          <w:sz w:val="16"/>
        </w:rPr>
        <w:t>Sester M, Sotgiu G, Lange C, Giehl C, Girardi E, Migliori GB, et al. Interferon-gamma release assays for the diagnosis of active tuberculosis: a systematic review and meta-analysis. Eur Respir J. 2011;37(1):1</w:t>
      </w:r>
      <w:r w:rsidRPr="003506D9">
        <w:rPr>
          <w:rFonts w:ascii="Tahoma" w:hAnsi="Tahoma"/>
          <w:sz w:val="16"/>
        </w:rPr>
        <w:t>00-111.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12.</w:t>
      </w:r>
      <w:r w:rsidRPr="003506D9">
        <w:tab/>
      </w:r>
      <w:r w:rsidRPr="003506D9">
        <w:rPr>
          <w:rFonts w:ascii="Tahoma" w:hAnsi="Tahoma"/>
          <w:sz w:val="16"/>
        </w:rPr>
        <w:t>Petruccioli E, Scriba TJ, Petrone L, Hatherill M, Cirillo DM, Joosten SA, et al. Correlates of tuberculosis risk: predictive biomarkers for progression to active tuberculosis. Eur Respir J. 2016;48(6):1751-1763.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13.</w:t>
      </w:r>
      <w:r w:rsidRPr="003506D9">
        <w:tab/>
      </w:r>
      <w:r w:rsidRPr="003506D9">
        <w:rPr>
          <w:rFonts w:ascii="Tahoma" w:hAnsi="Tahoma"/>
          <w:sz w:val="16"/>
        </w:rPr>
        <w:t>Goletti D, Petruccioli E, Jo</w:t>
      </w:r>
      <w:r w:rsidRPr="003506D9">
        <w:rPr>
          <w:rFonts w:ascii="Tahoma" w:hAnsi="Tahoma"/>
          <w:sz w:val="16"/>
        </w:rPr>
        <w:t>osten SA, Ottenhoff TH. Tuberculosis Biomarkers: From Diagnosis to Protection. Infectious disease reports. 2016;8(2):6568.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14.</w:t>
      </w:r>
      <w:r w:rsidRPr="003506D9">
        <w:tab/>
      </w:r>
      <w:r w:rsidRPr="003506D9">
        <w:rPr>
          <w:rFonts w:ascii="Tahoma" w:hAnsi="Tahoma"/>
          <w:sz w:val="16"/>
        </w:rPr>
        <w:t>Seddon JA, Furin JJ, Gale M, Del Castillo Barrientos H, Hurtado RM, Amanullah F, et al. Caring for children with drug-resistant t</w:t>
      </w:r>
      <w:r w:rsidRPr="003506D9">
        <w:rPr>
          <w:rFonts w:ascii="Tahoma" w:hAnsi="Tahoma"/>
          <w:sz w:val="16"/>
        </w:rPr>
        <w:t>uberculosis: practice-based recommendations. Am J Respir Crit Care Med. 2012;186(10):953-964.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15.</w:t>
      </w:r>
      <w:r w:rsidRPr="003506D9">
        <w:tab/>
      </w:r>
      <w:r w:rsidRPr="003506D9">
        <w:rPr>
          <w:rFonts w:ascii="Tahoma" w:hAnsi="Tahoma"/>
          <w:sz w:val="16"/>
        </w:rPr>
        <w:t>World Health Organization. Guidance for national tuberculosis programmes on the management of tuberculosis in children. Second ed. Geneva: World Health Organi</w:t>
      </w:r>
      <w:r w:rsidRPr="003506D9">
        <w:rPr>
          <w:rFonts w:ascii="Tahoma" w:hAnsi="Tahoma"/>
          <w:sz w:val="16"/>
        </w:rPr>
        <w:t>zation; 2014.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16.</w:t>
      </w:r>
      <w:r w:rsidRPr="003506D9">
        <w:tab/>
      </w:r>
      <w:r w:rsidRPr="003506D9">
        <w:rPr>
          <w:rFonts w:ascii="Tahoma" w:hAnsi="Tahoma"/>
          <w:sz w:val="16"/>
        </w:rPr>
        <w:t>World Health Organization. Report of a WHO consultation on strengthening the active engagement of civil society organizations in the global TB prevention, care and control efforts. Geneva: World Health Organization; 2010. Report No.: WHO/</w:t>
      </w:r>
      <w:r w:rsidRPr="003506D9">
        <w:rPr>
          <w:rFonts w:ascii="Tahoma" w:hAnsi="Tahoma"/>
          <w:sz w:val="16"/>
        </w:rPr>
        <w:t>HTM/TB/2010.15.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17.</w:t>
      </w:r>
      <w:r w:rsidRPr="003506D9">
        <w:tab/>
      </w:r>
      <w:r w:rsidRPr="003506D9">
        <w:rPr>
          <w:rFonts w:ascii="Tahoma" w:hAnsi="Tahoma"/>
          <w:sz w:val="16"/>
        </w:rPr>
        <w:t>Patients</w:t>
      </w:r>
      <w:r w:rsidR="003506D9">
        <w:rPr>
          <w:rFonts w:ascii="Tahoma" w:hAnsi="Tahoma"/>
          <w:sz w:val="16"/>
        </w:rPr>
        <w:t>’</w:t>
      </w:r>
      <w:r w:rsidRPr="003506D9">
        <w:rPr>
          <w:rFonts w:ascii="Tahoma" w:hAnsi="Tahoma"/>
          <w:sz w:val="16"/>
        </w:rPr>
        <w:t xml:space="preserve"> Charter for Tuberculosis Care: World Care Council; 2006.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18.</w:t>
      </w:r>
      <w:r w:rsidRPr="003506D9">
        <w:tab/>
      </w:r>
      <w:r w:rsidRPr="003506D9">
        <w:rPr>
          <w:rFonts w:ascii="Tahoma" w:hAnsi="Tahoma"/>
          <w:sz w:val="16"/>
        </w:rPr>
        <w:t>World Health Organization. Definitions and reporting framework for tuberculosis – 2013 revision. Geneva: Word Health Organization; 2013.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19.</w:t>
      </w:r>
      <w:r w:rsidRPr="003506D9">
        <w:tab/>
      </w:r>
      <w:r w:rsidRPr="003506D9">
        <w:rPr>
          <w:rFonts w:ascii="Tahoma" w:hAnsi="Tahoma"/>
          <w:sz w:val="16"/>
        </w:rPr>
        <w:t>Nahid P, Dorman SE, Alip</w:t>
      </w:r>
      <w:r w:rsidRPr="003506D9">
        <w:rPr>
          <w:rFonts w:ascii="Tahoma" w:hAnsi="Tahoma"/>
          <w:sz w:val="16"/>
        </w:rPr>
        <w:t>anah N, Barry PM, Brozek JL, Cattamanchi A, et al. Official American Thoracic Society/Centers for Disease Control and Prevention/Infectious Diseases Society of America Clinical Practice Guidelines: Treatment of Drug-Susceptible Tuberculosis. Clin Infect Di</w:t>
      </w:r>
      <w:r w:rsidRPr="003506D9">
        <w:rPr>
          <w:rFonts w:ascii="Tahoma" w:hAnsi="Tahoma"/>
          <w:sz w:val="16"/>
        </w:rPr>
        <w:t>s. 2016;63(7):e147-e195.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20.</w:t>
      </w:r>
      <w:r w:rsidRPr="003506D9">
        <w:tab/>
      </w:r>
      <w:r w:rsidRPr="003506D9">
        <w:rPr>
          <w:rFonts w:ascii="Tahoma" w:hAnsi="Tahoma"/>
          <w:sz w:val="16"/>
        </w:rPr>
        <w:t>Sotgiu G, Nahid P, Loddenkemper R, Abubakar I, Miravitlles M, Migliori GB. The ERS-endorsed official ATS/CDC/IDSA clinical practice guidelines on treatment of drug-susceptible tuberculosis. Eur Respir J. 2016;48(4):963-971.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21.</w:t>
      </w:r>
      <w:r w:rsidRPr="003506D9">
        <w:tab/>
      </w:r>
      <w:r w:rsidRPr="003506D9">
        <w:rPr>
          <w:rFonts w:ascii="Tahoma" w:hAnsi="Tahoma"/>
          <w:sz w:val="16"/>
        </w:rPr>
        <w:t>Falzon D, Jaramillo E, Schunemann HJ, Arentz M, Bauer M, Bayona J, et al. WHO guidelines for the programmatic management of drug-resistant tuberculosis: 2011 update. Eur Respir J. 2011;38(3):516-528.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22.</w:t>
      </w:r>
      <w:r w:rsidRPr="003506D9">
        <w:tab/>
      </w:r>
      <w:r w:rsidRPr="003506D9">
        <w:rPr>
          <w:rFonts w:ascii="Tahoma" w:hAnsi="Tahoma"/>
          <w:sz w:val="16"/>
        </w:rPr>
        <w:t>Mitnick CD, White RA, Lu C, Rodriguez CA, Bayona J, Becerra MC, et al. on behalf of the Collaborative Group for Analysis of Bacteriology Data in MDRTBT. Multidrug-resistant tuberculosis treatment failure detection depends on monitoring interval and microbi</w:t>
      </w:r>
      <w:r w:rsidRPr="003506D9">
        <w:rPr>
          <w:rFonts w:ascii="Tahoma" w:hAnsi="Tahoma"/>
          <w:sz w:val="16"/>
        </w:rPr>
        <w:t>ological method. Eur Respir J. 2016;48(4):1160-1170.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23.</w:t>
      </w:r>
      <w:r w:rsidRPr="003506D9">
        <w:tab/>
      </w:r>
      <w:r w:rsidRPr="003506D9">
        <w:rPr>
          <w:rFonts w:ascii="Tahoma" w:hAnsi="Tahoma"/>
          <w:sz w:val="16"/>
        </w:rPr>
        <w:t>World Health Organization. WHO treatment guidelines for drug-resistant tuberculosis: 2016 update. Geneva: World Health Organization; 2016.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24.</w:t>
      </w:r>
      <w:r w:rsidRPr="003506D9">
        <w:tab/>
      </w:r>
      <w:r w:rsidRPr="003506D9">
        <w:rPr>
          <w:rFonts w:ascii="Tahoma" w:hAnsi="Tahoma"/>
          <w:sz w:val="16"/>
        </w:rPr>
        <w:t>World Health Organization. Guidelines for treatment of d</w:t>
      </w:r>
      <w:r w:rsidRPr="003506D9">
        <w:rPr>
          <w:rFonts w:ascii="Tahoma" w:hAnsi="Tahoma"/>
          <w:sz w:val="16"/>
        </w:rPr>
        <w:t>rug-susceptible tuberculosis and patient care, 2017 update. Geneva: World Health Organization; 2017.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25.</w:t>
      </w:r>
      <w:r w:rsidRPr="003506D9">
        <w:tab/>
      </w:r>
      <w:r w:rsidRPr="003506D9">
        <w:rPr>
          <w:rFonts w:ascii="Tahoma" w:hAnsi="Tahoma"/>
          <w:sz w:val="16"/>
        </w:rPr>
        <w:t>Falzon D, Schunemann HJ, Harausz E, Gonzalez-Angulo L, Lienhardt C, Jaramillo E, et al. World Health Organization treatment guidelines for drug-resista</w:t>
      </w:r>
      <w:r w:rsidRPr="003506D9">
        <w:rPr>
          <w:rFonts w:ascii="Tahoma" w:hAnsi="Tahoma"/>
          <w:sz w:val="16"/>
        </w:rPr>
        <w:t>nt tuberculosis, 2016 update. Eur Respir J. 2017;49(3).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26.</w:t>
      </w:r>
      <w:r w:rsidRPr="003506D9">
        <w:tab/>
      </w:r>
      <w:r w:rsidRPr="003506D9">
        <w:rPr>
          <w:rFonts w:ascii="Tahoma" w:hAnsi="Tahoma"/>
          <w:sz w:val="16"/>
        </w:rPr>
        <w:t>van der Werf MJ, Kodmon C, Dara M, Catchpole M. Shorter regimens for multidrug-resistant tuberculosis should also be applicable in Europe. Eur Respir J 2017;49(6).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27.</w:t>
      </w:r>
      <w:r w:rsidRPr="003506D9">
        <w:tab/>
      </w:r>
      <w:r w:rsidRPr="003506D9">
        <w:rPr>
          <w:rFonts w:ascii="Tahoma" w:hAnsi="Tahoma"/>
          <w:sz w:val="16"/>
        </w:rPr>
        <w:t xml:space="preserve">Caminero JA, Piubello A, </w:t>
      </w:r>
      <w:r w:rsidRPr="003506D9">
        <w:rPr>
          <w:rFonts w:ascii="Tahoma" w:hAnsi="Tahoma"/>
          <w:sz w:val="16"/>
        </w:rPr>
        <w:t>Scardigli A, Migliori GB. Proposal for a standardised treatment regimen to manage pre- and extensively drug-resistant tuberculosis cases. Eur Respir J. 2017;50(1).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28.</w:t>
      </w:r>
      <w:r w:rsidRPr="003506D9">
        <w:tab/>
      </w:r>
      <w:r w:rsidRPr="003506D9">
        <w:rPr>
          <w:rFonts w:ascii="Tahoma" w:hAnsi="Tahoma"/>
          <w:sz w:val="16"/>
        </w:rPr>
        <w:t>Esposito S, D</w:t>
      </w:r>
      <w:r w:rsidR="003506D9">
        <w:rPr>
          <w:rFonts w:ascii="Tahoma" w:hAnsi="Tahoma"/>
          <w:sz w:val="16"/>
        </w:rPr>
        <w:t>’</w:t>
      </w:r>
      <w:r w:rsidRPr="003506D9">
        <w:rPr>
          <w:rFonts w:ascii="Tahoma" w:hAnsi="Tahoma"/>
          <w:sz w:val="16"/>
        </w:rPr>
        <w:t>Ambrosio L, Tadolini M, Schaaf HS, Caminero Luna J, Marais B, et al. ERS/W</w:t>
      </w:r>
      <w:r w:rsidRPr="003506D9">
        <w:rPr>
          <w:rFonts w:ascii="Tahoma" w:hAnsi="Tahoma"/>
          <w:sz w:val="16"/>
        </w:rPr>
        <w:t>HO Tuberculosis Consilium assistance with extensively drug-resistant tuberculosis management in a child: case study of compassionate delamanid use. Eur Respir J. 2014;44(3):811-815.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29.</w:t>
      </w:r>
      <w:r w:rsidRPr="003506D9">
        <w:tab/>
      </w:r>
      <w:r w:rsidRPr="003506D9">
        <w:rPr>
          <w:rFonts w:ascii="Tahoma" w:hAnsi="Tahoma"/>
          <w:sz w:val="16"/>
        </w:rPr>
        <w:t>Borisov SE, Dheda K, Enwerem M, Romero Leyet R, D</w:t>
      </w:r>
      <w:r w:rsidR="003506D9">
        <w:rPr>
          <w:rFonts w:ascii="Tahoma" w:hAnsi="Tahoma"/>
          <w:sz w:val="16"/>
        </w:rPr>
        <w:t>’</w:t>
      </w:r>
      <w:r w:rsidRPr="003506D9">
        <w:rPr>
          <w:rFonts w:ascii="Tahoma" w:hAnsi="Tahoma"/>
          <w:sz w:val="16"/>
        </w:rPr>
        <w:t>Ambrosio L, Centis R</w:t>
      </w:r>
      <w:r w:rsidRPr="003506D9">
        <w:rPr>
          <w:rFonts w:ascii="Tahoma" w:hAnsi="Tahoma"/>
          <w:sz w:val="16"/>
        </w:rPr>
        <w:t>, et al. Effectiveness and safety of bedaquiline-containing regimens in the treatment of MDR- and XDR-TB: a multicentre study. Eur Respir J. 2017;49(5).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30.</w:t>
      </w:r>
      <w:r w:rsidRPr="003506D9">
        <w:tab/>
      </w:r>
      <w:r w:rsidRPr="003506D9">
        <w:rPr>
          <w:rFonts w:ascii="Tahoma" w:hAnsi="Tahoma"/>
          <w:sz w:val="16"/>
        </w:rPr>
        <w:t>Blasi F, Dara M, van der Werf MJ, Migliori GB. Supporting TB clinicians managing difficult cases: t</w:t>
      </w:r>
      <w:r w:rsidRPr="003506D9">
        <w:rPr>
          <w:rFonts w:ascii="Tahoma" w:hAnsi="Tahoma"/>
          <w:sz w:val="16"/>
        </w:rPr>
        <w:t>he ERS/WHO Consilium. Eur Respir J. 2013;41(3):491-494.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31.</w:t>
      </w:r>
      <w:r w:rsidRPr="003506D9">
        <w:tab/>
      </w:r>
      <w:r w:rsidRPr="003506D9">
        <w:rPr>
          <w:rFonts w:ascii="Tahoma" w:hAnsi="Tahoma"/>
          <w:sz w:val="16"/>
        </w:rPr>
        <w:t>Tadolini M, Garcia-Prats AJ, D</w:t>
      </w:r>
      <w:r w:rsidR="003506D9">
        <w:rPr>
          <w:rFonts w:ascii="Tahoma" w:hAnsi="Tahoma"/>
          <w:sz w:val="16"/>
        </w:rPr>
        <w:t>’</w:t>
      </w:r>
      <w:r w:rsidRPr="003506D9">
        <w:rPr>
          <w:rFonts w:ascii="Tahoma" w:hAnsi="Tahoma"/>
          <w:sz w:val="16"/>
        </w:rPr>
        <w:t>Ambrosio L, Hewison C, Centis R, Schaaf HS, et al. Compassionate use of new drugs in children and adolescents with multidrug-resistant and extensively drug-resistant</w:t>
      </w:r>
      <w:r w:rsidRPr="003506D9">
        <w:rPr>
          <w:rFonts w:ascii="Tahoma" w:hAnsi="Tahoma"/>
          <w:sz w:val="16"/>
        </w:rPr>
        <w:t xml:space="preserve"> tuberculosis: early experiences and challenges. Eur Respir J. 2016;48(3):938-943.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32.</w:t>
      </w:r>
      <w:r w:rsidRPr="003506D9">
        <w:tab/>
      </w:r>
      <w:r w:rsidRPr="003506D9">
        <w:rPr>
          <w:rFonts w:ascii="Tahoma" w:hAnsi="Tahoma"/>
          <w:sz w:val="16"/>
        </w:rPr>
        <w:t xml:space="preserve">Lange C, Abubakar I, Alffenaar JW, Bothamley G, Caminero JA, Carvalho AC, et al. Management of patients with multidrug-resistant/extensively drug-resistant tuberculosis </w:t>
      </w:r>
      <w:r w:rsidRPr="003506D9">
        <w:rPr>
          <w:rFonts w:ascii="Tahoma" w:hAnsi="Tahoma"/>
          <w:sz w:val="16"/>
        </w:rPr>
        <w:t>in Europe: a TBNET consensus statement. Eur Respir J. 2014;44(1):23-63.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33.</w:t>
      </w:r>
      <w:r w:rsidRPr="003506D9">
        <w:tab/>
      </w:r>
      <w:r w:rsidRPr="003506D9">
        <w:rPr>
          <w:rFonts w:ascii="Tahoma" w:hAnsi="Tahoma"/>
          <w:sz w:val="16"/>
        </w:rPr>
        <w:t>Caminero JA. Management of multidrug-resistant tuberculosis and patients in retreatment. Eur Respir J. 2005;25(5):928-936.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34.</w:t>
      </w:r>
      <w:r w:rsidRPr="003506D9">
        <w:tab/>
      </w:r>
      <w:r w:rsidRPr="003506D9">
        <w:rPr>
          <w:rFonts w:ascii="Tahoma" w:hAnsi="Tahoma"/>
          <w:sz w:val="16"/>
        </w:rPr>
        <w:t>World Health Organization. WHO policy on collaborativ</w:t>
      </w:r>
      <w:r w:rsidRPr="003506D9">
        <w:rPr>
          <w:rFonts w:ascii="Tahoma" w:hAnsi="Tahoma"/>
          <w:sz w:val="16"/>
        </w:rPr>
        <w:t>e TB/HIV activities: guidelines for national programmes and other stakeholders. Geneva: World Health Organization; 2012.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35.</w:t>
      </w:r>
      <w:r w:rsidRPr="003506D9">
        <w:tab/>
      </w:r>
      <w:r w:rsidRPr="003506D9">
        <w:rPr>
          <w:rFonts w:ascii="Tahoma" w:hAnsi="Tahoma"/>
          <w:sz w:val="16"/>
        </w:rPr>
        <w:t>European Centre for Disease Prevention and Control. Management of contacts of MDRTB and XDR TB patients. Stockholm: ECDC; 2012.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36.</w:t>
      </w:r>
      <w:r w:rsidRPr="003506D9">
        <w:tab/>
      </w:r>
      <w:r w:rsidRPr="003506D9">
        <w:rPr>
          <w:rFonts w:ascii="Tahoma" w:hAnsi="Tahoma"/>
          <w:sz w:val="16"/>
        </w:rPr>
        <w:t>World Health Organization. Guidelines on the management of latent tuberculosis infection. 2015.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37.</w:t>
      </w:r>
      <w:r w:rsidRPr="003506D9">
        <w:tab/>
      </w:r>
      <w:r w:rsidRPr="003506D9">
        <w:rPr>
          <w:rFonts w:ascii="Tahoma" w:hAnsi="Tahoma"/>
          <w:sz w:val="16"/>
        </w:rPr>
        <w:t>Zenner D, Beer N, Harris RJ, Lipman MC, Stagg HR, van der Werf MJ. Treatment of Latent Tuberculosis Infection: An Updated Network Meta-analysis. Ann Intern</w:t>
      </w:r>
      <w:r w:rsidRPr="003506D9">
        <w:rPr>
          <w:rFonts w:ascii="Tahoma" w:hAnsi="Tahoma"/>
          <w:sz w:val="16"/>
        </w:rPr>
        <w:t xml:space="preserve"> Med. 2017;167(4):248-255.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38.</w:t>
      </w:r>
      <w:r w:rsidRPr="003506D9">
        <w:tab/>
      </w:r>
      <w:r w:rsidRPr="003506D9">
        <w:rPr>
          <w:rFonts w:ascii="Tahoma" w:hAnsi="Tahoma"/>
          <w:sz w:val="16"/>
        </w:rPr>
        <w:t>Getahun H, Matteelli A, Abubakar I, Aziz MA, Baddeley A, Barreira D, et al. Management of latent Mycobacterium tuberculosis infection: WHO guidelines for low tuberculosis burden countries. Eur Respir J. 2015;46(6):1563-1576.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39.</w:t>
      </w:r>
      <w:r w:rsidRPr="003506D9">
        <w:tab/>
      </w:r>
      <w:r w:rsidRPr="003506D9">
        <w:rPr>
          <w:rFonts w:ascii="Tahoma" w:hAnsi="Tahoma"/>
          <w:sz w:val="16"/>
        </w:rPr>
        <w:t>Creswell J, Raviglione M, Ottmani S, Migliori GB, Uplekar M, Blanc L, et al. Tuberculosis and noncommunicable diseases: neglected links and missed opportunities. Eur Respir J. 2011;37(5):1269-1282.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40.</w:t>
      </w:r>
      <w:r w:rsidRPr="003506D9">
        <w:tab/>
      </w:r>
      <w:r w:rsidRPr="003506D9">
        <w:rPr>
          <w:rFonts w:ascii="Tahoma" w:hAnsi="Tahoma"/>
          <w:sz w:val="16"/>
        </w:rPr>
        <w:t xml:space="preserve">Erkens CG, Kamphorst M, Abubakar I, Bothamley GH, </w:t>
      </w:r>
      <w:r w:rsidRPr="003506D9">
        <w:rPr>
          <w:rFonts w:ascii="Tahoma" w:hAnsi="Tahoma"/>
          <w:sz w:val="16"/>
        </w:rPr>
        <w:t>Chemtob D, Haas W, et al. Tuberculosis contact investigation in low prevalence countries: a European consensus. Eur Respir J. 2010;36(4):925-949.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41.</w:t>
      </w:r>
      <w:r w:rsidRPr="003506D9">
        <w:tab/>
      </w:r>
      <w:r w:rsidRPr="003506D9">
        <w:rPr>
          <w:rFonts w:ascii="Tahoma" w:hAnsi="Tahoma"/>
          <w:sz w:val="16"/>
        </w:rPr>
        <w:t xml:space="preserve">Luzzati R, Migliori G, Zignol M, Cirillo D, Maschi M, Tominz R, et al. Children under 5 years are at risk </w:t>
      </w:r>
      <w:r w:rsidRPr="003506D9">
        <w:rPr>
          <w:rFonts w:ascii="Tahoma" w:hAnsi="Tahoma"/>
          <w:sz w:val="16"/>
        </w:rPr>
        <w:t>for tuberculosis after occasional contact with highly contagious patients: an out-patient outbreak from a smear positive health care worker. Eur Respir J. 2017;In press.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42.</w:t>
      </w:r>
      <w:r w:rsidRPr="003506D9">
        <w:tab/>
      </w:r>
      <w:r w:rsidRPr="003506D9">
        <w:rPr>
          <w:rFonts w:ascii="Tahoma" w:hAnsi="Tahoma"/>
          <w:sz w:val="16"/>
        </w:rPr>
        <w:t>European Centre for Disease Prevention and Control. Guidance on tuberculosis contr</w:t>
      </w:r>
      <w:r w:rsidRPr="003506D9">
        <w:rPr>
          <w:rFonts w:ascii="Tahoma" w:hAnsi="Tahoma"/>
          <w:sz w:val="16"/>
        </w:rPr>
        <w:t>ol in vulnerable and hard-to-reach populations. Stockholm: ECDC; 2016.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43.</w:t>
      </w:r>
      <w:r w:rsidRPr="003506D9">
        <w:tab/>
      </w:r>
      <w:r w:rsidRPr="003506D9">
        <w:rPr>
          <w:rFonts w:ascii="Tahoma" w:hAnsi="Tahoma"/>
          <w:sz w:val="16"/>
        </w:rPr>
        <w:t>National Instititute for Health and Care Excellence. Tuberculosis (NG33). London: NICE; 2016.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44.</w:t>
      </w:r>
      <w:r w:rsidRPr="003506D9">
        <w:tab/>
      </w:r>
      <w:r w:rsidRPr="003506D9">
        <w:rPr>
          <w:rFonts w:ascii="Tahoma" w:hAnsi="Tahoma"/>
          <w:sz w:val="16"/>
        </w:rPr>
        <w:t xml:space="preserve">Dara M, de Colombani P, Petrova-Benedict R, Centis R, Zellweger JP, Sandgren A, et </w:t>
      </w:r>
      <w:r w:rsidRPr="003506D9">
        <w:rPr>
          <w:rFonts w:ascii="Tahoma" w:hAnsi="Tahoma"/>
          <w:sz w:val="16"/>
        </w:rPr>
        <w:t>al. Wolfheze Transborder Migration Task F. Minimum package for cross-border TB control and care in the WHO European region: a Wolfheze consensus statement. Eur Respir J. 2012;40(5):1081-1090.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45.</w:t>
      </w:r>
      <w:r w:rsidRPr="003506D9">
        <w:tab/>
      </w:r>
      <w:r w:rsidRPr="003506D9">
        <w:rPr>
          <w:rFonts w:ascii="Tahoma" w:hAnsi="Tahoma"/>
          <w:sz w:val="16"/>
        </w:rPr>
        <w:t>Leung CC, Rieder HL, Lange C, Yew WW. Treatment of latent in</w:t>
      </w:r>
      <w:r w:rsidRPr="003506D9">
        <w:rPr>
          <w:rFonts w:ascii="Tahoma" w:hAnsi="Tahoma"/>
          <w:sz w:val="16"/>
        </w:rPr>
        <w:t>fection with Mycobacterium tuberculosis: update 2010. Eur Respir J. 2011;37(3):690-711.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46.</w:t>
      </w:r>
      <w:r w:rsidRPr="003506D9">
        <w:tab/>
      </w:r>
      <w:r w:rsidRPr="003506D9">
        <w:rPr>
          <w:rFonts w:ascii="Tahoma" w:hAnsi="Tahoma"/>
          <w:sz w:val="16"/>
        </w:rPr>
        <w:t>Woldehanna S, Volmink J. Treatment of latent tuberculosis infection in HIV infected persons. The Cochrane database of systematic reviews. 2004(1):Cd000171.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47.</w:t>
      </w:r>
      <w:r w:rsidRPr="003506D9">
        <w:tab/>
      </w:r>
      <w:r w:rsidRPr="003506D9">
        <w:rPr>
          <w:rFonts w:ascii="Tahoma" w:hAnsi="Tahoma"/>
          <w:sz w:val="16"/>
        </w:rPr>
        <w:t>Euro</w:t>
      </w:r>
      <w:r w:rsidRPr="003506D9">
        <w:rPr>
          <w:rFonts w:ascii="Tahoma" w:hAnsi="Tahoma"/>
          <w:sz w:val="16"/>
        </w:rPr>
        <w:t>pean Centre for Disease Prevention and Control. Investigation and control of tuberculosis incidents affecting children in congregate settings. Stockholm: ECDC; 2013.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48.</w:t>
      </w:r>
      <w:r w:rsidRPr="003506D9">
        <w:tab/>
      </w:r>
      <w:r w:rsidRPr="003506D9">
        <w:rPr>
          <w:rFonts w:ascii="Tahoma" w:hAnsi="Tahoma"/>
          <w:sz w:val="16"/>
        </w:rPr>
        <w:t>Mack U, Migliori GB, Sester M, Rieder HL, Ehlers S, Goletti D, et al. Tbnet. LTBI: lat</w:t>
      </w:r>
      <w:r w:rsidRPr="003506D9">
        <w:rPr>
          <w:rFonts w:ascii="Tahoma" w:hAnsi="Tahoma"/>
          <w:sz w:val="16"/>
        </w:rPr>
        <w:t>ent tuberculosis infection or lasting immune responses to M. tuberculosis? A TBNET consensus statement. Eur Respir J. 2009;33(5):956-973.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49.</w:t>
      </w:r>
      <w:r w:rsidRPr="003506D9">
        <w:tab/>
      </w:r>
      <w:r w:rsidRPr="003506D9">
        <w:rPr>
          <w:rFonts w:ascii="Tahoma" w:hAnsi="Tahoma"/>
          <w:sz w:val="16"/>
        </w:rPr>
        <w:t>Lange C, Rieder HL. Intention to test is intention to treat. Am J Respir Crit Care Med. 2011;183(1):3-4.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50.</w:t>
      </w:r>
      <w:r w:rsidRPr="003506D9">
        <w:tab/>
      </w:r>
      <w:r w:rsidRPr="003506D9">
        <w:rPr>
          <w:rFonts w:ascii="Tahoma" w:hAnsi="Tahoma"/>
          <w:sz w:val="16"/>
        </w:rPr>
        <w:t>World</w:t>
      </w:r>
      <w:r w:rsidRPr="003506D9">
        <w:rPr>
          <w:rFonts w:ascii="Tahoma" w:hAnsi="Tahoma"/>
          <w:sz w:val="16"/>
        </w:rPr>
        <w:t xml:space="preserve"> Health Organization. WHO policy on TB infection control in health - care facilities, congregate settings and households. Geneva: World Health Organization; 2009.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51.</w:t>
      </w:r>
      <w:r w:rsidRPr="003506D9">
        <w:tab/>
      </w:r>
      <w:r w:rsidRPr="003506D9">
        <w:rPr>
          <w:rFonts w:ascii="Tahoma" w:hAnsi="Tahoma"/>
          <w:sz w:val="16"/>
        </w:rPr>
        <w:t>Sotgiu G, D</w:t>
      </w:r>
      <w:r w:rsidR="003506D9">
        <w:rPr>
          <w:rFonts w:ascii="Tahoma" w:hAnsi="Tahoma"/>
          <w:sz w:val="16"/>
        </w:rPr>
        <w:t>’</w:t>
      </w:r>
      <w:r w:rsidRPr="003506D9">
        <w:rPr>
          <w:rFonts w:ascii="Tahoma" w:hAnsi="Tahoma"/>
          <w:sz w:val="16"/>
        </w:rPr>
        <w:t>Ambrosio L, Centis R, Bothamley G, Cirillo DM, De Lorenzo S, et al. TB and M/</w:t>
      </w:r>
      <w:r w:rsidRPr="003506D9">
        <w:rPr>
          <w:rFonts w:ascii="Tahoma" w:hAnsi="Tahoma"/>
          <w:sz w:val="16"/>
        </w:rPr>
        <w:t>XDR-TB infection control in European TB reference centres: the Achilles</w:t>
      </w:r>
      <w:r w:rsidR="003506D9">
        <w:rPr>
          <w:rFonts w:ascii="Tahoma" w:hAnsi="Tahoma"/>
          <w:sz w:val="16"/>
        </w:rPr>
        <w:t>’</w:t>
      </w:r>
      <w:r w:rsidRPr="003506D9">
        <w:rPr>
          <w:rFonts w:ascii="Tahoma" w:hAnsi="Tahoma"/>
          <w:sz w:val="16"/>
        </w:rPr>
        <w:t xml:space="preserve"> heel? Eur Respir J. 2011;38(5):1221-1223.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52.</w:t>
      </w:r>
      <w:r w:rsidRPr="003506D9">
        <w:tab/>
      </w:r>
      <w:r w:rsidRPr="003506D9">
        <w:rPr>
          <w:rFonts w:ascii="Tahoma" w:hAnsi="Tahoma"/>
          <w:sz w:val="16"/>
        </w:rPr>
        <w:t>Matteelli A, Centis R, D</w:t>
      </w:r>
      <w:r w:rsidR="003506D9">
        <w:rPr>
          <w:rFonts w:ascii="Tahoma" w:hAnsi="Tahoma"/>
          <w:sz w:val="16"/>
        </w:rPr>
        <w:t>’</w:t>
      </w:r>
      <w:r w:rsidRPr="003506D9">
        <w:rPr>
          <w:rFonts w:ascii="Tahoma" w:hAnsi="Tahoma"/>
          <w:sz w:val="16"/>
        </w:rPr>
        <w:t>Ambrosio L, Sotgiu G, Tadolini M, Pontali E, et al. WHO strategies for the programmatic management of drug-resis</w:t>
      </w:r>
      <w:r w:rsidRPr="003506D9">
        <w:rPr>
          <w:rFonts w:ascii="Tahoma" w:hAnsi="Tahoma"/>
          <w:sz w:val="16"/>
        </w:rPr>
        <w:t>tant tuberculosis. Expert Rev Respir Med. 2016;10(9):991-1002.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53.</w:t>
      </w:r>
      <w:r w:rsidRPr="003506D9">
        <w:tab/>
      </w:r>
      <w:r w:rsidRPr="003506D9">
        <w:rPr>
          <w:rFonts w:ascii="Tahoma" w:hAnsi="Tahoma"/>
          <w:sz w:val="16"/>
        </w:rPr>
        <w:t>Laserson KF, Thorpe LE, Leimane V, Weyer K, Mitnick CD, Riekstina V, et al. Speaking the same language: treatment outcome definitions for multidrug-resistant tuberculosis. Int J Tuberc Lung</w:t>
      </w:r>
      <w:r w:rsidRPr="003506D9">
        <w:rPr>
          <w:rFonts w:ascii="Tahoma" w:hAnsi="Tahoma"/>
          <w:sz w:val="16"/>
        </w:rPr>
        <w:t xml:space="preserve"> Dis. 2005;9(6):640-645.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54.</w:t>
      </w:r>
      <w:r w:rsidRPr="003506D9">
        <w:tab/>
      </w:r>
      <w:r w:rsidRPr="003506D9">
        <w:rPr>
          <w:rFonts w:ascii="Tahoma" w:hAnsi="Tahoma"/>
          <w:sz w:val="16"/>
        </w:rPr>
        <w:t>European Centre for Disease Prevention and Control, World Health Organization. Regional Office for Europe. Tuberculosis surveillance and monitoring in Europe: 2017. Stockholm: ECDC; 2017. Available from: http://dx.doi.org/10.29</w:t>
      </w:r>
      <w:r w:rsidRPr="003506D9">
        <w:rPr>
          <w:rFonts w:ascii="Tahoma" w:hAnsi="Tahoma"/>
          <w:sz w:val="16"/>
        </w:rPr>
        <w:t>00/2767.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55.</w:t>
      </w:r>
      <w:r w:rsidRPr="003506D9">
        <w:tab/>
      </w:r>
      <w:r w:rsidRPr="003506D9">
        <w:rPr>
          <w:rFonts w:ascii="Tahoma" w:hAnsi="Tahoma"/>
          <w:sz w:val="16"/>
        </w:rPr>
        <w:t>Mor Z, Migliori GB, Althomsons SP, Loddenkemper R, Trnka L, Iademarco MF. Comparison of tuberculosis surveillance systems in low-incidence industrialised countries. Eur Respir J. 2008;32(6):1616-1624.</w:t>
      </w:r>
    </w:p>
    <w:p w:rsidR="00DA3A70" w:rsidRPr="003506D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3506D9">
        <w:rPr>
          <w:rFonts w:ascii="Tahoma" w:hAnsi="Tahoma"/>
          <w:sz w:val="16"/>
        </w:rPr>
        <w:t>56.</w:t>
      </w:r>
      <w:r w:rsidRPr="003506D9">
        <w:tab/>
      </w:r>
      <w:r w:rsidRPr="003506D9">
        <w:rPr>
          <w:rFonts w:ascii="Tahoma" w:hAnsi="Tahoma"/>
          <w:sz w:val="16"/>
        </w:rPr>
        <w:t>Uplekar M, Atre S, Wells WA, Weil D, L</w:t>
      </w:r>
      <w:r w:rsidRPr="003506D9">
        <w:rPr>
          <w:rFonts w:ascii="Tahoma" w:hAnsi="Tahoma"/>
          <w:sz w:val="16"/>
        </w:rPr>
        <w:t>opez R, Migliori G, et al. Mandatory tuberculosis case notification in high tuberculosis-incidence countries: policy and practices. Eur Respir J. 2016(48):1571-1581.</w:t>
      </w:r>
    </w:p>
    <w:p w:rsidR="008B2FFB" w:rsidRPr="003506D9" w:rsidP="0028467E">
      <w:pPr>
        <w:pStyle w:val="EndNoteBibliography"/>
        <w:ind w:left="426" w:hanging="426"/>
        <w:jc w:val="left"/>
      </w:pPr>
      <w:r w:rsidRPr="003506D9">
        <w:rPr>
          <w:rFonts w:ascii="Tahoma" w:hAnsi="Tahoma"/>
          <w:sz w:val="16"/>
        </w:rPr>
        <w:t>57.</w:t>
      </w:r>
      <w:r w:rsidRPr="003506D9">
        <w:tab/>
      </w:r>
      <w:r w:rsidRPr="003506D9">
        <w:rPr>
          <w:rFonts w:ascii="Tahoma" w:hAnsi="Tahoma"/>
          <w:sz w:val="16"/>
        </w:rPr>
        <w:t>Heldal E, Kuyvenhoven JV, Wares F, Migliori GB, Ditiu L, Fernandez de la Hoz K, et al.</w:t>
      </w:r>
      <w:r w:rsidRPr="003506D9">
        <w:rPr>
          <w:rFonts w:ascii="Tahoma" w:hAnsi="Tahoma"/>
          <w:sz w:val="16"/>
        </w:rPr>
        <w:t xml:space="preserve"> Diagnosis and treatment of tuberculosis in undocumented migrants in low- or intermediate-incidence countries. Int J Tuberc Lung Dis. 2008;12(8):878-888.</w:t>
      </w:r>
    </w:p>
    <w:sectPr w:rsidSect="000D0DB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6D9" w:rsidRPr="00350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C94" w:rsidRPr="003506D9" w:rsidP="00847A9F">
    <w:pPr>
      <w:pStyle w:val="Footer"/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974C94" w:rsidRPr="003506D9" w:rsidP="00847A9F">
    <w:pPr>
      <w:pStyle w:val="Footer"/>
      <w:spacing w:after="0" w:line="240" w:lineRule="auto"/>
      <w:jc w:val="center"/>
      <w:rPr>
        <w:rFonts w:ascii="Arial" w:hAnsi="Arial" w:cs="Arial"/>
        <w:sz w:val="20"/>
        <w:szCs w:val="20"/>
      </w:rPr>
    </w:pPr>
    <w:r w:rsidRPr="003506D9">
      <w:rPr>
        <w:rFonts w:ascii="Arial" w:hAnsi="Arial"/>
        <w:sz w:val="20"/>
      </w:rPr>
      <w:t xml:space="preserve">- </w:t>
    </w:r>
    <w:r w:rsidRPr="003506D9">
      <w:rPr>
        <w:rFonts w:ascii="Arial" w:hAnsi="Arial" w:cs="Arial"/>
        <w:sz w:val="20"/>
        <w:szCs w:val="20"/>
      </w:rPr>
      <w:fldChar w:fldCharType="begin"/>
    </w:r>
    <w:r w:rsidRPr="003506D9">
      <w:rPr>
        <w:rFonts w:ascii="Arial" w:hAnsi="Arial" w:cs="Arial"/>
        <w:sz w:val="20"/>
        <w:szCs w:val="20"/>
      </w:rPr>
      <w:instrText xml:space="preserve"> PAGE   \* MERGEFORMAT </w:instrText>
    </w:r>
    <w:r w:rsidRPr="003506D9">
      <w:rPr>
        <w:rFonts w:ascii="Arial" w:hAnsi="Arial" w:cs="Arial"/>
        <w:sz w:val="20"/>
        <w:szCs w:val="20"/>
      </w:rPr>
      <w:fldChar w:fldCharType="separate"/>
    </w:r>
    <w:r w:rsidR="003506D9">
      <w:rPr>
        <w:rFonts w:ascii="Arial" w:hAnsi="Arial" w:cs="Arial"/>
        <w:noProof/>
        <w:sz w:val="20"/>
        <w:szCs w:val="20"/>
      </w:rPr>
      <w:t>1</w:t>
    </w:r>
    <w:r w:rsidRPr="003506D9">
      <w:rPr>
        <w:rFonts w:ascii="Arial" w:hAnsi="Arial" w:cs="Arial"/>
        <w:sz w:val="20"/>
        <w:szCs w:val="20"/>
      </w:rPr>
      <w:fldChar w:fldCharType="end"/>
    </w:r>
    <w:r w:rsidRPr="003506D9">
      <w:rPr>
        <w:rFonts w:ascii="Arial" w:hAnsi="Arial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6D9" w:rsidRPr="003506D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6D9" w:rsidRPr="00350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6D9" w:rsidRPr="00350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6D9" w:rsidRPr="00350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4C0C01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9E6C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9EEE6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72D86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70AA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0443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2082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86664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F407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8E47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75C6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155751"/>
    <w:multiLevelType w:val="hybridMultilevel"/>
    <w:tmpl w:val="B3A8BCD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55784F"/>
    <w:multiLevelType w:val="hybridMultilevel"/>
    <w:tmpl w:val="81F29F4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5302E4"/>
    <w:multiLevelType w:val="hybridMultilevel"/>
    <w:tmpl w:val="40FA02F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6A1D1C"/>
    <w:multiLevelType w:val="hybridMultilevel"/>
    <w:tmpl w:val="D9367C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F70A20"/>
    <w:multiLevelType w:val="hybridMultilevel"/>
    <w:tmpl w:val="3AD68A96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1180650"/>
    <w:multiLevelType w:val="hybridMultilevel"/>
    <w:tmpl w:val="C2165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441C"/>
    <w:multiLevelType w:val="hybridMultilevel"/>
    <w:tmpl w:val="6BCC0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A11B89"/>
    <w:multiLevelType w:val="hybridMultilevel"/>
    <w:tmpl w:val="ECD67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153C81"/>
    <w:multiLevelType w:val="hybridMultilevel"/>
    <w:tmpl w:val="B4BC1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C051EA"/>
    <w:multiLevelType w:val="hybridMultilevel"/>
    <w:tmpl w:val="709CAB6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D43C67"/>
    <w:multiLevelType w:val="hybridMultilevel"/>
    <w:tmpl w:val="B9D8218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9A277D"/>
    <w:multiLevelType w:val="hybridMultilevel"/>
    <w:tmpl w:val="58A2B94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DC1440"/>
    <w:multiLevelType w:val="hybridMultilevel"/>
    <w:tmpl w:val="43F80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555F88"/>
    <w:multiLevelType w:val="hybridMultilevel"/>
    <w:tmpl w:val="74DA41A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7577DC4"/>
    <w:multiLevelType w:val="hybridMultilevel"/>
    <w:tmpl w:val="6DC476D2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B5821"/>
    <w:multiLevelType w:val="hybridMultilevel"/>
    <w:tmpl w:val="F00CB6B6"/>
    <w:lvl w:ilvl="0">
      <w:start w:val="1"/>
      <w:numFmt w:val="decimal"/>
      <w:pStyle w:val="Paragrafoelenco1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caps w:val="0"/>
        <w:color w:val="auto"/>
        <w:sz w:val="20"/>
        <w:szCs w:val="2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85BAD"/>
    <w:multiLevelType w:val="hybridMultilevel"/>
    <w:tmpl w:val="902A218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7867A3"/>
    <w:multiLevelType w:val="hybridMultilevel"/>
    <w:tmpl w:val="F15E2EA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4432E"/>
    <w:multiLevelType w:val="hybridMultilevel"/>
    <w:tmpl w:val="8A7EA14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F7A9A"/>
    <w:multiLevelType w:val="hybridMultilevel"/>
    <w:tmpl w:val="83FCF31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564D6"/>
    <w:multiLevelType w:val="hybridMultilevel"/>
    <w:tmpl w:val="D26AC7E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15"/>
  </w:num>
  <w:num w:numId="4">
    <w:abstractNumId w:val="20"/>
  </w:num>
  <w:num w:numId="5">
    <w:abstractNumId w:val="12"/>
  </w:num>
  <w:num w:numId="6">
    <w:abstractNumId w:val="11"/>
  </w:num>
  <w:num w:numId="7">
    <w:abstractNumId w:val="26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29"/>
  </w:num>
  <w:num w:numId="19">
    <w:abstractNumId w:val="24"/>
  </w:num>
  <w:num w:numId="20">
    <w:abstractNumId w:val="19"/>
  </w:num>
  <w:num w:numId="21">
    <w:abstractNumId w:val="22"/>
  </w:num>
  <w:num w:numId="22">
    <w:abstractNumId w:val="30"/>
  </w:num>
  <w:num w:numId="23">
    <w:abstractNumId w:val="25"/>
  </w:num>
  <w:num w:numId="24">
    <w:abstractNumId w:val="0"/>
  </w:num>
  <w:num w:numId="25">
    <w:abstractNumId w:val="14"/>
  </w:num>
  <w:num w:numId="26">
    <w:abstractNumId w:val="18"/>
  </w:num>
  <w:num w:numId="27">
    <w:abstractNumId w:val="17"/>
  </w:num>
  <w:num w:numId="28">
    <w:abstractNumId w:val="27"/>
  </w:num>
  <w:num w:numId="29">
    <w:abstractNumId w:val="23"/>
  </w:num>
  <w:num w:numId="30">
    <w:abstractNumId w:val="13"/>
  </w:num>
  <w:num w:numId="31">
    <w:abstractNumId w:val="1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70"/>
    <w:rsid w:val="00000350"/>
    <w:rsid w:val="000026F4"/>
    <w:rsid w:val="00002EF3"/>
    <w:rsid w:val="000034CF"/>
    <w:rsid w:val="000071D2"/>
    <w:rsid w:val="000124B6"/>
    <w:rsid w:val="00012ADD"/>
    <w:rsid w:val="00014162"/>
    <w:rsid w:val="0001487C"/>
    <w:rsid w:val="00024F83"/>
    <w:rsid w:val="00026A77"/>
    <w:rsid w:val="000279A6"/>
    <w:rsid w:val="00032C1C"/>
    <w:rsid w:val="0003464B"/>
    <w:rsid w:val="000347EA"/>
    <w:rsid w:val="00037B0F"/>
    <w:rsid w:val="00041534"/>
    <w:rsid w:val="0004182E"/>
    <w:rsid w:val="00042858"/>
    <w:rsid w:val="000466F2"/>
    <w:rsid w:val="000479A2"/>
    <w:rsid w:val="00052E50"/>
    <w:rsid w:val="00053CE8"/>
    <w:rsid w:val="00054BA2"/>
    <w:rsid w:val="00055EC2"/>
    <w:rsid w:val="00056E42"/>
    <w:rsid w:val="000606C7"/>
    <w:rsid w:val="000634B3"/>
    <w:rsid w:val="00067414"/>
    <w:rsid w:val="0007118B"/>
    <w:rsid w:val="00071A2E"/>
    <w:rsid w:val="00071CA9"/>
    <w:rsid w:val="000726E4"/>
    <w:rsid w:val="00073EA2"/>
    <w:rsid w:val="000740EA"/>
    <w:rsid w:val="000753CB"/>
    <w:rsid w:val="00083CEE"/>
    <w:rsid w:val="000840C5"/>
    <w:rsid w:val="000872D3"/>
    <w:rsid w:val="00090759"/>
    <w:rsid w:val="00091034"/>
    <w:rsid w:val="00093100"/>
    <w:rsid w:val="00093675"/>
    <w:rsid w:val="00094E61"/>
    <w:rsid w:val="000953B5"/>
    <w:rsid w:val="00097EA7"/>
    <w:rsid w:val="000A2B79"/>
    <w:rsid w:val="000A2B9B"/>
    <w:rsid w:val="000A3A87"/>
    <w:rsid w:val="000A3E29"/>
    <w:rsid w:val="000A3F03"/>
    <w:rsid w:val="000A40BC"/>
    <w:rsid w:val="000A60C4"/>
    <w:rsid w:val="000A7B26"/>
    <w:rsid w:val="000B0623"/>
    <w:rsid w:val="000B0CFE"/>
    <w:rsid w:val="000B0D43"/>
    <w:rsid w:val="000B2922"/>
    <w:rsid w:val="000B7864"/>
    <w:rsid w:val="000C1461"/>
    <w:rsid w:val="000C2136"/>
    <w:rsid w:val="000C21E9"/>
    <w:rsid w:val="000C28F4"/>
    <w:rsid w:val="000C3973"/>
    <w:rsid w:val="000C46C9"/>
    <w:rsid w:val="000C4F54"/>
    <w:rsid w:val="000C5921"/>
    <w:rsid w:val="000C5E86"/>
    <w:rsid w:val="000C672A"/>
    <w:rsid w:val="000C6EA1"/>
    <w:rsid w:val="000D0DB0"/>
    <w:rsid w:val="000D1274"/>
    <w:rsid w:val="000D1427"/>
    <w:rsid w:val="000D1B85"/>
    <w:rsid w:val="000D3A2D"/>
    <w:rsid w:val="000D5670"/>
    <w:rsid w:val="000E1278"/>
    <w:rsid w:val="000F23C9"/>
    <w:rsid w:val="000F2946"/>
    <w:rsid w:val="000F2C5B"/>
    <w:rsid w:val="000F4226"/>
    <w:rsid w:val="000F5AA3"/>
    <w:rsid w:val="000F5F9C"/>
    <w:rsid w:val="000F76CA"/>
    <w:rsid w:val="001035A5"/>
    <w:rsid w:val="00110B63"/>
    <w:rsid w:val="00121291"/>
    <w:rsid w:val="00125B6D"/>
    <w:rsid w:val="00126616"/>
    <w:rsid w:val="001269EE"/>
    <w:rsid w:val="001304C7"/>
    <w:rsid w:val="00136802"/>
    <w:rsid w:val="00136E20"/>
    <w:rsid w:val="00136ED6"/>
    <w:rsid w:val="0014061E"/>
    <w:rsid w:val="0014258F"/>
    <w:rsid w:val="00143D62"/>
    <w:rsid w:val="001449C6"/>
    <w:rsid w:val="00146FC2"/>
    <w:rsid w:val="0015365C"/>
    <w:rsid w:val="0015455B"/>
    <w:rsid w:val="00155B28"/>
    <w:rsid w:val="00162F60"/>
    <w:rsid w:val="0016337C"/>
    <w:rsid w:val="00163959"/>
    <w:rsid w:val="00166790"/>
    <w:rsid w:val="00170B6E"/>
    <w:rsid w:val="00171A18"/>
    <w:rsid w:val="00172D5C"/>
    <w:rsid w:val="001730CE"/>
    <w:rsid w:val="001736AD"/>
    <w:rsid w:val="00173820"/>
    <w:rsid w:val="0017517E"/>
    <w:rsid w:val="001752D3"/>
    <w:rsid w:val="00176AC3"/>
    <w:rsid w:val="001771D6"/>
    <w:rsid w:val="001855AB"/>
    <w:rsid w:val="00185AFB"/>
    <w:rsid w:val="00192273"/>
    <w:rsid w:val="00192B0D"/>
    <w:rsid w:val="00193DC5"/>
    <w:rsid w:val="001959C6"/>
    <w:rsid w:val="00196487"/>
    <w:rsid w:val="001A3531"/>
    <w:rsid w:val="001A4728"/>
    <w:rsid w:val="001A4CCF"/>
    <w:rsid w:val="001A5261"/>
    <w:rsid w:val="001B1BA1"/>
    <w:rsid w:val="001B5D93"/>
    <w:rsid w:val="001B6412"/>
    <w:rsid w:val="001B68DA"/>
    <w:rsid w:val="001C393A"/>
    <w:rsid w:val="001C5792"/>
    <w:rsid w:val="001C5873"/>
    <w:rsid w:val="001C6951"/>
    <w:rsid w:val="001C779B"/>
    <w:rsid w:val="001C77C5"/>
    <w:rsid w:val="001D233F"/>
    <w:rsid w:val="001D3415"/>
    <w:rsid w:val="001D515B"/>
    <w:rsid w:val="001D536F"/>
    <w:rsid w:val="001D70E6"/>
    <w:rsid w:val="001E19FE"/>
    <w:rsid w:val="001E20E9"/>
    <w:rsid w:val="001E2F2E"/>
    <w:rsid w:val="001E4CEB"/>
    <w:rsid w:val="001E6775"/>
    <w:rsid w:val="001F10C9"/>
    <w:rsid w:val="001F47EF"/>
    <w:rsid w:val="001F5C22"/>
    <w:rsid w:val="001F6F3E"/>
    <w:rsid w:val="002059D7"/>
    <w:rsid w:val="002076D3"/>
    <w:rsid w:val="0021121E"/>
    <w:rsid w:val="00211980"/>
    <w:rsid w:val="00213427"/>
    <w:rsid w:val="00217017"/>
    <w:rsid w:val="00222311"/>
    <w:rsid w:val="002227A7"/>
    <w:rsid w:val="002250CC"/>
    <w:rsid w:val="0023067B"/>
    <w:rsid w:val="00230B5C"/>
    <w:rsid w:val="0023121D"/>
    <w:rsid w:val="00232D78"/>
    <w:rsid w:val="00232E0C"/>
    <w:rsid w:val="00234417"/>
    <w:rsid w:val="00236007"/>
    <w:rsid w:val="002362B5"/>
    <w:rsid w:val="002377D4"/>
    <w:rsid w:val="00237A50"/>
    <w:rsid w:val="00240F94"/>
    <w:rsid w:val="00242164"/>
    <w:rsid w:val="002425A4"/>
    <w:rsid w:val="00243203"/>
    <w:rsid w:val="00243FFC"/>
    <w:rsid w:val="002444B5"/>
    <w:rsid w:val="00250D1C"/>
    <w:rsid w:val="00251222"/>
    <w:rsid w:val="00251710"/>
    <w:rsid w:val="00251911"/>
    <w:rsid w:val="00251953"/>
    <w:rsid w:val="00251BE7"/>
    <w:rsid w:val="00252ABC"/>
    <w:rsid w:val="00254EDF"/>
    <w:rsid w:val="00256D28"/>
    <w:rsid w:val="00257944"/>
    <w:rsid w:val="00264E5E"/>
    <w:rsid w:val="00267443"/>
    <w:rsid w:val="002701E1"/>
    <w:rsid w:val="0027030B"/>
    <w:rsid w:val="0027045A"/>
    <w:rsid w:val="00270D45"/>
    <w:rsid w:val="00274D20"/>
    <w:rsid w:val="0027624E"/>
    <w:rsid w:val="0027775B"/>
    <w:rsid w:val="00283609"/>
    <w:rsid w:val="0028467E"/>
    <w:rsid w:val="00287121"/>
    <w:rsid w:val="0029231A"/>
    <w:rsid w:val="002939B8"/>
    <w:rsid w:val="0029556C"/>
    <w:rsid w:val="002961B5"/>
    <w:rsid w:val="00297557"/>
    <w:rsid w:val="0029793E"/>
    <w:rsid w:val="002A11F0"/>
    <w:rsid w:val="002A533F"/>
    <w:rsid w:val="002A5D0B"/>
    <w:rsid w:val="002B346A"/>
    <w:rsid w:val="002B4136"/>
    <w:rsid w:val="002B6751"/>
    <w:rsid w:val="002C278C"/>
    <w:rsid w:val="002C2A75"/>
    <w:rsid w:val="002C5489"/>
    <w:rsid w:val="002C5A7D"/>
    <w:rsid w:val="002C5F15"/>
    <w:rsid w:val="002D0D81"/>
    <w:rsid w:val="002D130E"/>
    <w:rsid w:val="002D2934"/>
    <w:rsid w:val="002D4BDD"/>
    <w:rsid w:val="002D6B2B"/>
    <w:rsid w:val="002E0B13"/>
    <w:rsid w:val="002E4529"/>
    <w:rsid w:val="002E47FD"/>
    <w:rsid w:val="002E5F96"/>
    <w:rsid w:val="002E69D3"/>
    <w:rsid w:val="002E714E"/>
    <w:rsid w:val="002F2A5A"/>
    <w:rsid w:val="002F3F70"/>
    <w:rsid w:val="002F45F2"/>
    <w:rsid w:val="002F4926"/>
    <w:rsid w:val="002F49F5"/>
    <w:rsid w:val="002F623E"/>
    <w:rsid w:val="002F6F3E"/>
    <w:rsid w:val="003003DA"/>
    <w:rsid w:val="003073B3"/>
    <w:rsid w:val="00313CA4"/>
    <w:rsid w:val="00314886"/>
    <w:rsid w:val="00314A47"/>
    <w:rsid w:val="00320170"/>
    <w:rsid w:val="00322570"/>
    <w:rsid w:val="00322F85"/>
    <w:rsid w:val="003247C6"/>
    <w:rsid w:val="00325CF7"/>
    <w:rsid w:val="00327791"/>
    <w:rsid w:val="00327D7E"/>
    <w:rsid w:val="0033246A"/>
    <w:rsid w:val="00332575"/>
    <w:rsid w:val="0033381B"/>
    <w:rsid w:val="00334B37"/>
    <w:rsid w:val="00340B09"/>
    <w:rsid w:val="003450AE"/>
    <w:rsid w:val="003506D9"/>
    <w:rsid w:val="00352241"/>
    <w:rsid w:val="00352431"/>
    <w:rsid w:val="00353103"/>
    <w:rsid w:val="0035545C"/>
    <w:rsid w:val="003562DF"/>
    <w:rsid w:val="003571C8"/>
    <w:rsid w:val="00360484"/>
    <w:rsid w:val="00360784"/>
    <w:rsid w:val="00360A97"/>
    <w:rsid w:val="00363A61"/>
    <w:rsid w:val="00363B8A"/>
    <w:rsid w:val="00363C6B"/>
    <w:rsid w:val="00363D85"/>
    <w:rsid w:val="00364A59"/>
    <w:rsid w:val="003663F5"/>
    <w:rsid w:val="00366496"/>
    <w:rsid w:val="00370A99"/>
    <w:rsid w:val="00371D7A"/>
    <w:rsid w:val="00372ACE"/>
    <w:rsid w:val="0037414E"/>
    <w:rsid w:val="003751DE"/>
    <w:rsid w:val="003771C2"/>
    <w:rsid w:val="00377D0B"/>
    <w:rsid w:val="00380057"/>
    <w:rsid w:val="00381656"/>
    <w:rsid w:val="00382546"/>
    <w:rsid w:val="003830D8"/>
    <w:rsid w:val="00387647"/>
    <w:rsid w:val="00391B04"/>
    <w:rsid w:val="00392E2D"/>
    <w:rsid w:val="00394E0D"/>
    <w:rsid w:val="00396373"/>
    <w:rsid w:val="00396855"/>
    <w:rsid w:val="00397D0C"/>
    <w:rsid w:val="003A4098"/>
    <w:rsid w:val="003A4444"/>
    <w:rsid w:val="003B02DC"/>
    <w:rsid w:val="003B07C8"/>
    <w:rsid w:val="003B106F"/>
    <w:rsid w:val="003B431F"/>
    <w:rsid w:val="003C0153"/>
    <w:rsid w:val="003C06B1"/>
    <w:rsid w:val="003C0936"/>
    <w:rsid w:val="003C0B22"/>
    <w:rsid w:val="003C18EB"/>
    <w:rsid w:val="003C3ACF"/>
    <w:rsid w:val="003C40FE"/>
    <w:rsid w:val="003C545A"/>
    <w:rsid w:val="003C75A7"/>
    <w:rsid w:val="003D04FB"/>
    <w:rsid w:val="003D0D61"/>
    <w:rsid w:val="003D3F58"/>
    <w:rsid w:val="003E2A85"/>
    <w:rsid w:val="003E4C55"/>
    <w:rsid w:val="003E5976"/>
    <w:rsid w:val="003E5F1C"/>
    <w:rsid w:val="003E66D6"/>
    <w:rsid w:val="003E69A1"/>
    <w:rsid w:val="003E76A2"/>
    <w:rsid w:val="003E7DFF"/>
    <w:rsid w:val="003F0B0C"/>
    <w:rsid w:val="003F1CE8"/>
    <w:rsid w:val="003F5EEE"/>
    <w:rsid w:val="004025D9"/>
    <w:rsid w:val="00402E1D"/>
    <w:rsid w:val="00403259"/>
    <w:rsid w:val="00406F24"/>
    <w:rsid w:val="004076FC"/>
    <w:rsid w:val="00410A6B"/>
    <w:rsid w:val="00410EF0"/>
    <w:rsid w:val="00411296"/>
    <w:rsid w:val="004141A8"/>
    <w:rsid w:val="0041589D"/>
    <w:rsid w:val="00415CD3"/>
    <w:rsid w:val="0041632C"/>
    <w:rsid w:val="004222D7"/>
    <w:rsid w:val="004238D6"/>
    <w:rsid w:val="004246F1"/>
    <w:rsid w:val="00424941"/>
    <w:rsid w:val="00425C05"/>
    <w:rsid w:val="00427F35"/>
    <w:rsid w:val="00431534"/>
    <w:rsid w:val="0043285B"/>
    <w:rsid w:val="00434411"/>
    <w:rsid w:val="00437D86"/>
    <w:rsid w:val="0044267B"/>
    <w:rsid w:val="004446C0"/>
    <w:rsid w:val="00446C50"/>
    <w:rsid w:val="0044763D"/>
    <w:rsid w:val="00450C22"/>
    <w:rsid w:val="0045142D"/>
    <w:rsid w:val="00452236"/>
    <w:rsid w:val="0046235A"/>
    <w:rsid w:val="00463005"/>
    <w:rsid w:val="004646B1"/>
    <w:rsid w:val="004647E8"/>
    <w:rsid w:val="004658A8"/>
    <w:rsid w:val="004739EF"/>
    <w:rsid w:val="0047445E"/>
    <w:rsid w:val="00477D39"/>
    <w:rsid w:val="00481C51"/>
    <w:rsid w:val="00481EB6"/>
    <w:rsid w:val="004827ED"/>
    <w:rsid w:val="00482B66"/>
    <w:rsid w:val="004839B6"/>
    <w:rsid w:val="0048487E"/>
    <w:rsid w:val="00484D43"/>
    <w:rsid w:val="0048703C"/>
    <w:rsid w:val="00491664"/>
    <w:rsid w:val="00491EF4"/>
    <w:rsid w:val="00492ED6"/>
    <w:rsid w:val="00494D55"/>
    <w:rsid w:val="004956D4"/>
    <w:rsid w:val="004957EF"/>
    <w:rsid w:val="00495E27"/>
    <w:rsid w:val="00496312"/>
    <w:rsid w:val="00497B7C"/>
    <w:rsid w:val="004A0599"/>
    <w:rsid w:val="004A2C44"/>
    <w:rsid w:val="004A2D43"/>
    <w:rsid w:val="004A39B1"/>
    <w:rsid w:val="004B1F0B"/>
    <w:rsid w:val="004B1FDD"/>
    <w:rsid w:val="004B4AA2"/>
    <w:rsid w:val="004B4EB0"/>
    <w:rsid w:val="004B5890"/>
    <w:rsid w:val="004B69FD"/>
    <w:rsid w:val="004B6FC5"/>
    <w:rsid w:val="004C18C1"/>
    <w:rsid w:val="004C1C75"/>
    <w:rsid w:val="004C28FB"/>
    <w:rsid w:val="004C3DD6"/>
    <w:rsid w:val="004C4531"/>
    <w:rsid w:val="004D2373"/>
    <w:rsid w:val="004D36BF"/>
    <w:rsid w:val="004D3907"/>
    <w:rsid w:val="004D4F8D"/>
    <w:rsid w:val="004D55B3"/>
    <w:rsid w:val="004D6F34"/>
    <w:rsid w:val="004D724D"/>
    <w:rsid w:val="004E0655"/>
    <w:rsid w:val="004E08F4"/>
    <w:rsid w:val="004E1242"/>
    <w:rsid w:val="004E36AA"/>
    <w:rsid w:val="004E72AD"/>
    <w:rsid w:val="004E7878"/>
    <w:rsid w:val="004F1574"/>
    <w:rsid w:val="004F1FA2"/>
    <w:rsid w:val="004F2590"/>
    <w:rsid w:val="004F2FA7"/>
    <w:rsid w:val="004F344C"/>
    <w:rsid w:val="004F5376"/>
    <w:rsid w:val="004F618E"/>
    <w:rsid w:val="004F7210"/>
    <w:rsid w:val="004F7661"/>
    <w:rsid w:val="00507351"/>
    <w:rsid w:val="00507844"/>
    <w:rsid w:val="00510CF2"/>
    <w:rsid w:val="00510F35"/>
    <w:rsid w:val="00511A12"/>
    <w:rsid w:val="00514487"/>
    <w:rsid w:val="00515792"/>
    <w:rsid w:val="00517228"/>
    <w:rsid w:val="00521D21"/>
    <w:rsid w:val="00524376"/>
    <w:rsid w:val="005257F9"/>
    <w:rsid w:val="00525E02"/>
    <w:rsid w:val="005267C9"/>
    <w:rsid w:val="00526D61"/>
    <w:rsid w:val="00530616"/>
    <w:rsid w:val="00532606"/>
    <w:rsid w:val="00533CE4"/>
    <w:rsid w:val="0053661F"/>
    <w:rsid w:val="00536FB6"/>
    <w:rsid w:val="0054062F"/>
    <w:rsid w:val="00543015"/>
    <w:rsid w:val="00546107"/>
    <w:rsid w:val="00546BCD"/>
    <w:rsid w:val="005503FE"/>
    <w:rsid w:val="00550A13"/>
    <w:rsid w:val="00552208"/>
    <w:rsid w:val="00552593"/>
    <w:rsid w:val="00555543"/>
    <w:rsid w:val="0055593C"/>
    <w:rsid w:val="0055733C"/>
    <w:rsid w:val="005619F1"/>
    <w:rsid w:val="00563401"/>
    <w:rsid w:val="00563F8F"/>
    <w:rsid w:val="00564730"/>
    <w:rsid w:val="00571926"/>
    <w:rsid w:val="005731B7"/>
    <w:rsid w:val="005739A7"/>
    <w:rsid w:val="0057481C"/>
    <w:rsid w:val="00577395"/>
    <w:rsid w:val="0058068E"/>
    <w:rsid w:val="00583785"/>
    <w:rsid w:val="005849B0"/>
    <w:rsid w:val="00586908"/>
    <w:rsid w:val="00587A44"/>
    <w:rsid w:val="00592DCC"/>
    <w:rsid w:val="00593AC8"/>
    <w:rsid w:val="00593C5A"/>
    <w:rsid w:val="00595BCD"/>
    <w:rsid w:val="005A045B"/>
    <w:rsid w:val="005A06E9"/>
    <w:rsid w:val="005A08DD"/>
    <w:rsid w:val="005A0DF5"/>
    <w:rsid w:val="005A29FD"/>
    <w:rsid w:val="005A57F3"/>
    <w:rsid w:val="005A714F"/>
    <w:rsid w:val="005B0D9E"/>
    <w:rsid w:val="005B2A34"/>
    <w:rsid w:val="005B2BDD"/>
    <w:rsid w:val="005B361F"/>
    <w:rsid w:val="005C0D3B"/>
    <w:rsid w:val="005C16A7"/>
    <w:rsid w:val="005C2159"/>
    <w:rsid w:val="005C26AD"/>
    <w:rsid w:val="005C564F"/>
    <w:rsid w:val="005C62D9"/>
    <w:rsid w:val="005C6765"/>
    <w:rsid w:val="005C7523"/>
    <w:rsid w:val="005D1D2E"/>
    <w:rsid w:val="005D2955"/>
    <w:rsid w:val="005D52C6"/>
    <w:rsid w:val="005D600A"/>
    <w:rsid w:val="005D7F2E"/>
    <w:rsid w:val="005E673D"/>
    <w:rsid w:val="005F0264"/>
    <w:rsid w:val="005F0BA4"/>
    <w:rsid w:val="005F3B1D"/>
    <w:rsid w:val="005F7187"/>
    <w:rsid w:val="005F7C8B"/>
    <w:rsid w:val="00601169"/>
    <w:rsid w:val="00601545"/>
    <w:rsid w:val="00602E21"/>
    <w:rsid w:val="00604B0D"/>
    <w:rsid w:val="00607054"/>
    <w:rsid w:val="00607AE7"/>
    <w:rsid w:val="00611252"/>
    <w:rsid w:val="0061345F"/>
    <w:rsid w:val="006167B1"/>
    <w:rsid w:val="00617F98"/>
    <w:rsid w:val="00627127"/>
    <w:rsid w:val="006314E3"/>
    <w:rsid w:val="00632004"/>
    <w:rsid w:val="006348B6"/>
    <w:rsid w:val="00640C2F"/>
    <w:rsid w:val="00644B49"/>
    <w:rsid w:val="00652197"/>
    <w:rsid w:val="00654620"/>
    <w:rsid w:val="006553B5"/>
    <w:rsid w:val="00656283"/>
    <w:rsid w:val="0065761A"/>
    <w:rsid w:val="006631F0"/>
    <w:rsid w:val="00663E32"/>
    <w:rsid w:val="00664E84"/>
    <w:rsid w:val="00664FB0"/>
    <w:rsid w:val="00665A11"/>
    <w:rsid w:val="00665BF3"/>
    <w:rsid w:val="00667584"/>
    <w:rsid w:val="00667CB2"/>
    <w:rsid w:val="00672326"/>
    <w:rsid w:val="0067307F"/>
    <w:rsid w:val="00673E0F"/>
    <w:rsid w:val="00675E72"/>
    <w:rsid w:val="00676223"/>
    <w:rsid w:val="00676A69"/>
    <w:rsid w:val="00676D5D"/>
    <w:rsid w:val="00680ED8"/>
    <w:rsid w:val="006920D1"/>
    <w:rsid w:val="0069291B"/>
    <w:rsid w:val="006933C9"/>
    <w:rsid w:val="0069416F"/>
    <w:rsid w:val="00695293"/>
    <w:rsid w:val="00696357"/>
    <w:rsid w:val="00696485"/>
    <w:rsid w:val="00696D47"/>
    <w:rsid w:val="006A6423"/>
    <w:rsid w:val="006A6F25"/>
    <w:rsid w:val="006A7047"/>
    <w:rsid w:val="006B0DBA"/>
    <w:rsid w:val="006B0F4C"/>
    <w:rsid w:val="006B249E"/>
    <w:rsid w:val="006B3571"/>
    <w:rsid w:val="006B4C9A"/>
    <w:rsid w:val="006B50B6"/>
    <w:rsid w:val="006B520C"/>
    <w:rsid w:val="006B58F2"/>
    <w:rsid w:val="006C1882"/>
    <w:rsid w:val="006C1FAD"/>
    <w:rsid w:val="006C2B1A"/>
    <w:rsid w:val="006C2BDC"/>
    <w:rsid w:val="006C38C1"/>
    <w:rsid w:val="006C3D4F"/>
    <w:rsid w:val="006C3DFF"/>
    <w:rsid w:val="006C40D1"/>
    <w:rsid w:val="006C4A0E"/>
    <w:rsid w:val="006C5383"/>
    <w:rsid w:val="006C5A10"/>
    <w:rsid w:val="006C5DBB"/>
    <w:rsid w:val="006C7512"/>
    <w:rsid w:val="006D08E4"/>
    <w:rsid w:val="006D0C4D"/>
    <w:rsid w:val="006D2DF6"/>
    <w:rsid w:val="006D31DF"/>
    <w:rsid w:val="006D41FD"/>
    <w:rsid w:val="006D44DF"/>
    <w:rsid w:val="006D5205"/>
    <w:rsid w:val="006D7F79"/>
    <w:rsid w:val="006E0574"/>
    <w:rsid w:val="006E24D4"/>
    <w:rsid w:val="006E4834"/>
    <w:rsid w:val="006E5773"/>
    <w:rsid w:val="006E58D6"/>
    <w:rsid w:val="006E74A2"/>
    <w:rsid w:val="006E7CB1"/>
    <w:rsid w:val="006F3340"/>
    <w:rsid w:val="006F6381"/>
    <w:rsid w:val="006F7186"/>
    <w:rsid w:val="006F7CE6"/>
    <w:rsid w:val="0070136A"/>
    <w:rsid w:val="00703112"/>
    <w:rsid w:val="007062DA"/>
    <w:rsid w:val="00707676"/>
    <w:rsid w:val="00710388"/>
    <w:rsid w:val="007174B8"/>
    <w:rsid w:val="00717C8B"/>
    <w:rsid w:val="00720FE4"/>
    <w:rsid w:val="0072270C"/>
    <w:rsid w:val="007231CD"/>
    <w:rsid w:val="0072496D"/>
    <w:rsid w:val="00727553"/>
    <w:rsid w:val="0073144A"/>
    <w:rsid w:val="0073150F"/>
    <w:rsid w:val="0073288F"/>
    <w:rsid w:val="00732DAC"/>
    <w:rsid w:val="00735157"/>
    <w:rsid w:val="00737730"/>
    <w:rsid w:val="0074004A"/>
    <w:rsid w:val="0074309E"/>
    <w:rsid w:val="00743643"/>
    <w:rsid w:val="00743DD5"/>
    <w:rsid w:val="00745E86"/>
    <w:rsid w:val="00746BB9"/>
    <w:rsid w:val="00750858"/>
    <w:rsid w:val="00751A70"/>
    <w:rsid w:val="007529D3"/>
    <w:rsid w:val="0075326E"/>
    <w:rsid w:val="0075422C"/>
    <w:rsid w:val="007542ED"/>
    <w:rsid w:val="00754629"/>
    <w:rsid w:val="007579EF"/>
    <w:rsid w:val="00760DA0"/>
    <w:rsid w:val="0076186B"/>
    <w:rsid w:val="00763F72"/>
    <w:rsid w:val="007646A2"/>
    <w:rsid w:val="0076561E"/>
    <w:rsid w:val="00772B5A"/>
    <w:rsid w:val="00775C7E"/>
    <w:rsid w:val="00777A8A"/>
    <w:rsid w:val="00781944"/>
    <w:rsid w:val="00781A3D"/>
    <w:rsid w:val="00785886"/>
    <w:rsid w:val="00785BB3"/>
    <w:rsid w:val="00785BC6"/>
    <w:rsid w:val="007863DB"/>
    <w:rsid w:val="007874B0"/>
    <w:rsid w:val="00787F0F"/>
    <w:rsid w:val="007917B2"/>
    <w:rsid w:val="00792037"/>
    <w:rsid w:val="007925C3"/>
    <w:rsid w:val="00792C6D"/>
    <w:rsid w:val="00792D92"/>
    <w:rsid w:val="007965F5"/>
    <w:rsid w:val="007A2CA0"/>
    <w:rsid w:val="007A4BFB"/>
    <w:rsid w:val="007A5A67"/>
    <w:rsid w:val="007A684B"/>
    <w:rsid w:val="007A6A97"/>
    <w:rsid w:val="007A7103"/>
    <w:rsid w:val="007A7392"/>
    <w:rsid w:val="007A7AAD"/>
    <w:rsid w:val="007B0370"/>
    <w:rsid w:val="007B1A06"/>
    <w:rsid w:val="007B23B1"/>
    <w:rsid w:val="007B437C"/>
    <w:rsid w:val="007B57C5"/>
    <w:rsid w:val="007B5F88"/>
    <w:rsid w:val="007C4A53"/>
    <w:rsid w:val="007C5582"/>
    <w:rsid w:val="007C5935"/>
    <w:rsid w:val="007C69B5"/>
    <w:rsid w:val="007C6E10"/>
    <w:rsid w:val="007D278F"/>
    <w:rsid w:val="007D44A8"/>
    <w:rsid w:val="007D59EB"/>
    <w:rsid w:val="007D6F72"/>
    <w:rsid w:val="007D76FC"/>
    <w:rsid w:val="007E1A15"/>
    <w:rsid w:val="007E296E"/>
    <w:rsid w:val="007E3481"/>
    <w:rsid w:val="007E4364"/>
    <w:rsid w:val="007E447B"/>
    <w:rsid w:val="007E7600"/>
    <w:rsid w:val="007F0D85"/>
    <w:rsid w:val="007F27F1"/>
    <w:rsid w:val="008071EA"/>
    <w:rsid w:val="00807369"/>
    <w:rsid w:val="00807EF2"/>
    <w:rsid w:val="008104F9"/>
    <w:rsid w:val="00810EF4"/>
    <w:rsid w:val="00811D92"/>
    <w:rsid w:val="00811E0D"/>
    <w:rsid w:val="00814325"/>
    <w:rsid w:val="00816443"/>
    <w:rsid w:val="00817DFE"/>
    <w:rsid w:val="00822B41"/>
    <w:rsid w:val="00824235"/>
    <w:rsid w:val="008249D1"/>
    <w:rsid w:val="008260F5"/>
    <w:rsid w:val="0082752D"/>
    <w:rsid w:val="008309DB"/>
    <w:rsid w:val="00830F53"/>
    <w:rsid w:val="00832224"/>
    <w:rsid w:val="0083234E"/>
    <w:rsid w:val="00832AE9"/>
    <w:rsid w:val="00832CE5"/>
    <w:rsid w:val="00835340"/>
    <w:rsid w:val="00836DC0"/>
    <w:rsid w:val="00837587"/>
    <w:rsid w:val="00837CE6"/>
    <w:rsid w:val="00837EF1"/>
    <w:rsid w:val="00842B2B"/>
    <w:rsid w:val="0084330E"/>
    <w:rsid w:val="00843845"/>
    <w:rsid w:val="00847A9F"/>
    <w:rsid w:val="00847E1B"/>
    <w:rsid w:val="0085308C"/>
    <w:rsid w:val="00853156"/>
    <w:rsid w:val="00854F21"/>
    <w:rsid w:val="00855741"/>
    <w:rsid w:val="0086025C"/>
    <w:rsid w:val="0086228D"/>
    <w:rsid w:val="00862A04"/>
    <w:rsid w:val="00864464"/>
    <w:rsid w:val="00864C0C"/>
    <w:rsid w:val="0086570A"/>
    <w:rsid w:val="0086705F"/>
    <w:rsid w:val="0087368A"/>
    <w:rsid w:val="00874579"/>
    <w:rsid w:val="008745B1"/>
    <w:rsid w:val="00876060"/>
    <w:rsid w:val="008770BF"/>
    <w:rsid w:val="00880A30"/>
    <w:rsid w:val="00893043"/>
    <w:rsid w:val="00894F6F"/>
    <w:rsid w:val="0089621F"/>
    <w:rsid w:val="008A049F"/>
    <w:rsid w:val="008A39C9"/>
    <w:rsid w:val="008A4017"/>
    <w:rsid w:val="008A4A71"/>
    <w:rsid w:val="008A5017"/>
    <w:rsid w:val="008B0B11"/>
    <w:rsid w:val="008B2FFB"/>
    <w:rsid w:val="008B3297"/>
    <w:rsid w:val="008B5D95"/>
    <w:rsid w:val="008B6A9D"/>
    <w:rsid w:val="008C003E"/>
    <w:rsid w:val="008C154E"/>
    <w:rsid w:val="008C2AB2"/>
    <w:rsid w:val="008C7B4C"/>
    <w:rsid w:val="008D07DC"/>
    <w:rsid w:val="008D3402"/>
    <w:rsid w:val="008D49FE"/>
    <w:rsid w:val="008D5CCE"/>
    <w:rsid w:val="008D6E3C"/>
    <w:rsid w:val="008D6F89"/>
    <w:rsid w:val="008E4323"/>
    <w:rsid w:val="008E6EBA"/>
    <w:rsid w:val="008F22B9"/>
    <w:rsid w:val="008F2C33"/>
    <w:rsid w:val="008F673E"/>
    <w:rsid w:val="009004A9"/>
    <w:rsid w:val="00900879"/>
    <w:rsid w:val="009056D0"/>
    <w:rsid w:val="00906041"/>
    <w:rsid w:val="00906B47"/>
    <w:rsid w:val="009112EB"/>
    <w:rsid w:val="00911D9F"/>
    <w:rsid w:val="009124F5"/>
    <w:rsid w:val="00912F2C"/>
    <w:rsid w:val="00913A9A"/>
    <w:rsid w:val="00920292"/>
    <w:rsid w:val="0092204B"/>
    <w:rsid w:val="00922199"/>
    <w:rsid w:val="00923E13"/>
    <w:rsid w:val="00924D06"/>
    <w:rsid w:val="009269A4"/>
    <w:rsid w:val="00927EF3"/>
    <w:rsid w:val="00931F4C"/>
    <w:rsid w:val="00934088"/>
    <w:rsid w:val="00935647"/>
    <w:rsid w:val="0093566D"/>
    <w:rsid w:val="009366BB"/>
    <w:rsid w:val="009426D1"/>
    <w:rsid w:val="00942D10"/>
    <w:rsid w:val="009469FE"/>
    <w:rsid w:val="00955166"/>
    <w:rsid w:val="00957744"/>
    <w:rsid w:val="00957B73"/>
    <w:rsid w:val="009614A0"/>
    <w:rsid w:val="0096318E"/>
    <w:rsid w:val="00963B1E"/>
    <w:rsid w:val="00965857"/>
    <w:rsid w:val="0097021B"/>
    <w:rsid w:val="0097049A"/>
    <w:rsid w:val="009707BE"/>
    <w:rsid w:val="00970FCE"/>
    <w:rsid w:val="00974920"/>
    <w:rsid w:val="00974937"/>
    <w:rsid w:val="00974C94"/>
    <w:rsid w:val="0097587B"/>
    <w:rsid w:val="0098145B"/>
    <w:rsid w:val="00984A6B"/>
    <w:rsid w:val="00992305"/>
    <w:rsid w:val="009930DB"/>
    <w:rsid w:val="009A210F"/>
    <w:rsid w:val="009A2B5F"/>
    <w:rsid w:val="009A3645"/>
    <w:rsid w:val="009A4574"/>
    <w:rsid w:val="009A50CB"/>
    <w:rsid w:val="009A5874"/>
    <w:rsid w:val="009A602D"/>
    <w:rsid w:val="009B0993"/>
    <w:rsid w:val="009B225F"/>
    <w:rsid w:val="009B2476"/>
    <w:rsid w:val="009B3DCE"/>
    <w:rsid w:val="009B492C"/>
    <w:rsid w:val="009B4C93"/>
    <w:rsid w:val="009B5451"/>
    <w:rsid w:val="009B5FA7"/>
    <w:rsid w:val="009B7835"/>
    <w:rsid w:val="009B7BDE"/>
    <w:rsid w:val="009C03B7"/>
    <w:rsid w:val="009C1651"/>
    <w:rsid w:val="009C4579"/>
    <w:rsid w:val="009C4B08"/>
    <w:rsid w:val="009C60B2"/>
    <w:rsid w:val="009C7F17"/>
    <w:rsid w:val="009D066D"/>
    <w:rsid w:val="009D7A44"/>
    <w:rsid w:val="009E0BD0"/>
    <w:rsid w:val="009E2C4D"/>
    <w:rsid w:val="009E4055"/>
    <w:rsid w:val="009E52F3"/>
    <w:rsid w:val="009E6DDE"/>
    <w:rsid w:val="009F0F2D"/>
    <w:rsid w:val="009F55BF"/>
    <w:rsid w:val="009F6E6C"/>
    <w:rsid w:val="009F7408"/>
    <w:rsid w:val="009F7CCE"/>
    <w:rsid w:val="00A0112E"/>
    <w:rsid w:val="00A019DC"/>
    <w:rsid w:val="00A02375"/>
    <w:rsid w:val="00A02690"/>
    <w:rsid w:val="00A11047"/>
    <w:rsid w:val="00A11C1B"/>
    <w:rsid w:val="00A120A9"/>
    <w:rsid w:val="00A13E19"/>
    <w:rsid w:val="00A145DF"/>
    <w:rsid w:val="00A152C5"/>
    <w:rsid w:val="00A175B5"/>
    <w:rsid w:val="00A17E48"/>
    <w:rsid w:val="00A202C1"/>
    <w:rsid w:val="00A22950"/>
    <w:rsid w:val="00A2538B"/>
    <w:rsid w:val="00A26450"/>
    <w:rsid w:val="00A3398D"/>
    <w:rsid w:val="00A343E7"/>
    <w:rsid w:val="00A34B2E"/>
    <w:rsid w:val="00A34F15"/>
    <w:rsid w:val="00A430FC"/>
    <w:rsid w:val="00A4560A"/>
    <w:rsid w:val="00A505E6"/>
    <w:rsid w:val="00A52960"/>
    <w:rsid w:val="00A55398"/>
    <w:rsid w:val="00A57641"/>
    <w:rsid w:val="00A6098B"/>
    <w:rsid w:val="00A702A0"/>
    <w:rsid w:val="00A70C68"/>
    <w:rsid w:val="00A752BF"/>
    <w:rsid w:val="00A75603"/>
    <w:rsid w:val="00A7718D"/>
    <w:rsid w:val="00A804B2"/>
    <w:rsid w:val="00A80996"/>
    <w:rsid w:val="00A82B43"/>
    <w:rsid w:val="00A84A13"/>
    <w:rsid w:val="00A85363"/>
    <w:rsid w:val="00A92F11"/>
    <w:rsid w:val="00A93840"/>
    <w:rsid w:val="00A9429F"/>
    <w:rsid w:val="00A9572C"/>
    <w:rsid w:val="00AA16DB"/>
    <w:rsid w:val="00AA1BDB"/>
    <w:rsid w:val="00AA2831"/>
    <w:rsid w:val="00AA2C08"/>
    <w:rsid w:val="00AA440D"/>
    <w:rsid w:val="00AA5B0E"/>
    <w:rsid w:val="00AA5E4B"/>
    <w:rsid w:val="00AA6545"/>
    <w:rsid w:val="00AA7FB1"/>
    <w:rsid w:val="00AB088E"/>
    <w:rsid w:val="00AB3A45"/>
    <w:rsid w:val="00AB3BC7"/>
    <w:rsid w:val="00AB587B"/>
    <w:rsid w:val="00AB5F63"/>
    <w:rsid w:val="00AC0886"/>
    <w:rsid w:val="00AC099B"/>
    <w:rsid w:val="00AC0B61"/>
    <w:rsid w:val="00AC3758"/>
    <w:rsid w:val="00AC37B6"/>
    <w:rsid w:val="00AC4B51"/>
    <w:rsid w:val="00AC503E"/>
    <w:rsid w:val="00AD18DC"/>
    <w:rsid w:val="00AD3B70"/>
    <w:rsid w:val="00AD3E99"/>
    <w:rsid w:val="00AD5F2F"/>
    <w:rsid w:val="00AE377E"/>
    <w:rsid w:val="00AE43F6"/>
    <w:rsid w:val="00AE6410"/>
    <w:rsid w:val="00AE6DD8"/>
    <w:rsid w:val="00AF02DC"/>
    <w:rsid w:val="00AF0569"/>
    <w:rsid w:val="00AF0FD4"/>
    <w:rsid w:val="00AF35A2"/>
    <w:rsid w:val="00AF5F04"/>
    <w:rsid w:val="00B005DF"/>
    <w:rsid w:val="00B0261E"/>
    <w:rsid w:val="00B10CB2"/>
    <w:rsid w:val="00B12846"/>
    <w:rsid w:val="00B13454"/>
    <w:rsid w:val="00B177FA"/>
    <w:rsid w:val="00B17E3C"/>
    <w:rsid w:val="00B210E1"/>
    <w:rsid w:val="00B2130F"/>
    <w:rsid w:val="00B213D6"/>
    <w:rsid w:val="00B23375"/>
    <w:rsid w:val="00B264D1"/>
    <w:rsid w:val="00B267BF"/>
    <w:rsid w:val="00B273B6"/>
    <w:rsid w:val="00B27A6E"/>
    <w:rsid w:val="00B30874"/>
    <w:rsid w:val="00B311C4"/>
    <w:rsid w:val="00B3424A"/>
    <w:rsid w:val="00B34820"/>
    <w:rsid w:val="00B3568F"/>
    <w:rsid w:val="00B3586E"/>
    <w:rsid w:val="00B37B9F"/>
    <w:rsid w:val="00B41685"/>
    <w:rsid w:val="00B41E6C"/>
    <w:rsid w:val="00B42BAC"/>
    <w:rsid w:val="00B44601"/>
    <w:rsid w:val="00B45340"/>
    <w:rsid w:val="00B469E9"/>
    <w:rsid w:val="00B52CB3"/>
    <w:rsid w:val="00B540EF"/>
    <w:rsid w:val="00B54212"/>
    <w:rsid w:val="00B56A06"/>
    <w:rsid w:val="00B63F33"/>
    <w:rsid w:val="00B65A54"/>
    <w:rsid w:val="00B70192"/>
    <w:rsid w:val="00B70D4F"/>
    <w:rsid w:val="00B73A3E"/>
    <w:rsid w:val="00B7516C"/>
    <w:rsid w:val="00B76236"/>
    <w:rsid w:val="00B80A1E"/>
    <w:rsid w:val="00B84874"/>
    <w:rsid w:val="00B90A35"/>
    <w:rsid w:val="00B932CB"/>
    <w:rsid w:val="00B94AE8"/>
    <w:rsid w:val="00B94CF8"/>
    <w:rsid w:val="00B94FAC"/>
    <w:rsid w:val="00B9537F"/>
    <w:rsid w:val="00B95859"/>
    <w:rsid w:val="00BA0DE0"/>
    <w:rsid w:val="00BA12C8"/>
    <w:rsid w:val="00BA1C3F"/>
    <w:rsid w:val="00BA2181"/>
    <w:rsid w:val="00BB0F20"/>
    <w:rsid w:val="00BB213F"/>
    <w:rsid w:val="00BB6FA9"/>
    <w:rsid w:val="00BB72E3"/>
    <w:rsid w:val="00BC44A1"/>
    <w:rsid w:val="00BC662A"/>
    <w:rsid w:val="00BD3F81"/>
    <w:rsid w:val="00BD4FDA"/>
    <w:rsid w:val="00BD7FD4"/>
    <w:rsid w:val="00BE0183"/>
    <w:rsid w:val="00BE11F5"/>
    <w:rsid w:val="00BE259C"/>
    <w:rsid w:val="00BE59AD"/>
    <w:rsid w:val="00BE5AF1"/>
    <w:rsid w:val="00BE7A45"/>
    <w:rsid w:val="00BF0AEA"/>
    <w:rsid w:val="00BF1369"/>
    <w:rsid w:val="00BF40D6"/>
    <w:rsid w:val="00BF55F1"/>
    <w:rsid w:val="00BF5B9D"/>
    <w:rsid w:val="00BF6E2E"/>
    <w:rsid w:val="00BF6EC0"/>
    <w:rsid w:val="00C03958"/>
    <w:rsid w:val="00C05265"/>
    <w:rsid w:val="00C05635"/>
    <w:rsid w:val="00C0627D"/>
    <w:rsid w:val="00C06763"/>
    <w:rsid w:val="00C06D61"/>
    <w:rsid w:val="00C0704B"/>
    <w:rsid w:val="00C074DD"/>
    <w:rsid w:val="00C1171A"/>
    <w:rsid w:val="00C163AC"/>
    <w:rsid w:val="00C16C42"/>
    <w:rsid w:val="00C17704"/>
    <w:rsid w:val="00C206D2"/>
    <w:rsid w:val="00C21E09"/>
    <w:rsid w:val="00C21ED3"/>
    <w:rsid w:val="00C23FEF"/>
    <w:rsid w:val="00C252B8"/>
    <w:rsid w:val="00C26BF7"/>
    <w:rsid w:val="00C302C4"/>
    <w:rsid w:val="00C318AA"/>
    <w:rsid w:val="00C36EB3"/>
    <w:rsid w:val="00C3772F"/>
    <w:rsid w:val="00C37C78"/>
    <w:rsid w:val="00C4198B"/>
    <w:rsid w:val="00C423A2"/>
    <w:rsid w:val="00C424EC"/>
    <w:rsid w:val="00C42A8E"/>
    <w:rsid w:val="00C44BC5"/>
    <w:rsid w:val="00C4507B"/>
    <w:rsid w:val="00C50B06"/>
    <w:rsid w:val="00C53A13"/>
    <w:rsid w:val="00C54FDC"/>
    <w:rsid w:val="00C55A05"/>
    <w:rsid w:val="00C568C1"/>
    <w:rsid w:val="00C57F2D"/>
    <w:rsid w:val="00C6031A"/>
    <w:rsid w:val="00C62897"/>
    <w:rsid w:val="00C63523"/>
    <w:rsid w:val="00C63F5C"/>
    <w:rsid w:val="00C6426D"/>
    <w:rsid w:val="00C65C5D"/>
    <w:rsid w:val="00C6614D"/>
    <w:rsid w:val="00C664D5"/>
    <w:rsid w:val="00C72FE5"/>
    <w:rsid w:val="00C76C44"/>
    <w:rsid w:val="00C828C8"/>
    <w:rsid w:val="00C8316A"/>
    <w:rsid w:val="00C86081"/>
    <w:rsid w:val="00C9140C"/>
    <w:rsid w:val="00C91D61"/>
    <w:rsid w:val="00C91E4A"/>
    <w:rsid w:val="00C94426"/>
    <w:rsid w:val="00C95058"/>
    <w:rsid w:val="00C9683A"/>
    <w:rsid w:val="00C96E63"/>
    <w:rsid w:val="00C971FB"/>
    <w:rsid w:val="00CA17B5"/>
    <w:rsid w:val="00CA3721"/>
    <w:rsid w:val="00CA3C2A"/>
    <w:rsid w:val="00CA41E3"/>
    <w:rsid w:val="00CA57C6"/>
    <w:rsid w:val="00CA5846"/>
    <w:rsid w:val="00CB0709"/>
    <w:rsid w:val="00CB1970"/>
    <w:rsid w:val="00CB238E"/>
    <w:rsid w:val="00CC0F38"/>
    <w:rsid w:val="00CC174D"/>
    <w:rsid w:val="00CC1C3E"/>
    <w:rsid w:val="00CC4A51"/>
    <w:rsid w:val="00CC51EA"/>
    <w:rsid w:val="00CC61BE"/>
    <w:rsid w:val="00CC655F"/>
    <w:rsid w:val="00CC6A64"/>
    <w:rsid w:val="00CC749A"/>
    <w:rsid w:val="00CD08C9"/>
    <w:rsid w:val="00CD2374"/>
    <w:rsid w:val="00CD29B6"/>
    <w:rsid w:val="00CD38FE"/>
    <w:rsid w:val="00CD3C91"/>
    <w:rsid w:val="00CD414E"/>
    <w:rsid w:val="00CD42C5"/>
    <w:rsid w:val="00CD4CB1"/>
    <w:rsid w:val="00CD767D"/>
    <w:rsid w:val="00CE1923"/>
    <w:rsid w:val="00CE446F"/>
    <w:rsid w:val="00CE57FD"/>
    <w:rsid w:val="00CF061D"/>
    <w:rsid w:val="00CF5449"/>
    <w:rsid w:val="00D02891"/>
    <w:rsid w:val="00D02C21"/>
    <w:rsid w:val="00D05118"/>
    <w:rsid w:val="00D05149"/>
    <w:rsid w:val="00D05A69"/>
    <w:rsid w:val="00D10293"/>
    <w:rsid w:val="00D10ABC"/>
    <w:rsid w:val="00D15364"/>
    <w:rsid w:val="00D15DD0"/>
    <w:rsid w:val="00D1675C"/>
    <w:rsid w:val="00D22BD5"/>
    <w:rsid w:val="00D25736"/>
    <w:rsid w:val="00D25A72"/>
    <w:rsid w:val="00D25B20"/>
    <w:rsid w:val="00D25CDC"/>
    <w:rsid w:val="00D316E4"/>
    <w:rsid w:val="00D31A43"/>
    <w:rsid w:val="00D3465F"/>
    <w:rsid w:val="00D35CC1"/>
    <w:rsid w:val="00D3644F"/>
    <w:rsid w:val="00D36572"/>
    <w:rsid w:val="00D37C4C"/>
    <w:rsid w:val="00D40336"/>
    <w:rsid w:val="00D40AC5"/>
    <w:rsid w:val="00D414FB"/>
    <w:rsid w:val="00D41552"/>
    <w:rsid w:val="00D41663"/>
    <w:rsid w:val="00D4329B"/>
    <w:rsid w:val="00D44641"/>
    <w:rsid w:val="00D45D56"/>
    <w:rsid w:val="00D461A8"/>
    <w:rsid w:val="00D46DB7"/>
    <w:rsid w:val="00D556ED"/>
    <w:rsid w:val="00D577A9"/>
    <w:rsid w:val="00D62849"/>
    <w:rsid w:val="00D64EE2"/>
    <w:rsid w:val="00D6572E"/>
    <w:rsid w:val="00D6674E"/>
    <w:rsid w:val="00D66FE3"/>
    <w:rsid w:val="00D67988"/>
    <w:rsid w:val="00D70E63"/>
    <w:rsid w:val="00D71D71"/>
    <w:rsid w:val="00D75507"/>
    <w:rsid w:val="00D767F4"/>
    <w:rsid w:val="00D800C6"/>
    <w:rsid w:val="00D80A65"/>
    <w:rsid w:val="00D81CC5"/>
    <w:rsid w:val="00D830C5"/>
    <w:rsid w:val="00D836ED"/>
    <w:rsid w:val="00D83D8D"/>
    <w:rsid w:val="00D8437A"/>
    <w:rsid w:val="00D93188"/>
    <w:rsid w:val="00D936F3"/>
    <w:rsid w:val="00D93FA9"/>
    <w:rsid w:val="00D96C94"/>
    <w:rsid w:val="00DA035C"/>
    <w:rsid w:val="00DA3177"/>
    <w:rsid w:val="00DA3A70"/>
    <w:rsid w:val="00DA4AB9"/>
    <w:rsid w:val="00DA4E53"/>
    <w:rsid w:val="00DA5C61"/>
    <w:rsid w:val="00DA5EBB"/>
    <w:rsid w:val="00DA7E9E"/>
    <w:rsid w:val="00DB08BC"/>
    <w:rsid w:val="00DB12C5"/>
    <w:rsid w:val="00DB42C7"/>
    <w:rsid w:val="00DB4D60"/>
    <w:rsid w:val="00DB519A"/>
    <w:rsid w:val="00DB5CCC"/>
    <w:rsid w:val="00DB6B14"/>
    <w:rsid w:val="00DC0FA4"/>
    <w:rsid w:val="00DC2CD9"/>
    <w:rsid w:val="00DC2FBF"/>
    <w:rsid w:val="00DC4763"/>
    <w:rsid w:val="00DC4792"/>
    <w:rsid w:val="00DC7D07"/>
    <w:rsid w:val="00DD04E9"/>
    <w:rsid w:val="00DD0CA8"/>
    <w:rsid w:val="00DD3AF9"/>
    <w:rsid w:val="00DD51DC"/>
    <w:rsid w:val="00DD6054"/>
    <w:rsid w:val="00DD7BE3"/>
    <w:rsid w:val="00DE0849"/>
    <w:rsid w:val="00DE2EE9"/>
    <w:rsid w:val="00DE3C64"/>
    <w:rsid w:val="00DE41F7"/>
    <w:rsid w:val="00DE4FB8"/>
    <w:rsid w:val="00DE7BD5"/>
    <w:rsid w:val="00DF0FCE"/>
    <w:rsid w:val="00DF2117"/>
    <w:rsid w:val="00DF2AF7"/>
    <w:rsid w:val="00DF2CA0"/>
    <w:rsid w:val="00DF31F5"/>
    <w:rsid w:val="00DF337F"/>
    <w:rsid w:val="00DF5B05"/>
    <w:rsid w:val="00DF60B9"/>
    <w:rsid w:val="00DF6F62"/>
    <w:rsid w:val="00E063A5"/>
    <w:rsid w:val="00E10EDD"/>
    <w:rsid w:val="00E12236"/>
    <w:rsid w:val="00E130AA"/>
    <w:rsid w:val="00E153DB"/>
    <w:rsid w:val="00E1592C"/>
    <w:rsid w:val="00E203CD"/>
    <w:rsid w:val="00E2106F"/>
    <w:rsid w:val="00E23086"/>
    <w:rsid w:val="00E23785"/>
    <w:rsid w:val="00E24A10"/>
    <w:rsid w:val="00E25A06"/>
    <w:rsid w:val="00E25E96"/>
    <w:rsid w:val="00E26AA5"/>
    <w:rsid w:val="00E3006B"/>
    <w:rsid w:val="00E335F1"/>
    <w:rsid w:val="00E33787"/>
    <w:rsid w:val="00E34A79"/>
    <w:rsid w:val="00E34C47"/>
    <w:rsid w:val="00E34DF9"/>
    <w:rsid w:val="00E372E9"/>
    <w:rsid w:val="00E37A38"/>
    <w:rsid w:val="00E430BD"/>
    <w:rsid w:val="00E44496"/>
    <w:rsid w:val="00E47DA6"/>
    <w:rsid w:val="00E50DAF"/>
    <w:rsid w:val="00E54190"/>
    <w:rsid w:val="00E60016"/>
    <w:rsid w:val="00E6221C"/>
    <w:rsid w:val="00E62B81"/>
    <w:rsid w:val="00E6325E"/>
    <w:rsid w:val="00E6687B"/>
    <w:rsid w:val="00E7294B"/>
    <w:rsid w:val="00E73019"/>
    <w:rsid w:val="00E80312"/>
    <w:rsid w:val="00E804AE"/>
    <w:rsid w:val="00E81791"/>
    <w:rsid w:val="00E81EA6"/>
    <w:rsid w:val="00E90D6E"/>
    <w:rsid w:val="00E91237"/>
    <w:rsid w:val="00E92173"/>
    <w:rsid w:val="00E9311A"/>
    <w:rsid w:val="00E9347F"/>
    <w:rsid w:val="00E93802"/>
    <w:rsid w:val="00E95FBF"/>
    <w:rsid w:val="00EA078F"/>
    <w:rsid w:val="00EA1C4B"/>
    <w:rsid w:val="00EA1DD2"/>
    <w:rsid w:val="00EA274D"/>
    <w:rsid w:val="00EB2C2C"/>
    <w:rsid w:val="00EB5B09"/>
    <w:rsid w:val="00EB5E82"/>
    <w:rsid w:val="00EB6E51"/>
    <w:rsid w:val="00EB7B12"/>
    <w:rsid w:val="00EC16FB"/>
    <w:rsid w:val="00EC6C62"/>
    <w:rsid w:val="00EC75FD"/>
    <w:rsid w:val="00EC7CD2"/>
    <w:rsid w:val="00ED19B7"/>
    <w:rsid w:val="00ED245D"/>
    <w:rsid w:val="00ED3A13"/>
    <w:rsid w:val="00ED4793"/>
    <w:rsid w:val="00ED51D9"/>
    <w:rsid w:val="00ED5411"/>
    <w:rsid w:val="00ED5B42"/>
    <w:rsid w:val="00EE0213"/>
    <w:rsid w:val="00EE4F53"/>
    <w:rsid w:val="00EE7670"/>
    <w:rsid w:val="00EE7EB5"/>
    <w:rsid w:val="00EF355D"/>
    <w:rsid w:val="00EF6C85"/>
    <w:rsid w:val="00F026FA"/>
    <w:rsid w:val="00F02794"/>
    <w:rsid w:val="00F032B0"/>
    <w:rsid w:val="00F03325"/>
    <w:rsid w:val="00F035A9"/>
    <w:rsid w:val="00F061B5"/>
    <w:rsid w:val="00F0729E"/>
    <w:rsid w:val="00F10761"/>
    <w:rsid w:val="00F11E69"/>
    <w:rsid w:val="00F1602D"/>
    <w:rsid w:val="00F16ACF"/>
    <w:rsid w:val="00F17E1D"/>
    <w:rsid w:val="00F25799"/>
    <w:rsid w:val="00F25BD5"/>
    <w:rsid w:val="00F34357"/>
    <w:rsid w:val="00F34F3F"/>
    <w:rsid w:val="00F37A02"/>
    <w:rsid w:val="00F40B94"/>
    <w:rsid w:val="00F4135D"/>
    <w:rsid w:val="00F41679"/>
    <w:rsid w:val="00F41717"/>
    <w:rsid w:val="00F433DB"/>
    <w:rsid w:val="00F4410E"/>
    <w:rsid w:val="00F448E2"/>
    <w:rsid w:val="00F54A6D"/>
    <w:rsid w:val="00F54C7F"/>
    <w:rsid w:val="00F55903"/>
    <w:rsid w:val="00F56E40"/>
    <w:rsid w:val="00F573EC"/>
    <w:rsid w:val="00F57F8E"/>
    <w:rsid w:val="00F62D06"/>
    <w:rsid w:val="00F63EDC"/>
    <w:rsid w:val="00F65845"/>
    <w:rsid w:val="00F66278"/>
    <w:rsid w:val="00F66D96"/>
    <w:rsid w:val="00F67273"/>
    <w:rsid w:val="00F70396"/>
    <w:rsid w:val="00F74C87"/>
    <w:rsid w:val="00F75F1E"/>
    <w:rsid w:val="00F77573"/>
    <w:rsid w:val="00F80660"/>
    <w:rsid w:val="00F80C60"/>
    <w:rsid w:val="00F81A31"/>
    <w:rsid w:val="00F82610"/>
    <w:rsid w:val="00F85B51"/>
    <w:rsid w:val="00F85C82"/>
    <w:rsid w:val="00F87529"/>
    <w:rsid w:val="00F90721"/>
    <w:rsid w:val="00F90E5D"/>
    <w:rsid w:val="00F9239E"/>
    <w:rsid w:val="00F945B0"/>
    <w:rsid w:val="00F94D5D"/>
    <w:rsid w:val="00F95109"/>
    <w:rsid w:val="00FA0B5B"/>
    <w:rsid w:val="00FA1C0D"/>
    <w:rsid w:val="00FA2674"/>
    <w:rsid w:val="00FA474C"/>
    <w:rsid w:val="00FA4F59"/>
    <w:rsid w:val="00FA6D58"/>
    <w:rsid w:val="00FA770D"/>
    <w:rsid w:val="00FA7AA5"/>
    <w:rsid w:val="00FB0E61"/>
    <w:rsid w:val="00FB187F"/>
    <w:rsid w:val="00FB221B"/>
    <w:rsid w:val="00FB3A94"/>
    <w:rsid w:val="00FB3B9B"/>
    <w:rsid w:val="00FB4430"/>
    <w:rsid w:val="00FB4C6F"/>
    <w:rsid w:val="00FB5475"/>
    <w:rsid w:val="00FB5F1D"/>
    <w:rsid w:val="00FB63E9"/>
    <w:rsid w:val="00FC0D47"/>
    <w:rsid w:val="00FC0ED1"/>
    <w:rsid w:val="00FC3191"/>
    <w:rsid w:val="00FC60B8"/>
    <w:rsid w:val="00FD17E9"/>
    <w:rsid w:val="00FD1BD5"/>
    <w:rsid w:val="00FD43CF"/>
    <w:rsid w:val="00FD4584"/>
    <w:rsid w:val="00FE1001"/>
    <w:rsid w:val="00FE168B"/>
    <w:rsid w:val="00FE234E"/>
    <w:rsid w:val="00FE2CB3"/>
    <w:rsid w:val="00FE3B7B"/>
    <w:rsid w:val="00FE546B"/>
    <w:rsid w:val="00FE54CE"/>
    <w:rsid w:val="00FE67B0"/>
    <w:rsid w:val="00FF1160"/>
    <w:rsid w:val="00FF3DF1"/>
    <w:rsid w:val="00FF424F"/>
    <w:rsid w:val="00FF5A6F"/>
    <w:rsid w:val="00FF7711"/>
  </w:rsids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518246-7292-4165-8650-17252899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0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A70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aliases w:val="ECDC AF Heading 1"/>
    <w:basedOn w:val="Normal"/>
    <w:next w:val="Normal"/>
    <w:link w:val="Heading1Char"/>
    <w:qFormat/>
    <w:rsid w:val="00DA3A70"/>
    <w:pPr>
      <w:keepNext/>
      <w:spacing w:after="0" w:line="240" w:lineRule="auto"/>
      <w:outlineLvl w:val="0"/>
    </w:pPr>
    <w:rPr>
      <w:rFonts w:ascii="Times New Roman" w:eastAsia="MS Mincho" w:hAnsi="Times New Roman"/>
      <w:b/>
      <w:sz w:val="24"/>
      <w:szCs w:val="24"/>
    </w:rPr>
  </w:style>
  <w:style w:type="paragraph" w:styleId="Heading2">
    <w:name w:val="heading 2"/>
    <w:aliases w:val="ECDC AF Heading 2"/>
    <w:basedOn w:val="Normal"/>
    <w:next w:val="Paragrafoelenco1"/>
    <w:link w:val="Heading2Char"/>
    <w:autoRedefine/>
    <w:uiPriority w:val="9"/>
    <w:qFormat/>
    <w:rsid w:val="00DA3A70"/>
    <w:pPr>
      <w:keepNext/>
      <w:keepLines/>
      <w:spacing w:before="240" w:after="240" w:line="240" w:lineRule="auto"/>
      <w:jc w:val="both"/>
      <w:outlineLvl w:val="1"/>
    </w:pPr>
    <w:rPr>
      <w:rFonts w:ascii="Tahoma" w:hAnsi="Tahoma"/>
      <w:b/>
      <w:bCs/>
      <w:i/>
      <w:color w:val="008000"/>
      <w:sz w:val="26"/>
      <w:szCs w:val="26"/>
    </w:rPr>
  </w:style>
  <w:style w:type="paragraph" w:styleId="Heading3">
    <w:name w:val="heading 3"/>
    <w:aliases w:val="ECDC AF Heading 3"/>
    <w:basedOn w:val="Normal"/>
    <w:next w:val="Normal"/>
    <w:link w:val="Heading3Char"/>
    <w:autoRedefine/>
    <w:uiPriority w:val="9"/>
    <w:qFormat/>
    <w:rsid w:val="00DA3A70"/>
    <w:pPr>
      <w:keepNext/>
      <w:keepLines/>
      <w:spacing w:before="240" w:after="240" w:line="240" w:lineRule="auto"/>
      <w:outlineLvl w:val="2"/>
    </w:pPr>
    <w:rPr>
      <w:rFonts w:ascii="Tahoma" w:hAnsi="Tahoma"/>
      <w:b/>
      <w:bCs/>
      <w:color w:val="1F497D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1D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8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CDC AF Heading 1 Char"/>
    <w:link w:val="Heading1"/>
    <w:rsid w:val="00DA3A70"/>
    <w:rPr>
      <w:rFonts w:ascii="Times New Roman" w:eastAsia="MS Mincho" w:hAnsi="Times New Roman" w:cs="Times New Roman"/>
      <w:b/>
      <w:sz w:val="24"/>
      <w:szCs w:val="24"/>
      <w:lang w:eastAsia="mt-MT"/>
    </w:rPr>
  </w:style>
  <w:style w:type="character" w:customStyle="1" w:styleId="Heading2Char">
    <w:name w:val="Heading 2 Char"/>
    <w:aliases w:val="ECDC AF Heading 2 Char"/>
    <w:link w:val="Heading2"/>
    <w:uiPriority w:val="9"/>
    <w:rsid w:val="00DA3A70"/>
    <w:rPr>
      <w:rFonts w:ascii="Tahoma" w:eastAsia="Times New Roman" w:hAnsi="Tahoma" w:cs="Times New Roman"/>
      <w:b/>
      <w:bCs/>
      <w:i/>
      <w:color w:val="008000"/>
      <w:sz w:val="26"/>
      <w:szCs w:val="26"/>
    </w:rPr>
  </w:style>
  <w:style w:type="character" w:customStyle="1" w:styleId="Heading3Char">
    <w:name w:val="Heading 3 Char"/>
    <w:aliases w:val="ECDC AF Heading 3 Char"/>
    <w:link w:val="Heading3"/>
    <w:uiPriority w:val="9"/>
    <w:rsid w:val="00DA3A70"/>
    <w:rPr>
      <w:rFonts w:ascii="Tahoma" w:eastAsia="Times New Roman" w:hAnsi="Tahoma" w:cs="Times New Roman"/>
      <w:b/>
      <w:bCs/>
      <w:color w:val="1F497D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A3A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3A70"/>
    <w:rPr>
      <w:rFonts w:ascii="Tahoma" w:eastAsia="Times New Roman" w:hAnsi="Tahoma" w:cs="Times New Roman"/>
      <w:sz w:val="16"/>
      <w:szCs w:val="16"/>
      <w:lang w:val="mt-MT" w:eastAsia="mt-MT"/>
    </w:rPr>
  </w:style>
  <w:style w:type="paragraph" w:customStyle="1" w:styleId="ListParagraph1">
    <w:name w:val="List Paragraph1"/>
    <w:basedOn w:val="Normal"/>
    <w:uiPriority w:val="34"/>
    <w:qFormat/>
    <w:rsid w:val="00DA3A70"/>
    <w:pPr>
      <w:ind w:left="720"/>
      <w:contextualSpacing/>
    </w:pPr>
  </w:style>
  <w:style w:type="character" w:styleId="Hyperlink">
    <w:name w:val="Hyperlink"/>
    <w:rsid w:val="00DA3A70"/>
    <w:rPr>
      <w:color w:val="0000FF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DA3A7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uiPriority w:val="99"/>
    <w:rsid w:val="00DA3A70"/>
    <w:rPr>
      <w:rFonts w:eastAsia="Times New Roman" w:cs="Times New Roman"/>
      <w:lang w:val="mt-MT" w:eastAsia="mt-MT"/>
    </w:rPr>
  </w:style>
  <w:style w:type="character" w:customStyle="1" w:styleId="CommentTextChar1">
    <w:name w:val="Comment Text Char1"/>
    <w:link w:val="CommentText"/>
    <w:uiPriority w:val="99"/>
    <w:rsid w:val="00DA3A70"/>
    <w:rPr>
      <w:rFonts w:ascii="Calibri" w:eastAsia="Calibri" w:hAnsi="Calibri" w:cs="Times New Roman"/>
      <w:sz w:val="20"/>
      <w:szCs w:val="20"/>
      <w:lang w:val="mt-M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A3A70"/>
    <w:rPr>
      <w:rFonts w:ascii="Courier New" w:eastAsia="Times New Roman" w:hAnsi="Courier New" w:cs="Times New Roman"/>
      <w:sz w:val="20"/>
      <w:szCs w:val="20"/>
      <w:lang w:val="mt-MT" w:eastAsia="mt-MT"/>
    </w:rPr>
  </w:style>
  <w:style w:type="character" w:styleId="CommentReference">
    <w:name w:val="annotation reference"/>
    <w:uiPriority w:val="99"/>
    <w:semiHidden/>
    <w:unhideWhenUsed/>
    <w:rsid w:val="00DA3A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A70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3A70"/>
    <w:rPr>
      <w:rFonts w:ascii="Calibri" w:eastAsia="Calibri" w:hAnsi="Calibri" w:cs="Times New Roman"/>
      <w:b/>
      <w:bCs/>
      <w:sz w:val="20"/>
      <w:szCs w:val="20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DA3A7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DA3A70"/>
    <w:rPr>
      <w:rFonts w:ascii="Calibri" w:eastAsia="Times New Roman" w:hAnsi="Calibri" w:cs="Times New Roman"/>
      <w:lang w:val="mt-MT" w:eastAsia="mt-MT"/>
    </w:rPr>
  </w:style>
  <w:style w:type="paragraph" w:styleId="Footer">
    <w:name w:val="footer"/>
    <w:basedOn w:val="Normal"/>
    <w:link w:val="FooterChar"/>
    <w:uiPriority w:val="99"/>
    <w:unhideWhenUsed/>
    <w:rsid w:val="00DA3A7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DA3A70"/>
    <w:rPr>
      <w:rFonts w:ascii="Calibri" w:eastAsia="Times New Roman" w:hAnsi="Calibri" w:cs="Times New Roman"/>
      <w:lang w:val="mt-MT" w:eastAsia="mt-MT"/>
    </w:rPr>
  </w:style>
  <w:style w:type="paragraph" w:styleId="FootnoteText">
    <w:name w:val="footnote text"/>
    <w:basedOn w:val="Normal"/>
    <w:link w:val="FootnoteTextChar"/>
    <w:unhideWhenUsed/>
    <w:rsid w:val="00DA3A70"/>
    <w:rPr>
      <w:sz w:val="20"/>
      <w:szCs w:val="20"/>
    </w:rPr>
  </w:style>
  <w:style w:type="character" w:customStyle="1" w:styleId="FootnoteTextChar">
    <w:name w:val="Footnote Text Char"/>
    <w:link w:val="FootnoteText"/>
    <w:rsid w:val="00DA3A70"/>
    <w:rPr>
      <w:rFonts w:ascii="Calibri" w:eastAsia="Times New Roman" w:hAnsi="Calibri" w:cs="Times New Roman"/>
      <w:sz w:val="20"/>
      <w:szCs w:val="20"/>
      <w:lang w:val="mt-MT" w:eastAsia="mt-MT"/>
    </w:rPr>
  </w:style>
  <w:style w:type="character" w:styleId="FootnoteReference">
    <w:name w:val="footnote reference"/>
    <w:unhideWhenUsed/>
    <w:rsid w:val="00DA3A70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3A7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DA3A70"/>
    <w:rPr>
      <w:rFonts w:ascii="Consolas" w:eastAsia="Calibri" w:hAnsi="Consolas" w:cs="Times New Roman"/>
      <w:sz w:val="21"/>
      <w:szCs w:val="21"/>
      <w:lang w:val="mt-MT"/>
    </w:rPr>
  </w:style>
  <w:style w:type="paragraph" w:customStyle="1" w:styleId="Revision1">
    <w:name w:val="Revision1"/>
    <w:hidden/>
    <w:uiPriority w:val="99"/>
    <w:semiHidden/>
    <w:rsid w:val="00DA3A70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DA3A70"/>
    <w:rPr>
      <w:i/>
      <w:iCs/>
    </w:rPr>
  </w:style>
  <w:style w:type="character" w:styleId="Strong">
    <w:name w:val="Strong"/>
    <w:uiPriority w:val="22"/>
    <w:qFormat/>
    <w:rsid w:val="00DA3A70"/>
    <w:rPr>
      <w:b/>
      <w:bCs/>
    </w:rPr>
  </w:style>
  <w:style w:type="character" w:customStyle="1" w:styleId="cit-sep3">
    <w:name w:val="cit-sep3"/>
    <w:basedOn w:val="DefaultParagraphFont"/>
    <w:rsid w:val="00DA3A70"/>
  </w:style>
  <w:style w:type="character" w:styleId="HTMLCite">
    <w:name w:val="HTML Cite"/>
    <w:uiPriority w:val="99"/>
    <w:semiHidden/>
    <w:unhideWhenUsed/>
    <w:rsid w:val="00DA3A70"/>
    <w:rPr>
      <w:i/>
      <w:iCs/>
    </w:rPr>
  </w:style>
  <w:style w:type="character" w:customStyle="1" w:styleId="cit-title3">
    <w:name w:val="cit-title3"/>
    <w:basedOn w:val="DefaultParagraphFont"/>
    <w:rsid w:val="00DA3A70"/>
  </w:style>
  <w:style w:type="character" w:customStyle="1" w:styleId="cit-print-date">
    <w:name w:val="cit-print-date"/>
    <w:basedOn w:val="DefaultParagraphFont"/>
    <w:rsid w:val="00DA3A70"/>
  </w:style>
  <w:style w:type="character" w:customStyle="1" w:styleId="cit-vol">
    <w:name w:val="cit-vol"/>
    <w:basedOn w:val="DefaultParagraphFont"/>
    <w:rsid w:val="00DA3A70"/>
  </w:style>
  <w:style w:type="character" w:customStyle="1" w:styleId="cit-first-page">
    <w:name w:val="cit-first-page"/>
    <w:basedOn w:val="DefaultParagraphFont"/>
    <w:rsid w:val="00DA3A70"/>
  </w:style>
  <w:style w:type="character" w:customStyle="1" w:styleId="cit-last-page">
    <w:name w:val="cit-last-page"/>
    <w:basedOn w:val="DefaultParagraphFont"/>
    <w:rsid w:val="00DA3A70"/>
  </w:style>
  <w:style w:type="character" w:customStyle="1" w:styleId="search-result-highlight1">
    <w:name w:val="search-result-highlight1"/>
    <w:rsid w:val="00DA3A70"/>
    <w:rPr>
      <w:b/>
      <w:bCs/>
      <w:color w:val="CC0000"/>
    </w:rPr>
  </w:style>
  <w:style w:type="character" w:customStyle="1" w:styleId="cit-auth2">
    <w:name w:val="cit-auth2"/>
    <w:basedOn w:val="DefaultParagraphFont"/>
    <w:rsid w:val="00DA3A70"/>
  </w:style>
  <w:style w:type="character" w:customStyle="1" w:styleId="cit-sep4">
    <w:name w:val="cit-sep4"/>
    <w:basedOn w:val="DefaultParagraphFont"/>
    <w:rsid w:val="00DA3A70"/>
  </w:style>
  <w:style w:type="character" w:customStyle="1" w:styleId="cit-title9">
    <w:name w:val="cit-title9"/>
    <w:basedOn w:val="DefaultParagraphFont"/>
    <w:rsid w:val="00DA3A70"/>
  </w:style>
  <w:style w:type="character" w:customStyle="1" w:styleId="cit-subtitle">
    <w:name w:val="cit-subtitle"/>
    <w:basedOn w:val="DefaultParagraphFont"/>
    <w:rsid w:val="00DA3A70"/>
  </w:style>
  <w:style w:type="character" w:customStyle="1" w:styleId="cit-vol2">
    <w:name w:val="cit-vol2"/>
    <w:basedOn w:val="DefaultParagraphFont"/>
    <w:rsid w:val="00DA3A70"/>
  </w:style>
  <w:style w:type="character" w:customStyle="1" w:styleId="cit-issue">
    <w:name w:val="cit-issue"/>
    <w:basedOn w:val="DefaultParagraphFont"/>
    <w:rsid w:val="00DA3A70"/>
  </w:style>
  <w:style w:type="character" w:customStyle="1" w:styleId="cit-last-page2">
    <w:name w:val="cit-last-page2"/>
    <w:basedOn w:val="DefaultParagraphFont"/>
    <w:rsid w:val="00DA3A70"/>
  </w:style>
  <w:style w:type="paragraph" w:customStyle="1" w:styleId="Pa4">
    <w:name w:val="Pa4"/>
    <w:basedOn w:val="Normal"/>
    <w:next w:val="Normal"/>
    <w:uiPriority w:val="99"/>
    <w:rsid w:val="00DA3A70"/>
    <w:pPr>
      <w:autoSpaceDE w:val="0"/>
      <w:autoSpaceDN w:val="0"/>
      <w:adjustRightInd w:val="0"/>
      <w:spacing w:after="0" w:line="201" w:lineRule="atLeast"/>
    </w:pPr>
    <w:rPr>
      <w:rFonts w:ascii="Minion Pro" w:eastAsia="MS Mincho" w:hAnsi="Minion Pro"/>
      <w:sz w:val="24"/>
      <w:szCs w:val="24"/>
    </w:rPr>
  </w:style>
  <w:style w:type="character" w:customStyle="1" w:styleId="ja50-ce-author1">
    <w:name w:val="ja50-ce-author1"/>
    <w:rsid w:val="00DA3A70"/>
    <w:rPr>
      <w:color w:val="808080"/>
      <w:sz w:val="23"/>
      <w:szCs w:val="23"/>
    </w:rPr>
  </w:style>
  <w:style w:type="character" w:customStyle="1" w:styleId="ja50-ce-title2">
    <w:name w:val="ja50-ce-title2"/>
    <w:rsid w:val="00DA3A70"/>
    <w:rPr>
      <w:b/>
      <w:bCs/>
      <w:color w:val="000000"/>
      <w:sz w:val="24"/>
      <w:szCs w:val="24"/>
    </w:rPr>
  </w:style>
  <w:style w:type="paragraph" w:customStyle="1" w:styleId="Elencoacolori-Colore11">
    <w:name w:val="Elenco a colori - Colore 11"/>
    <w:basedOn w:val="Normal"/>
    <w:uiPriority w:val="34"/>
    <w:qFormat/>
    <w:rsid w:val="00DA3A70"/>
    <w:pPr>
      <w:ind w:left="720"/>
      <w:contextualSpacing/>
    </w:pPr>
  </w:style>
  <w:style w:type="paragraph" w:customStyle="1" w:styleId="Elencoacolori-Colore12">
    <w:name w:val="Elenco a colori - Colore 12"/>
    <w:basedOn w:val="Normal"/>
    <w:qFormat/>
    <w:rsid w:val="00DA3A70"/>
    <w:pPr>
      <w:ind w:left="720"/>
      <w:contextualSpacing/>
    </w:pPr>
  </w:style>
  <w:style w:type="table" w:styleId="TableGrid">
    <w:name w:val="Table Grid"/>
    <w:basedOn w:val="TableNormal"/>
    <w:uiPriority w:val="39"/>
    <w:rsid w:val="00DA3A70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Accent3">
    <w:name w:val="Medium Grid 3 Accent 3"/>
    <w:basedOn w:val="TableNormal"/>
    <w:uiPriority w:val="60"/>
    <w:rsid w:val="00DA3A70"/>
    <w:pPr>
      <w:spacing w:after="0" w:line="240" w:lineRule="auto"/>
    </w:pPr>
    <w:rPr>
      <w:rFonts w:ascii="Tahoma" w:eastAsia="Calibri" w:hAnsi="Tahoma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TOCHeading">
    <w:name w:val="TOC Heading"/>
    <w:basedOn w:val="Heading1"/>
    <w:next w:val="Normal"/>
    <w:uiPriority w:val="39"/>
    <w:qFormat/>
    <w:rsid w:val="00DA3A70"/>
    <w:pPr>
      <w:keepLines/>
      <w:spacing w:before="240" w:after="600"/>
      <w:jc w:val="center"/>
      <w:outlineLvl w:val="9"/>
    </w:pPr>
    <w:rPr>
      <w:rFonts w:ascii="Tahoma" w:eastAsia="Times New Roman" w:hAnsi="Tahoma"/>
      <w:bCs/>
      <w:color w:val="008000"/>
      <w:sz w:val="28"/>
      <w:szCs w:val="28"/>
    </w:rPr>
  </w:style>
  <w:style w:type="paragraph" w:styleId="Title">
    <w:name w:val="Title"/>
    <w:aliases w:val="ECDC AF Title"/>
    <w:basedOn w:val="Normal"/>
    <w:next w:val="Normal"/>
    <w:link w:val="TitleChar"/>
    <w:autoRedefine/>
    <w:uiPriority w:val="10"/>
    <w:qFormat/>
    <w:rsid w:val="00DA3A70"/>
    <w:pPr>
      <w:spacing w:before="240" w:after="360" w:line="240" w:lineRule="auto"/>
      <w:jc w:val="center"/>
    </w:pPr>
    <w:rPr>
      <w:rFonts w:ascii="Tahoma" w:hAnsi="Tahoma"/>
      <w:b/>
      <w:spacing w:val="5"/>
      <w:kern w:val="28"/>
      <w:sz w:val="28"/>
      <w:szCs w:val="52"/>
    </w:rPr>
  </w:style>
  <w:style w:type="character" w:customStyle="1" w:styleId="TitleChar">
    <w:name w:val="Title Char"/>
    <w:aliases w:val="ECDC AF Title Char"/>
    <w:link w:val="Title"/>
    <w:uiPriority w:val="10"/>
    <w:rsid w:val="00DA3A70"/>
    <w:rPr>
      <w:rFonts w:ascii="Tahoma" w:eastAsia="Times New Roman" w:hAnsi="Tahoma" w:cs="Times New Roman"/>
      <w:b/>
      <w:spacing w:val="5"/>
      <w:kern w:val="28"/>
      <w:sz w:val="28"/>
      <w:szCs w:val="52"/>
    </w:rPr>
  </w:style>
  <w:style w:type="paragraph" w:customStyle="1" w:styleId="Paragrafoelenco1">
    <w:name w:val="Paragrafo elenco1"/>
    <w:aliases w:val="ECDC AF Paragraph"/>
    <w:basedOn w:val="Normal"/>
    <w:autoRedefine/>
    <w:uiPriority w:val="34"/>
    <w:qFormat/>
    <w:rsid w:val="00DA3A70"/>
    <w:pPr>
      <w:numPr>
        <w:numId w:val="7"/>
      </w:numPr>
      <w:tabs>
        <w:tab w:val="left" w:pos="567"/>
      </w:tabs>
      <w:spacing w:before="120" w:after="120" w:line="240" w:lineRule="auto"/>
      <w:ind w:left="0" w:firstLine="0"/>
      <w:jc w:val="both"/>
    </w:pPr>
    <w:rPr>
      <w:rFonts w:ascii="Tahoma" w:eastAsia="Calibri" w:hAnsi="Tahoma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A3A70"/>
    <w:pPr>
      <w:spacing w:before="120" w:after="100" w:line="240" w:lineRule="auto"/>
    </w:pPr>
    <w:rPr>
      <w:rFonts w:ascii="Tahoma" w:eastAsia="Calibri" w:hAnsi="Tahom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A3A70"/>
    <w:pPr>
      <w:spacing w:before="120" w:after="100" w:line="240" w:lineRule="auto"/>
      <w:ind w:left="200"/>
    </w:pPr>
    <w:rPr>
      <w:rFonts w:ascii="Tahoma" w:eastAsia="Calibri" w:hAnsi="Tahom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A3A70"/>
    <w:pPr>
      <w:spacing w:before="120" w:after="100" w:line="240" w:lineRule="auto"/>
      <w:ind w:left="400"/>
    </w:pPr>
    <w:rPr>
      <w:rFonts w:ascii="Tahoma" w:eastAsia="Calibri" w:hAnsi="Tahoma"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DA3A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DA3A7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DA3A70"/>
    <w:rPr>
      <w:rFonts w:ascii="Times New Roman" w:hAnsi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A3A70"/>
    <w:pPr>
      <w:spacing w:after="0"/>
      <w:jc w:val="center"/>
    </w:pPr>
    <w:rPr>
      <w:noProof/>
      <w:sz w:val="20"/>
    </w:rPr>
  </w:style>
  <w:style w:type="character" w:customStyle="1" w:styleId="EndNoteBibliographyTitleChar">
    <w:name w:val="EndNote Bibliography Title Char"/>
    <w:link w:val="EndNoteBibliographyTitle"/>
    <w:rsid w:val="00DA3A70"/>
    <w:rPr>
      <w:rFonts w:ascii="Calibri" w:eastAsia="Times New Roman" w:hAnsi="Calibri" w:cs="Times New Roman"/>
      <w:noProof/>
      <w:sz w:val="20"/>
      <w:lang w:val="mt-MT" w:eastAsia="mt-MT"/>
    </w:rPr>
  </w:style>
  <w:style w:type="paragraph" w:customStyle="1" w:styleId="EndNoteBibliography">
    <w:name w:val="EndNote Bibliography"/>
    <w:basedOn w:val="Normal"/>
    <w:link w:val="EndNoteBibliographyChar"/>
    <w:rsid w:val="00DA3A70"/>
    <w:pPr>
      <w:spacing w:line="240" w:lineRule="auto"/>
      <w:jc w:val="both"/>
    </w:pPr>
    <w:rPr>
      <w:noProof/>
      <w:sz w:val="20"/>
    </w:rPr>
  </w:style>
  <w:style w:type="character" w:customStyle="1" w:styleId="EndNoteBibliographyChar">
    <w:name w:val="EndNote Bibliography Char"/>
    <w:link w:val="EndNoteBibliography"/>
    <w:rsid w:val="00DA3A70"/>
    <w:rPr>
      <w:rFonts w:ascii="Calibri" w:eastAsia="Times New Roman" w:hAnsi="Calibri" w:cs="Times New Roman"/>
      <w:noProof/>
      <w:sz w:val="20"/>
      <w:lang w:val="mt-MT" w:eastAsia="mt-MT"/>
    </w:rPr>
  </w:style>
  <w:style w:type="character" w:styleId="FollowedHyperlink">
    <w:name w:val="FollowedHyperlink"/>
    <w:uiPriority w:val="99"/>
    <w:semiHidden/>
    <w:unhideWhenUsed/>
    <w:rsid w:val="00DA3A70"/>
    <w:rPr>
      <w:color w:val="954F72"/>
      <w:u w:val="single"/>
    </w:rPr>
  </w:style>
  <w:style w:type="paragraph" w:customStyle="1" w:styleId="MediumGrid21">
    <w:name w:val="Medium Grid 21"/>
    <w:uiPriority w:val="1"/>
    <w:qFormat/>
    <w:rsid w:val="00DA3A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Hyperlink0">
    <w:name w:val="Hyperlink.0"/>
    <w:rsid w:val="00DA3A70"/>
  </w:style>
  <w:style w:type="character" w:customStyle="1" w:styleId="hide1">
    <w:name w:val="hide1"/>
    <w:rsid w:val="00DA3A70"/>
    <w:rPr>
      <w:vanish/>
      <w:webHidden w:val="0"/>
      <w:specVanish w:val="0"/>
    </w:rPr>
  </w:style>
  <w:style w:type="paragraph" w:customStyle="1" w:styleId="Default">
    <w:name w:val="Default"/>
    <w:rsid w:val="00DA3A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DA3A70"/>
    <w:pPr>
      <w:ind w:left="720"/>
    </w:pPr>
  </w:style>
  <w:style w:type="table" w:customStyle="1" w:styleId="GridTable4-Accent31">
    <w:name w:val="Grid Table 4 - Accent 31"/>
    <w:basedOn w:val="TableNormal"/>
    <w:next w:val="GridTable4-Accent32"/>
    <w:uiPriority w:val="49"/>
    <w:rsid w:val="00DA3A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2">
    <w:name w:val="Grid Table 4 - Accent 32"/>
    <w:basedOn w:val="TableNormal"/>
    <w:uiPriority w:val="49"/>
    <w:rsid w:val="00DA3A7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m2344583173576020509msolistparagraph">
    <w:name w:val="m_2344583173576020509msolistparagraph"/>
    <w:basedOn w:val="Normal"/>
    <w:rsid w:val="00DA3A7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table" w:styleId="MediumShading2Accent4">
    <w:name w:val="Medium Shading 2 Accent 4"/>
    <w:basedOn w:val="TableNormal"/>
    <w:uiPriority w:val="60"/>
    <w:rsid w:val="00DA3A70"/>
    <w:pPr>
      <w:spacing w:after="0" w:line="240" w:lineRule="auto"/>
    </w:pPr>
    <w:rPr>
      <w:rFonts w:ascii="Tahoma" w:eastAsia="Calibri" w:hAnsi="Tahoma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odyText">
    <w:name w:val="Body Text"/>
    <w:basedOn w:val="Normal"/>
    <w:link w:val="BodyTextChar"/>
    <w:uiPriority w:val="1"/>
    <w:qFormat/>
    <w:rsid w:val="00DA3A70"/>
    <w:pPr>
      <w:widowControl w:val="0"/>
      <w:spacing w:after="0" w:line="240" w:lineRule="auto"/>
    </w:pPr>
    <w:rPr>
      <w:rFonts w:eastAsia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A3A70"/>
    <w:rPr>
      <w:rFonts w:ascii="Calibri" w:eastAsia="Calibri" w:hAnsi="Calibri" w:cs="Calibri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rsid w:val="00EA1DD2"/>
    <w:rPr>
      <w:rFonts w:asciiTheme="majorHAnsi" w:eastAsiaTheme="majorEastAsia" w:hAnsiTheme="majorHAnsi" w:cstheme="majorBidi"/>
      <w:i/>
      <w:iCs/>
      <w:color w:val="2E74B5" w:themeColor="accent1" w:themeShade="BF"/>
      <w:lang w:val="mt-MT" w:eastAsia="mt-MT"/>
    </w:rPr>
  </w:style>
  <w:style w:type="character" w:customStyle="1" w:styleId="Heading5Char">
    <w:name w:val="Heading 5 Char"/>
    <w:basedOn w:val="DefaultParagraphFont"/>
    <w:link w:val="Heading5"/>
    <w:uiPriority w:val="9"/>
    <w:rsid w:val="00E93802"/>
    <w:rPr>
      <w:rFonts w:asciiTheme="majorHAnsi" w:eastAsiaTheme="majorEastAsia" w:hAnsiTheme="majorHAnsi" w:cstheme="majorBidi"/>
      <w:color w:val="2E74B5" w:themeColor="accent1" w:themeShade="BF"/>
      <w:lang w:val="mt-MT" w:eastAsia="mt-MT"/>
    </w:rPr>
  </w:style>
  <w:style w:type="paragraph" w:customStyle="1" w:styleId="EC-Title-5">
    <w:name w:val="EC-Title-5"/>
    <w:next w:val="Normal"/>
    <w:link w:val="EC-Title-5CharChar"/>
    <w:qFormat/>
    <w:rsid w:val="00E93802"/>
    <w:pPr>
      <w:autoSpaceDE w:val="0"/>
      <w:autoSpaceDN w:val="0"/>
      <w:adjustRightInd w:val="0"/>
      <w:spacing w:before="240" w:after="120" w:line="241" w:lineRule="atLeast"/>
      <w:outlineLvl w:val="1"/>
    </w:pPr>
    <w:rPr>
      <w:rFonts w:ascii="Tahoma" w:eastAsia="Batang" w:hAnsi="Tahoma" w:cs="Tahoma"/>
      <w:b/>
      <w:bCs/>
      <w:color w:val="69AE23"/>
      <w:sz w:val="30"/>
      <w:szCs w:val="30"/>
    </w:rPr>
  </w:style>
  <w:style w:type="character" w:customStyle="1" w:styleId="EC-Title-5CharChar">
    <w:name w:val="EC-Title-5 Char Char"/>
    <w:basedOn w:val="DefaultParagraphFont"/>
    <w:link w:val="EC-Title-5"/>
    <w:rsid w:val="00E93802"/>
    <w:rPr>
      <w:rFonts w:ascii="Tahoma" w:eastAsia="Batang" w:hAnsi="Tahoma" w:cs="Tahoma"/>
      <w:b/>
      <w:bCs/>
      <w:color w:val="69AE23"/>
      <w:sz w:val="30"/>
      <w:szCs w:val="30"/>
    </w:rPr>
  </w:style>
  <w:style w:type="paragraph" w:customStyle="1" w:styleId="EC-Title-6">
    <w:name w:val="EC-Title-6"/>
    <w:next w:val="Normal"/>
    <w:link w:val="EC-Title-6CharChar"/>
    <w:qFormat/>
    <w:rsid w:val="00E93802"/>
    <w:pPr>
      <w:widowControl w:val="0"/>
      <w:spacing w:before="120" w:after="120" w:line="240" w:lineRule="auto"/>
      <w:outlineLvl w:val="2"/>
    </w:pPr>
    <w:rPr>
      <w:rFonts w:ascii="Tahoma" w:eastAsia="Batang" w:hAnsi="Tahoma" w:cs="Tahoma"/>
      <w:b/>
      <w:bCs/>
      <w:color w:val="69AE23"/>
      <w:sz w:val="26"/>
      <w:szCs w:val="26"/>
    </w:rPr>
  </w:style>
  <w:style w:type="character" w:customStyle="1" w:styleId="EC-Title-6CharChar">
    <w:name w:val="EC-Title-6 Char Char"/>
    <w:link w:val="EC-Title-6"/>
    <w:rsid w:val="00E93802"/>
    <w:rPr>
      <w:rFonts w:ascii="Tahoma" w:eastAsia="Batang" w:hAnsi="Tahoma" w:cs="Tahoma"/>
      <w:b/>
      <w:bCs/>
      <w:color w:val="69AE23"/>
      <w:sz w:val="26"/>
      <w:szCs w:val="26"/>
    </w:rPr>
  </w:style>
  <w:style w:type="paragraph" w:customStyle="1" w:styleId="EC-Title-7">
    <w:name w:val="EC-Title-7"/>
    <w:next w:val="Normal"/>
    <w:link w:val="EC-Title-7Char"/>
    <w:qFormat/>
    <w:rsid w:val="00083CEE"/>
    <w:pPr>
      <w:spacing w:before="120" w:after="0" w:line="240" w:lineRule="auto"/>
      <w:outlineLvl w:val="3"/>
    </w:pPr>
    <w:rPr>
      <w:rFonts w:ascii="Tahoma" w:eastAsia="Times New Roman" w:hAnsi="Tahoma" w:cs="Tahoma"/>
      <w:b/>
      <w:bCs/>
      <w:i/>
      <w:color w:val="69AE23"/>
    </w:rPr>
  </w:style>
  <w:style w:type="character" w:customStyle="1" w:styleId="EC-Title-7Char">
    <w:name w:val="EC-Title-7 Char"/>
    <w:basedOn w:val="DefaultParagraphFont"/>
    <w:link w:val="EC-Title-7"/>
    <w:rsid w:val="00083CEE"/>
    <w:rPr>
      <w:rFonts w:ascii="Tahoma" w:eastAsia="Times New Roman" w:hAnsi="Tahoma" w:cs="Tahoma"/>
      <w:b/>
      <w:bCs/>
      <w:i/>
      <w:color w:val="69AE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23D44-8FC3-43E8-8E09-6F29474C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6392</Words>
  <Characters>36436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42743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CDT</cp:lastModifiedBy>
  <cp:revision>16</cp:revision>
  <cp:lastPrinted>2018-05-24T11:29:00Z</cp:lastPrinted>
  <dcterms:created xsi:type="dcterms:W3CDTF">2018-05-24T10:20:00Z</dcterms:created>
  <dcterms:modified xsi:type="dcterms:W3CDTF">2018-06-11T15:15:00Z</dcterms:modified>
</cp:coreProperties>
</file>