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A70" w:rsidRPr="00C859A1" w:rsidRDefault="003C04B9" w:rsidP="000D0DB0">
      <w:pPr>
        <w:pStyle w:val="EC-Title-5"/>
        <w:rPr>
          <w:b w:val="0"/>
          <w:spacing w:val="-10"/>
          <w:sz w:val="24"/>
        </w:rPr>
      </w:pPr>
      <w:r w:rsidRPr="00C859A1">
        <w:t xml:space="preserve">A tuberkulózisban szenvedő betegek ellátására vonatkozó </w:t>
      </w:r>
      <w:bookmarkStart w:id="0" w:name="_GoBack"/>
      <w:bookmarkEnd w:id="0"/>
      <w:r w:rsidRPr="00C859A1">
        <w:t>európai uniós szabványok – 2017. évi frissítés</w:t>
      </w:r>
    </w:p>
    <w:p w:rsidR="008745B1" w:rsidRPr="00C859A1" w:rsidRDefault="003C04B9" w:rsidP="000D0DB0">
      <w:pPr>
        <w:autoSpaceDE w:val="0"/>
        <w:autoSpaceDN w:val="0"/>
        <w:adjustRightInd w:val="0"/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 xml:space="preserve">Az Európai Betegségmegelőzési és Járványvédelmi Központ (ECDC) és az Európai Tüdőgyógyász Társaság (ERS) 21 betegközpontú szabványt dolgozott ki, </w:t>
      </w:r>
      <w:r w:rsidRPr="00C859A1">
        <w:rPr>
          <w:rFonts w:ascii="Tahoma" w:hAnsi="Tahoma"/>
          <w:sz w:val="18"/>
        </w:rPr>
        <w:t>amelyek célja, hogy útmutatást nyújtsanak a klinikai orvosok és a közegészségügyi dolgozók munkájához a tuberkulózis (tbc) Európában történő optimális diagnosztizálása, kezelése és megelőzése érdekében. 2017-ben frissítették a tuberkulózisban szenvedő bete</w:t>
      </w:r>
      <w:r w:rsidRPr="00C859A1">
        <w:rPr>
          <w:rFonts w:ascii="Tahoma" w:hAnsi="Tahoma"/>
          <w:sz w:val="18"/>
        </w:rPr>
        <w:t>gek ellátására vonatkozó európai uniós szabványokat (a továbbiakban: „uniós szabványok”), hogy beépítsék azokba a tbc diagnosztizálásával, kezelésével és megelőzésével kapcsolatos legújabb technológiai vívmányokat és nemzetközi ajánlásokat.</w:t>
      </w:r>
    </w:p>
    <w:p w:rsidR="00E93802" w:rsidRPr="00C859A1" w:rsidRDefault="003C04B9" w:rsidP="0028467E">
      <w:pPr>
        <w:pStyle w:val="EC-Title-6"/>
      </w:pPr>
      <w:bookmarkStart w:id="1" w:name="_Toc512588780"/>
      <w:r w:rsidRPr="00C859A1">
        <w:t>A tbc Európai U</w:t>
      </w:r>
      <w:r w:rsidRPr="00C859A1">
        <w:t>nió területén történő felszámolásához szigorúbb szabványok szükségesek</w:t>
      </w:r>
      <w:bookmarkEnd w:id="1"/>
    </w:p>
    <w:p w:rsidR="00083CEE" w:rsidRPr="00C859A1" w:rsidRDefault="003C04B9" w:rsidP="00083CEE">
      <w:pPr>
        <w:pStyle w:val="EC-Title-7"/>
      </w:pPr>
      <w:r w:rsidRPr="00C859A1">
        <w:t>Miért van szükség az EU által elfogadott szabványokra?</w:t>
      </w:r>
    </w:p>
    <w:p w:rsidR="008745B1" w:rsidRPr="00C859A1" w:rsidRDefault="003C04B9" w:rsidP="000D0DB0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 xml:space="preserve">A tuberkulózisban szenvedő betegek ellátására vonatkozó nemzetközi szabványokat (a továbbiakban: „nemzetközi szabványok”) először </w:t>
      </w:r>
      <w:r w:rsidRPr="00C859A1">
        <w:rPr>
          <w:rFonts w:ascii="Tahoma" w:hAnsi="Tahoma"/>
          <w:sz w:val="18"/>
        </w:rPr>
        <w:t>2006-ban adták ki, és 2009-ben, valamint 2014-ben frissítették. A nemzetközi szabványok a tbc-ben szenvedő betegek ellátásának általánosan elfogadott szintjét fogalmazzák meg, azonban magas kitettség és alacsony jövedelem jellemezte közegekre összpontosíta</w:t>
      </w:r>
      <w:r w:rsidRPr="00C859A1">
        <w:rPr>
          <w:rFonts w:ascii="Tahoma" w:hAnsi="Tahoma"/>
          <w:sz w:val="18"/>
        </w:rPr>
        <w:t>nak.</w:t>
      </w:r>
    </w:p>
    <w:p w:rsidR="008745B1" w:rsidRPr="00C859A1" w:rsidRDefault="003C04B9" w:rsidP="000D0DB0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Az EU/EGT területén mind az epidemiológiai háttér, mind a pénzügyi források rendelkezésre állása eltér ettől:</w:t>
      </w:r>
    </w:p>
    <w:p w:rsidR="00F03325" w:rsidRPr="00C859A1" w:rsidRDefault="003C04B9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kitettség alacsony/közepes mértékű, ugyanakkor heterogén jellegű;</w:t>
      </w:r>
    </w:p>
    <w:p w:rsidR="008745B1" w:rsidRPr="00C859A1" w:rsidRDefault="003C04B9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tbc megelőzése és az az elleni fellépés hosszú múltra tekint vissza;</w:t>
      </w:r>
    </w:p>
    <w:p w:rsidR="008745B1" w:rsidRPr="00C859A1" w:rsidRDefault="003C04B9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Re</w:t>
      </w:r>
      <w:r w:rsidRPr="00C859A1">
        <w:rPr>
          <w:rFonts w:ascii="Tahoma" w:hAnsi="Tahoma"/>
          <w:sz w:val="18"/>
        </w:rPr>
        <w:t>ndelkezésre állnak a szükséges erőforrások;</w:t>
      </w:r>
    </w:p>
    <w:p w:rsidR="008745B1" w:rsidRPr="00C859A1" w:rsidRDefault="003C04B9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Ezen erőforrások optimális felhasználására van szükség;</w:t>
      </w:r>
    </w:p>
    <w:p w:rsidR="008745B1" w:rsidRPr="00C859A1" w:rsidRDefault="003C04B9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tbc-vel kapcsolatos szolgáltatások az egészségügyi rendszer szerves részét képezik;</w:t>
      </w:r>
    </w:p>
    <w:p w:rsidR="008745B1" w:rsidRPr="00C859A1" w:rsidRDefault="003C04B9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Minden betegnek joga van a lehető legjobb ellátáshoz.</w:t>
      </w:r>
    </w:p>
    <w:p w:rsidR="008745B1" w:rsidRPr="00C859A1" w:rsidRDefault="003C04B9" w:rsidP="0028467E">
      <w:pPr>
        <w:pStyle w:val="EC-Title-6"/>
        <w:rPr>
          <w:sz w:val="30"/>
          <w:szCs w:val="30"/>
        </w:rPr>
      </w:pPr>
      <w:r w:rsidRPr="00C859A1">
        <w:rPr>
          <w:sz w:val="30"/>
        </w:rPr>
        <w:t>Az uniós szabván</w:t>
      </w:r>
      <w:r w:rsidRPr="00C859A1">
        <w:rPr>
          <w:sz w:val="30"/>
        </w:rPr>
        <w:t>yok betegközpontú, klinikai orvosok és közegészségügyi dolgozók számára kidolgozott szabványok</w:t>
      </w:r>
    </w:p>
    <w:p w:rsidR="008745B1" w:rsidRPr="00C859A1" w:rsidRDefault="003C04B9" w:rsidP="0028467E">
      <w:pPr>
        <w:pStyle w:val="EC-Title-7"/>
        <w:rPr>
          <w:rFonts w:eastAsia="Batang"/>
        </w:rPr>
      </w:pPr>
      <w:r w:rsidRPr="00C859A1">
        <w:t>Hogyan dolgozták ki és frissítették az uniós szabványokat?</w:t>
      </w:r>
    </w:p>
    <w:p w:rsidR="008745B1" w:rsidRPr="00C859A1" w:rsidRDefault="003C04B9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közös munka során az ERS vállalta a vezető szerepet a klinikai vonatkozású szabványok kidolgozásában</w:t>
      </w:r>
      <w:r w:rsidRPr="00C859A1">
        <w:rPr>
          <w:rFonts w:ascii="Tahoma" w:hAnsi="Tahoma"/>
          <w:sz w:val="18"/>
        </w:rPr>
        <w:t xml:space="preserve"> és frissítésében, az ECDC pedig a közegészségügyi szabványokat dolgozta ki és frissítette. A kidolgozás és a frissítés folyamatát egy különböző szakterületeket, szervezeteket és tbc-vel kapcsolatos betegképviseleteket reprezentáló nemzetközi szakértőkből </w:t>
      </w:r>
      <w:r w:rsidRPr="00C859A1">
        <w:rPr>
          <w:rFonts w:ascii="Tahoma" w:hAnsi="Tahoma"/>
          <w:sz w:val="18"/>
        </w:rPr>
        <w:t>álló munkacsoport irányította. A megszerzett bizonyítékokat a megjelent nemzetközi iránymutatások fényében felülvizsgálták. A szövegező bizottság elkészítette a dokumentum tervezetét, amelyet a munkacsoport felülvizsgált és jóváhagyott. Az uniós szabványok</w:t>
      </w:r>
      <w:r w:rsidRPr="00C859A1">
        <w:rPr>
          <w:rFonts w:ascii="Tahoma" w:hAnsi="Tahoma"/>
          <w:sz w:val="18"/>
        </w:rPr>
        <w:t xml:space="preserve">at a nemzetközi szabványok és más meglévő iránymutatások kiegészítéseként dolgozták ki és frissítették. </w:t>
      </w:r>
    </w:p>
    <w:p w:rsidR="008745B1" w:rsidRPr="00C859A1" w:rsidRDefault="003C04B9" w:rsidP="000D0DB0">
      <w:pPr>
        <w:pStyle w:val="EC-Title-5"/>
        <w:spacing w:before="120"/>
        <w:rPr>
          <w:b w:val="0"/>
        </w:rPr>
      </w:pPr>
      <w:r w:rsidRPr="00C859A1">
        <w:t>Könnyen használható forrás a tbc optimális diagnosztizálása, kezelése és megelőzése érdekében</w:t>
      </w:r>
    </w:p>
    <w:p w:rsidR="008745B1" w:rsidRPr="00C859A1" w:rsidRDefault="003C04B9" w:rsidP="000D0DB0">
      <w:pPr>
        <w:pStyle w:val="EC-Title-6"/>
        <w:spacing w:after="0"/>
        <w:rPr>
          <w:b w:val="0"/>
        </w:rPr>
      </w:pPr>
      <w:r w:rsidRPr="00C859A1">
        <w:t>Az uniós szabványok kidolgozásának indokai</w:t>
      </w:r>
    </w:p>
    <w:p w:rsidR="008745B1" w:rsidRPr="00C859A1" w:rsidRDefault="003C04B9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 xml:space="preserve">A </w:t>
      </w:r>
      <w:r w:rsidRPr="00C859A1">
        <w:rPr>
          <w:rFonts w:ascii="Tahoma" w:hAnsi="Tahoma"/>
          <w:sz w:val="18"/>
        </w:rPr>
        <w:t>tuberkulózisban szenvedő betegek ellátására vonatkozó európai uniós szabványok (a továbbiakban: „uniós szabványok”) célja áthidalni az Európai Unió (EU), illetve az Európai Gazdasági Térség (EGT) területén a tbc-vel kapcsolatos esetek kezelése tekintetében</w:t>
      </w:r>
      <w:r w:rsidRPr="00C859A1">
        <w:rPr>
          <w:rFonts w:ascii="Tahoma" w:hAnsi="Tahoma"/>
          <w:sz w:val="18"/>
        </w:rPr>
        <w:t xml:space="preserve"> jelenleg fennálló hiányosságokat. </w:t>
      </w:r>
    </w:p>
    <w:p w:rsidR="008745B1" w:rsidRPr="00C859A1" w:rsidRDefault="003C04B9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Az uniós szabványok célja a tbc-vel kapcsolatos optimális ellátási, megelőzési és kontrollintézkedésekre vonatkozó minimumkövetelményeket ismertető, bizonyítékokon alapuló szabványok strukturált rendszerével ellátni a kö</w:t>
      </w:r>
      <w:r w:rsidRPr="00C859A1">
        <w:rPr>
          <w:rFonts w:ascii="Tahoma" w:hAnsi="Tahoma"/>
          <w:sz w:val="18"/>
        </w:rPr>
        <w:t>zegészségügyi szakembereket, a klinikai orvosokat és az egészségügyi programok üzemeltetőit.</w:t>
      </w:r>
    </w:p>
    <w:p w:rsidR="008745B1" w:rsidRPr="00C859A1" w:rsidRDefault="003C04B9" w:rsidP="00C859A1">
      <w:pPr>
        <w:pStyle w:val="EC-Title-5"/>
        <w:pageBreakBefore/>
        <w:spacing w:before="120"/>
        <w:rPr>
          <w:b w:val="0"/>
        </w:rPr>
      </w:pPr>
      <w:r w:rsidRPr="00C859A1">
        <w:lastRenderedPageBreak/>
        <w:t>További információk</w:t>
      </w:r>
    </w:p>
    <w:p w:rsidR="008745B1" w:rsidRPr="00C859A1" w:rsidRDefault="003C04B9" w:rsidP="000D0DB0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Az ECDC egy európai uniós ügynökség, amelynek feladata a fertőző betegségek által az emberi egészségre jelentett veszélyek azonosítása, értékel</w:t>
      </w:r>
      <w:r w:rsidRPr="00C859A1">
        <w:rPr>
          <w:rFonts w:ascii="Tahoma" w:hAnsi="Tahoma"/>
          <w:sz w:val="18"/>
        </w:rPr>
        <w:t>ése és az azokkal kapcsolatos tájékoztatás. Az ügynökség támogatja az európai uniós tagállamok, illetve az EGT-országok közegészségügyi hatóságainak munkáját.</w:t>
      </w:r>
    </w:p>
    <w:p w:rsidR="008745B1" w:rsidRPr="00C859A1" w:rsidRDefault="003C04B9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hyperlink r:id="rId8" w:history="1">
        <w:r w:rsidRPr="00C859A1">
          <w:rPr>
            <w:rStyle w:val="Hyperlink"/>
            <w:rFonts w:ascii="Tahoma" w:hAnsi="Tahoma"/>
            <w:sz w:val="18"/>
          </w:rPr>
          <w:t>www.ecdc.europa.eu/en/tuberculosis</w:t>
        </w:r>
      </w:hyperlink>
    </w:p>
    <w:p w:rsidR="008745B1" w:rsidRPr="00C859A1" w:rsidRDefault="003C04B9" w:rsidP="000D0DB0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Az E</w:t>
      </w:r>
      <w:r w:rsidRPr="00C859A1">
        <w:rPr>
          <w:rFonts w:ascii="Tahoma" w:hAnsi="Tahoma"/>
          <w:sz w:val="18"/>
        </w:rPr>
        <w:t>RS szakterületén vezető szakmai szervezetnek számít Európában. 160 országban több mint 30 000 tagot számlál. Az ERS célja a légzőszervi megbetegedésekkel járó szenvedés enyhítése, valamint a tüdő egészségének a kutatás, a tudásmegosztás, az egészségügyi és</w:t>
      </w:r>
      <w:r w:rsidRPr="00C859A1">
        <w:rPr>
          <w:rFonts w:ascii="Tahoma" w:hAnsi="Tahoma"/>
          <w:sz w:val="18"/>
        </w:rPr>
        <w:t xml:space="preserve"> közoktatás eszközeivel történő elősegítése.</w:t>
      </w:r>
    </w:p>
    <w:p w:rsidR="008745B1" w:rsidRPr="00C859A1" w:rsidRDefault="003C04B9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hyperlink r:id="rId9" w:history="1">
        <w:r w:rsidRPr="00C859A1">
          <w:rPr>
            <w:rStyle w:val="Hyperlink"/>
            <w:rFonts w:ascii="Tahoma" w:hAnsi="Tahoma"/>
            <w:sz w:val="18"/>
          </w:rPr>
          <w:t>www.ersnet.org</w:t>
        </w:r>
      </w:hyperlink>
    </w:p>
    <w:p w:rsidR="008745B1" w:rsidRPr="00C859A1" w:rsidRDefault="003C04B9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Az uniós szabványok frissítésének teljes szövege a European Respiratory Journal (ERJ) 2018. májusi számában jelent meg (DOI: 10.1183/13993003.02678-2017).</w:t>
      </w:r>
    </w:p>
    <w:p w:rsidR="00792C6D" w:rsidRPr="00C859A1" w:rsidRDefault="003C04B9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C859A1">
        <w:br w:type="page"/>
      </w:r>
    </w:p>
    <w:p w:rsidR="00CC0F38" w:rsidRPr="00C859A1" w:rsidRDefault="003C04B9" w:rsidP="0028467E">
      <w:pPr>
        <w:pStyle w:val="EC-Title-5"/>
        <w:spacing w:after="240"/>
      </w:pPr>
      <w:r w:rsidRPr="00C859A1">
        <w:lastRenderedPageBreak/>
        <w:t>A tuberkulózis diagnosztizálására vonatkozó szabványok</w:t>
      </w:r>
    </w:p>
    <w:p w:rsidR="00DA3A70" w:rsidRPr="00C859A1" w:rsidRDefault="003C04B9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C859A1">
        <w:rPr>
          <w:rFonts w:ascii="Tahoma" w:hAnsi="Tahoma"/>
          <w:b/>
          <w:sz w:val="24"/>
        </w:rPr>
        <w:t>1.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Minden olyan személyt ki kell vizsgálni pulmonális és/vagy extrapulmonális tuberkulózis tekintetében, aki a tuberkulózissal összefüggő jeleket, tüneteket, kórtörténetet vagy kockázati ténye</w:t>
      </w:r>
      <w:r w:rsidRPr="00C859A1">
        <w:rPr>
          <w:rFonts w:ascii="Tahoma" w:hAnsi="Tahoma"/>
          <w:sz w:val="18"/>
        </w:rPr>
        <w:t>zőket mutat.</w:t>
      </w:r>
    </w:p>
    <w:p w:rsidR="00DA3A70" w:rsidRPr="00C859A1" w:rsidRDefault="003C04B9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C859A1">
        <w:rPr>
          <w:rFonts w:ascii="Tahoma" w:hAnsi="Tahoma"/>
          <w:b/>
          <w:sz w:val="24"/>
        </w:rPr>
        <w:t>2.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Minden olyan személytől (köpetmintát adni képes felnőttől, serdülőtől és gyermektől), akinél a pulmonális tuberkulózis gyanúja merült fel, legalább két köpetmintát kell venni mikroszkópos vizsgálatra, egyet pedig gyorsvizsgálatra a</w:t>
      </w:r>
      <w:r w:rsidRPr="00C859A1">
        <w:rPr>
          <w:rFonts w:ascii="Tahoma" w:hAnsi="Tahoma"/>
          <w:sz w:val="18"/>
        </w:rPr>
        <w:t xml:space="preserve"> tuberkulózis és a gyógyszerrezisztencia nemzetközileg ajánlott (gyors) molekuláris vizsgálat útján történő megállapítása céljából. A mintát el kell küldeni folyékony táptalajon való tenyésztésre, valamint – amennyiben az eredmény pozitív – tenyésztésen al</w:t>
      </w:r>
      <w:r w:rsidRPr="00C859A1">
        <w:rPr>
          <w:rFonts w:ascii="Tahoma" w:hAnsi="Tahoma"/>
          <w:sz w:val="18"/>
        </w:rPr>
        <w:t>apuló gyógyszerrezisztencia-vizsgálatra (DST) egy minőségbiztosított laboratóriumba. Legalább egy mintát lehetőség szerint kora reggel kell venni. Mellkasröntgen szintén alkalmazható.</w:t>
      </w:r>
    </w:p>
    <w:p w:rsidR="00DA3A70" w:rsidRPr="00C859A1" w:rsidRDefault="003C04B9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C859A1">
        <w:rPr>
          <w:rFonts w:ascii="Tahoma" w:hAnsi="Tahoma"/>
          <w:b/>
          <w:sz w:val="24"/>
        </w:rPr>
        <w:t>3.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Minden olyan betegtől (felnőttől, serdülőtől és gyermektől),</w:t>
      </w:r>
      <w:r w:rsidRPr="00C859A1">
        <w:rPr>
          <w:rFonts w:ascii="Tahoma" w:hAnsi="Tahoma"/>
          <w:sz w:val="18"/>
        </w:rPr>
        <w:t xml:space="preserve"> akinél az extrapulmonális tuberkulózis gyanúja merült fel, a feltehetően érintett területekről megfelelő mintát kell venni minőségbiztosított laboratóriumban végzett mikrobiológiai vizsgálat (mikroszkópia, gyors molekuláris vizsgálatok, tenyésztés, fajmeg</w:t>
      </w:r>
      <w:r w:rsidRPr="00C859A1">
        <w:rPr>
          <w:rFonts w:ascii="Tahoma" w:hAnsi="Tahoma"/>
          <w:sz w:val="18"/>
        </w:rPr>
        <w:t xml:space="preserve">határozás, gyors molekuláris vizsgálatokkal és tenyésztésen alapuló technikákkal végzett DST), valamint kórszövettani vizsgálat céljára. </w:t>
      </w:r>
    </w:p>
    <w:p w:rsidR="00CC0F38" w:rsidRPr="00C859A1" w:rsidRDefault="003C04B9" w:rsidP="00CC0F38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C859A1">
        <w:rPr>
          <w:rFonts w:ascii="Tahoma" w:hAnsi="Tahoma"/>
          <w:b/>
          <w:sz w:val="24"/>
        </w:rPr>
        <w:t>4.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Minden olyan személytől, akinél a mellkasröntgen eredménye pulmonális tuberkulózisra utal, köpetmintát kell venni, és azt el kell küldeni mikroszkópos vizsgálatra, gyors molekuláris vizsgálatokra, tenyésztésre, fajmeghatározásra és gyors molekuláris vizsgá</w:t>
      </w:r>
      <w:r w:rsidRPr="00C859A1">
        <w:rPr>
          <w:rFonts w:ascii="Tahoma" w:hAnsi="Tahoma"/>
          <w:sz w:val="18"/>
        </w:rPr>
        <w:t>latokkal, valamint tenyésztésen alapuló technikákkal végzett DST-re egy minőségbiztosított laboratóriumba.</w:t>
      </w:r>
    </w:p>
    <w:p w:rsidR="00DA3A70" w:rsidRPr="00C859A1" w:rsidRDefault="003C04B9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C859A1">
        <w:rPr>
          <w:rFonts w:ascii="Tahoma" w:hAnsi="Tahoma"/>
          <w:b/>
          <w:sz w:val="24"/>
          <w:shd w:val="clear" w:color="auto" w:fill="D9D9D9"/>
        </w:rPr>
        <w:t>5.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tenyésztéses vizsgálatokban negatív eredményt adó pulmonális tuberkulózis diagnózisának a következő kritériumokon kell alapulnia: minde</w:t>
      </w:r>
      <w:r w:rsidRPr="00C859A1">
        <w:rPr>
          <w:rFonts w:ascii="Tahoma" w:hAnsi="Tahoma"/>
          <w:sz w:val="18"/>
        </w:rPr>
        <w:t>n bakteriológiai vizsgálat eredménye negatív (beleértve a köpetből készített kenet közvetlen vizsgálatát, a tenyészeteket és a gyors molekuláris vizsgálatokat), a mellkasröntgen eredménye megfelel a tuberkulózisnak, valamint nincs reakció a széles spektrum</w:t>
      </w:r>
      <w:r w:rsidRPr="00C859A1">
        <w:rPr>
          <w:rFonts w:ascii="Tahoma" w:hAnsi="Tahoma"/>
          <w:sz w:val="18"/>
        </w:rPr>
        <w:t xml:space="preserve">ú antimikrobiális szerekkel végzett vizsgálatra (megjegyzés: mivel a fluorokinolonok aktívan hatnak az </w:t>
      </w:r>
      <w:r w:rsidRPr="00C859A1">
        <w:rPr>
          <w:rFonts w:ascii="Tahoma" w:hAnsi="Tahoma"/>
          <w:i/>
          <w:sz w:val="18"/>
        </w:rPr>
        <w:t xml:space="preserve">M. tuberculosis </w:t>
      </w:r>
      <w:r w:rsidRPr="00C859A1">
        <w:rPr>
          <w:rFonts w:ascii="Tahoma" w:hAnsi="Tahoma"/>
          <w:sz w:val="18"/>
        </w:rPr>
        <w:t>komplex ellen, és átmeneti javulást eredményezhetnek a tuberkulózisban szenvedő betegek állapotában, az alkalmazásuk kerülendő). A súlyosan beteg, illetve ismerten vagy feltehetően humán immundeficiencia vírussal (HIV) fertőzött vagy bármilyen, az immunren</w:t>
      </w:r>
      <w:r w:rsidRPr="00C859A1">
        <w:rPr>
          <w:rFonts w:ascii="Tahoma" w:hAnsi="Tahoma"/>
          <w:sz w:val="18"/>
        </w:rPr>
        <w:t xml:space="preserve">dszert befolyásoló betegségben szenvedő személyek esetében a diagnózist gyorsított eljárásban kell felállítani, és – amennyiben a klinikai bizonyítékok határozottan tuberkulózisra utalnak – tuberkulózis elleni kezelést kell kezdeni. </w:t>
      </w:r>
    </w:p>
    <w:p w:rsidR="00E23086" w:rsidRPr="00C859A1" w:rsidRDefault="003C04B9" w:rsidP="000D0DB0">
      <w:pPr>
        <w:pStyle w:val="EC-Title-6"/>
      </w:pPr>
      <w:r w:rsidRPr="00C859A1">
        <w:t>EU-specifikus követelm</w:t>
      </w:r>
      <w:r w:rsidRPr="00C859A1">
        <w:t>ények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 xml:space="preserve">Annak érdekében, hogy mind a pulmonális, mind az extrapulmonális tuberkulózis esetében biztosítani lehessen a minőségi diagnózist, megfelelő mintákat kell venni a bakteriológiai vizsgálatokhoz. Megfelelő esetben indukált köpetgyűjtés, bronchoszkópia </w:t>
      </w:r>
      <w:r w:rsidRPr="00C859A1">
        <w:rPr>
          <w:rFonts w:ascii="Tahoma" w:hAnsi="Tahoma"/>
          <w:sz w:val="18"/>
        </w:rPr>
        <w:t>és bronchoalveoláris lavage, gyomormosás, biopszia vagy vékonytű-technikás aspiráció alkalmazandó[1]. A mintákat a rendelkezésre álló diagnosztikai eszközökkel kell feldolgozni[2], és mindezt ki kell egészíteni képalkotással (radiológia, ultrahang, kompute</w:t>
      </w:r>
      <w:r w:rsidRPr="00C859A1">
        <w:rPr>
          <w:rFonts w:ascii="Tahoma" w:hAnsi="Tahoma"/>
          <w:sz w:val="18"/>
        </w:rPr>
        <w:t xml:space="preserve">rtomográfia, mágneses rezonanciás képalkotás, pozitronemissziós tomográfia–számítógépes tomográfia), valamint egyéb szükséges, bizonyítékokon alapuló iránymutatások szerint elvégzett vizsgálatokkal[2–4]. 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WHO által ajánlott gyors molekuláris vizsgálatoka</w:t>
      </w:r>
      <w:r w:rsidRPr="00C859A1">
        <w:rPr>
          <w:rFonts w:ascii="Tahoma" w:hAnsi="Tahoma"/>
          <w:sz w:val="18"/>
        </w:rPr>
        <w:t>t[5], tenyésztést és DST-t kell elvégezni az olyan betegektől vett minden egyes mintán, akiknél a pulmonális, illetve extrapulmonális tuberkulózis gyanúja merült fel, ideértve a műtét vagy egyéb invazív eljárások során vett mintákat, amelyeket általában kó</w:t>
      </w:r>
      <w:r w:rsidRPr="00C859A1">
        <w:rPr>
          <w:rFonts w:ascii="Tahoma" w:hAnsi="Tahoma"/>
          <w:sz w:val="18"/>
        </w:rPr>
        <w:t>rszövettani vizsgálatnak vetnek alá. A sebészeket ezért tájékoztatni kell, hogy őrizzenek meg egy biológiai mintát normál sóoldatban mikrobiológiai és molekuláris biológiai vizsgálatok céljára, valamint egyet formalinban kórszövettani vizsgálatokhoz.</w:t>
      </w:r>
    </w:p>
    <w:p w:rsidR="00DA3A70" w:rsidRPr="00C859A1" w:rsidRDefault="003C04B9" w:rsidP="00C859A1">
      <w:pPr>
        <w:pageBreakBefore/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C859A1">
        <w:rPr>
          <w:rFonts w:ascii="Tahoma" w:hAnsi="Tahoma"/>
          <w:b/>
          <w:sz w:val="24"/>
        </w:rPr>
        <w:lastRenderedPageBreak/>
        <w:t>6. sz</w:t>
      </w:r>
      <w:r w:rsidRPr="00C859A1">
        <w:rPr>
          <w:rFonts w:ascii="Tahoma" w:hAnsi="Tahoma"/>
          <w:b/>
          <w:sz w:val="24"/>
        </w:rPr>
        <w:t>abvány</w:t>
      </w:r>
    </w:p>
    <w:p w:rsidR="00D830C5" w:rsidRPr="00C859A1" w:rsidRDefault="003C04B9" w:rsidP="000D0DB0">
      <w:pPr>
        <w:spacing w:after="120"/>
        <w:rPr>
          <w:rFonts w:ascii="Tahoma" w:hAnsi="Tahoma" w:cs="Tahoma"/>
          <w:spacing w:val="-4"/>
          <w:sz w:val="18"/>
          <w:szCs w:val="18"/>
        </w:rPr>
      </w:pPr>
      <w:r w:rsidRPr="00C859A1">
        <w:rPr>
          <w:rFonts w:ascii="Tahoma" w:hAnsi="Tahoma"/>
          <w:spacing w:val="-4"/>
          <w:sz w:val="18"/>
        </w:rPr>
        <w:t>Minden olyan gyermeknél, akinél az intrathoracalis (azaz a pulmonalis, pleuralis, mediastinalis vagy hilusi nyirokcsomókban észlelt) tuberkulózis gyanúja merült fel, a megfelelő (felköhögött vagy indukált köpet, bronchialis secretio, pleuralis folya</w:t>
      </w:r>
      <w:r w:rsidRPr="00C859A1">
        <w:rPr>
          <w:rFonts w:ascii="Tahoma" w:hAnsi="Tahoma"/>
          <w:spacing w:val="-4"/>
          <w:sz w:val="18"/>
        </w:rPr>
        <w:t>dék, gyomormosás vagy ultrahang-vezérelt endoszkópos biopszia útján vett) biológiai minták vizsgálata révén bakteriológiai megerősítést kell szerezni minőségbiztosított laboratóriumban a kenet mikroszkópos vizsgálata, gyors molekuláris vizsgálatok, fajmegh</w:t>
      </w:r>
      <w:r w:rsidRPr="00C859A1">
        <w:rPr>
          <w:rFonts w:ascii="Tahoma" w:hAnsi="Tahoma"/>
          <w:spacing w:val="-4"/>
          <w:sz w:val="18"/>
        </w:rPr>
        <w:t xml:space="preserve">atározás és tenyésztésen alapuló technikákkal végzett DST útján [3, 5–9]. Amennyiben a bakteriológiai vizsgálat eredménye negatív, a tuberkulózis diagnózisát a tuberkulózisnak megfelelő rendellenességek mellkasröntgenen vagy egyéb képalkotási módszerekkel </w:t>
      </w:r>
      <w:r w:rsidRPr="00C859A1">
        <w:rPr>
          <w:rFonts w:ascii="Tahoma" w:hAnsi="Tahoma"/>
          <w:spacing w:val="-4"/>
          <w:sz w:val="18"/>
        </w:rPr>
        <w:t>észlelt jelenléte, a kórtörténetben szereplő fertőző betegség, a tuberkulózisos fertőzésre utaló bizonyítékok (pozitív tuberculin bőrvizsgálat [TST] és/vagy pozitív interferon-gamma-kibocsátási vizsgálat [IGRA])[5, 10–13] és/vagy tuberkulózisra utaló klini</w:t>
      </w:r>
      <w:r w:rsidRPr="00C859A1">
        <w:rPr>
          <w:rFonts w:ascii="Tahoma" w:hAnsi="Tahoma"/>
          <w:spacing w:val="-4"/>
          <w:sz w:val="18"/>
        </w:rPr>
        <w:t>kai leletek[3] alapján kell felállítani. Azon gyermekeknél, akiknél az extrapulmonális tuberkulózis gyanúja merült fel, a feltehetően érintett területekről megfelelő mintákat kell venni mikroszkópia, az ajánlott gyors molekuláris vizsgálatok, fajmeghatároz</w:t>
      </w:r>
      <w:r w:rsidRPr="00C859A1">
        <w:rPr>
          <w:rFonts w:ascii="Tahoma" w:hAnsi="Tahoma"/>
          <w:spacing w:val="-4"/>
          <w:sz w:val="18"/>
        </w:rPr>
        <w:t xml:space="preserve">ás, tenyésztésen alapuló technikákkal végzett DST, továbbá kórszövettani vizsgálat céljából[5, 14, 15]. </w:t>
      </w:r>
    </w:p>
    <w:p w:rsidR="00D830C5" w:rsidRPr="00C859A1" w:rsidRDefault="003C04B9" w:rsidP="0028467E">
      <w:pPr>
        <w:pStyle w:val="EC-Title-5"/>
        <w:spacing w:before="120" w:after="240"/>
      </w:pPr>
      <w:r w:rsidRPr="00C859A1">
        <w:t>A tuberkulózis kezelésére vonatkozó szabványok</w:t>
      </w:r>
    </w:p>
    <w:p w:rsidR="00DA3A70" w:rsidRPr="00C859A1" w:rsidRDefault="003C04B9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C859A1">
        <w:rPr>
          <w:rFonts w:ascii="Tahoma" w:hAnsi="Tahoma"/>
          <w:b/>
          <w:sz w:val="24"/>
        </w:rPr>
        <w:t>7.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Minden orvos, aki tuberkulózisos beteget kezel, fontos közegészségügyi feladatot vállal a fe</w:t>
      </w:r>
      <w:r w:rsidRPr="00C859A1">
        <w:rPr>
          <w:rFonts w:ascii="Tahoma" w:hAnsi="Tahoma"/>
          <w:sz w:val="18"/>
        </w:rPr>
        <w:t>rtőzés terjedésének és a gyógyszerrezisztencia kialakulásának megelőzése tekintetében. E feladat ellátása érdekében az orvosnak a közegészségügyi hatóságokkal együttműködve a következőképpen kell eljárnia: 1) megfelelő (a genotípusos és/vagy fenotípusos DS</w:t>
      </w:r>
      <w:r w:rsidRPr="00C859A1">
        <w:rPr>
          <w:rFonts w:ascii="Tahoma" w:hAnsi="Tahoma"/>
          <w:sz w:val="18"/>
        </w:rPr>
        <w:t>T-eredményeken alapuló) terápiát kell felírnia, 2) érintkezéssel kapcsolatos vizsgálatokat kell végeznie, 3) betegközpontú megközelítést alkalmazva a családtagokkal, helyi köz- és/vagy közösségi egészségügyi szolgálatokkal, valamint civil szervezetekkel eg</w:t>
      </w:r>
      <w:r w:rsidRPr="00C859A1">
        <w:rPr>
          <w:rFonts w:ascii="Tahoma" w:hAnsi="Tahoma"/>
          <w:sz w:val="18"/>
        </w:rPr>
        <w:t xml:space="preserve">yüttműködve értékelnie kell és elő kell mozdítania a kezelés beteg általi betartását, továbbá 4) monitoroznia kell a kezelés eredményeit[2, 16, 17]. </w:t>
      </w:r>
    </w:p>
    <w:p w:rsidR="00DA3A70" w:rsidRPr="00C859A1" w:rsidRDefault="003C04B9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C859A1">
        <w:rPr>
          <w:rFonts w:ascii="Tahoma" w:hAnsi="Tahoma"/>
          <w:b/>
          <w:sz w:val="24"/>
          <w:shd w:val="clear" w:color="auto" w:fill="D9D9D9"/>
        </w:rPr>
        <w:t>8.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 xml:space="preserve">Minden olyan betegnél (beleértve az egyidejűleg HIV-fertőzött betegeket is), aki korábban még </w:t>
      </w:r>
      <w:r w:rsidRPr="00C859A1">
        <w:rPr>
          <w:rFonts w:ascii="Tahoma" w:hAnsi="Tahoma"/>
          <w:sz w:val="18"/>
        </w:rPr>
        <w:t>nem részesült tbc-kezelésben és (a megfelelő vizsgálatok alapján) nem mutat a gyógyszerekkel szembeni rezisztenciát, nemzetközileg elfogadott első vonalbeli terápiát kell alkalmazni ismert biológiai hasznosíthatóságú gyógyszerekkel. A kezdeti szakasznak ké</w:t>
      </w:r>
      <w:r w:rsidRPr="00C859A1">
        <w:rPr>
          <w:rFonts w:ascii="Tahoma" w:hAnsi="Tahoma"/>
          <w:sz w:val="18"/>
        </w:rPr>
        <w:t>t hónapnyi izoniazid- (H), rifampicin- (R), pirazinamid- (Z) és etambutol (E) kezelést kell magában foglalnia. Az ezt követő szakasz során négy hónapon keresztül izoniazidot és rifampicint kell alkalmazni (2HRZE/4HR). A tuberkulózis elleni gyógyszerek adag</w:t>
      </w:r>
      <w:r w:rsidRPr="00C859A1">
        <w:rPr>
          <w:rFonts w:ascii="Tahoma" w:hAnsi="Tahoma"/>
          <w:sz w:val="18"/>
        </w:rPr>
        <w:t>olásának meg kell felelnie a nemzetközi ajánlásoknak. Két (izoniazid és rifampicin), három (izoniazid, rifampicin és pirazinamid), illetve négy gyógyszer (izoniazid, rifampicin, pirazinamid és etambutol) rögzített adagolású kombinációja adott esetben megkö</w:t>
      </w:r>
      <w:r w:rsidRPr="00C859A1">
        <w:rPr>
          <w:rFonts w:ascii="Tahoma" w:hAnsi="Tahoma"/>
          <w:sz w:val="18"/>
        </w:rPr>
        <w:t xml:space="preserve">nnyítheti a gyógyszerek beadását. </w:t>
      </w:r>
    </w:p>
    <w:p w:rsidR="00DA3A70" w:rsidRPr="00C859A1" w:rsidRDefault="003C04B9" w:rsidP="00037B0F">
      <w:pPr>
        <w:keepNext/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C859A1">
        <w:rPr>
          <w:rFonts w:ascii="Tahoma" w:hAnsi="Tahoma"/>
          <w:b/>
          <w:sz w:val="24"/>
        </w:rPr>
        <w:t>9.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Cs w:val="24"/>
        </w:rPr>
      </w:pPr>
      <w:r w:rsidRPr="00C859A1">
        <w:rPr>
          <w:rFonts w:ascii="Tahoma" w:hAnsi="Tahoma"/>
          <w:sz w:val="18"/>
        </w:rPr>
        <w:t>Minden beteg esetében a beteg igényein, valamint a beteg és a szolgáltató közötti kölcsönös tiszteleten alapuló, betegközpontú kezelési megközelítést kell kidolgozni.</w:t>
      </w:r>
    </w:p>
    <w:p w:rsidR="00DA3A70" w:rsidRPr="00C859A1" w:rsidRDefault="003C04B9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C859A1">
        <w:rPr>
          <w:rFonts w:ascii="Tahoma" w:hAnsi="Tahoma"/>
          <w:b/>
          <w:sz w:val="24"/>
        </w:rPr>
        <w:t>10. szabvány</w:t>
      </w:r>
    </w:p>
    <w:p w:rsidR="00DA3A70" w:rsidRPr="00C859A1" w:rsidRDefault="003C04B9" w:rsidP="000D0DB0">
      <w:pPr>
        <w:spacing w:after="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 xml:space="preserve">A pulmonális tuberkulózisban </w:t>
      </w:r>
      <w:r w:rsidRPr="00C859A1">
        <w:rPr>
          <w:rFonts w:ascii="Tahoma" w:hAnsi="Tahoma"/>
          <w:sz w:val="18"/>
        </w:rPr>
        <w:t>szenvedő betegek terápiára adott válaszát utólagos ellenőrzésként végzett mikroszkópos kenetvizsgálat, valamint tenyésztéses vizsgálatok révén monitorozni kell legalább a kezelés kezdeti szakaszának befejezésekor (a gyógyszerre fogékony tuberkulózis esetéb</w:t>
      </w:r>
      <w:r w:rsidRPr="00C859A1">
        <w:rPr>
          <w:rFonts w:ascii="Tahoma" w:hAnsi="Tahoma"/>
          <w:sz w:val="18"/>
        </w:rPr>
        <w:t xml:space="preserve">en két hónap elteltével). Amennyiben a köpetből készített kenet és/vagy a tenyészet kezdeti szakasz befejezésekor végzett vizsgálatának eredménye pozitív, haladéktalanul molekuláris gyógyszerrezisztencia-vizsgálatokat, valamint további DST-t kell végezni. </w:t>
      </w:r>
      <w:r w:rsidRPr="00C859A1">
        <w:rPr>
          <w:rFonts w:ascii="Tahoma" w:hAnsi="Tahoma"/>
          <w:sz w:val="18"/>
        </w:rPr>
        <w:t xml:space="preserve">Extrapulmonális tuberkulózisban szenvedő betegek, valamint köpetmintát adni nem képes gyermekek esetében a kezelésre adott klinikai választ (testtömeg, gyulladási markerek, ismételt képalkotás) objektív módon kell értékelni. </w:t>
      </w:r>
    </w:p>
    <w:p w:rsidR="003663F5" w:rsidRPr="00C859A1" w:rsidRDefault="003C04B9" w:rsidP="003663F5">
      <w:pPr>
        <w:pStyle w:val="EC-Title-6"/>
      </w:pPr>
      <w:r w:rsidRPr="00C859A1">
        <w:t>EU-specifikus követelmények</w:t>
      </w:r>
    </w:p>
    <w:p w:rsidR="00DA3A70" w:rsidRPr="00C859A1" w:rsidRDefault="003C04B9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C859A1">
        <w:rPr>
          <w:rFonts w:ascii="Tahoma" w:hAnsi="Tahoma"/>
          <w:spacing w:val="-2"/>
          <w:sz w:val="18"/>
        </w:rPr>
        <w:t xml:space="preserve">A </w:t>
      </w:r>
      <w:r w:rsidRPr="00C859A1">
        <w:rPr>
          <w:rFonts w:ascii="Tahoma" w:hAnsi="Tahoma"/>
          <w:spacing w:val="-2"/>
          <w:sz w:val="18"/>
        </w:rPr>
        <w:t>kezelés monitorozásának a nemzetközi ajánlások szerint kell történnie[2, 3, 6–8, 18–20]. Az EU tagállamai rendelkeznek a kellő erőforrásokkal a kezelés havi rendszerességű monitorozásához. A multirezisztens (MDR) tuberkulózis esetében ezt a havi monitoring</w:t>
      </w:r>
      <w:r w:rsidRPr="00C859A1">
        <w:rPr>
          <w:rFonts w:ascii="Tahoma" w:hAnsi="Tahoma"/>
          <w:spacing w:val="-2"/>
          <w:sz w:val="18"/>
        </w:rPr>
        <w:t>ot kenet- és tenyészetvizsgálatok alapján kell végezni[21, 22].</w:t>
      </w:r>
    </w:p>
    <w:p w:rsidR="00DA3A70" w:rsidRPr="00C859A1" w:rsidRDefault="003C04B9" w:rsidP="00C859A1">
      <w:pPr>
        <w:pageBreakBefore/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C859A1">
        <w:rPr>
          <w:rFonts w:ascii="Tahoma" w:hAnsi="Tahoma"/>
          <w:b/>
          <w:sz w:val="24"/>
          <w:shd w:val="clear" w:color="auto" w:fill="D9D9D9"/>
        </w:rPr>
        <w:lastRenderedPageBreak/>
        <w:t>11.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korábbi kezelések, a gyógyszerrezisztens tuberkulózis forrásának való esetleges kitettség, valamint a gyógyszerrezisztencia adott közösségen belüli elterjedtsége alapján értékel</w:t>
      </w:r>
      <w:r w:rsidRPr="00C859A1">
        <w:rPr>
          <w:rFonts w:ascii="Tahoma" w:hAnsi="Tahoma"/>
          <w:sz w:val="18"/>
        </w:rPr>
        <w:t>ni kell a gyógyszerrezisztencia valószínűségét, különösen olyan betegek esetében, akiknél nem történt bakteriológiai megerősítés, vagy akiknél nem végezhetők a gyógyszerrel szembeni fogékonyságra irányuló vizsgálatok. A 2–4. és 8. szabványban meghatározott</w:t>
      </w:r>
      <w:r w:rsidRPr="00C859A1">
        <w:rPr>
          <w:rFonts w:ascii="Tahoma" w:hAnsi="Tahoma"/>
          <w:sz w:val="18"/>
        </w:rPr>
        <w:t xml:space="preserve"> összes betegnél gyorsvizsgálatokat (genotípusos rifampicin- és izoniazidrezisztencia-vizsgálatokat, valamint rifampicinrezisztens vagy MDR típusú tbc-ben szenvedő betegek esetében másodvonalbeli gyógyszerekkel szembeni rezisztenciára irányuló genotípusos/</w:t>
      </w:r>
      <w:r w:rsidRPr="00C859A1">
        <w:rPr>
          <w:rFonts w:ascii="Tahoma" w:hAnsi="Tahoma"/>
          <w:sz w:val="18"/>
        </w:rPr>
        <w:t>fenotípusos vizsgálatokat) kell végezni. Ezenkívül a betegség terjedési lehetőségeinek minimalizálása érdekében minden tuberkulózisos betegnél haladéktalanul meg kell kezdeni a betegtanácsadást és -oktatást. Az uniós szabványok 20. közegészségügyi szabvány</w:t>
      </w:r>
      <w:r w:rsidRPr="00C859A1">
        <w:rPr>
          <w:rFonts w:ascii="Tahoma" w:hAnsi="Tahoma"/>
          <w:sz w:val="18"/>
        </w:rPr>
        <w:t>a ajánlásainak megfelelően az adott környezetnek megfelelő infekciókontroll-intézkedéseket kell tenni.</w:t>
      </w:r>
    </w:p>
    <w:p w:rsidR="00DA3A70" w:rsidRPr="00C859A1" w:rsidRDefault="003C04B9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C859A1">
        <w:rPr>
          <w:rFonts w:ascii="Tahoma" w:hAnsi="Tahoma"/>
          <w:b/>
          <w:sz w:val="24"/>
          <w:shd w:val="clear" w:color="auto" w:fill="D9D9D9"/>
        </w:rPr>
        <w:t xml:space="preserve">12. szabvány 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Azoknál a betegeknél, akik ismerten vagy nagy valószínűséggel gyógyszerrezisztens (különösen rifampicinrezisztens/MDR/kiterjedten gyógyszer</w:t>
      </w:r>
      <w:r w:rsidRPr="00C859A1">
        <w:rPr>
          <w:rFonts w:ascii="Tahoma" w:hAnsi="Tahoma"/>
          <w:sz w:val="18"/>
        </w:rPr>
        <w:t>rezisztens [XDR]) organizmusok okozta tuberkulózissal fertőzöttek, másodvonalbeli gyógyszereket és tuberkulózis elleni kiegészítő gyógyszereket magában foglaló, személyre szabott terápiát kell alkalmazni. A terápiát a gyógyszerrel szembeni fogékonyság igaz</w:t>
      </w:r>
      <w:r w:rsidRPr="00C859A1">
        <w:rPr>
          <w:rFonts w:ascii="Tahoma" w:hAnsi="Tahoma"/>
          <w:sz w:val="18"/>
        </w:rPr>
        <w:t>olt mintái alapján kell kiválasztani. Az empirikus terápiák további rezisztencia kialakulásához vezethetnek, ezért alkalmazásuk ellenjavallt, kivéve a tenyésztéses vizsgálatban negatív eredményt adó tuberkulózis esetében.</w:t>
      </w:r>
    </w:p>
    <w:p w:rsidR="00083CEE" w:rsidRPr="00C859A1" w:rsidRDefault="003C04B9" w:rsidP="00083CE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gyógyszerrel szembeni fogékonysá</w:t>
      </w:r>
      <w:r w:rsidRPr="00C859A1">
        <w:rPr>
          <w:rFonts w:ascii="Tahoma" w:hAnsi="Tahoma"/>
          <w:sz w:val="18"/>
        </w:rPr>
        <w:t xml:space="preserve">g adott mintájától függően legalább öt hatásos tbc-gyógyszerrel való kezelést kell biztosítani legalább 20 hónapos időtartamon keresztül[5]. Amennyiben a beteg teljesíti a rövidebb (9-11 hónapos) szabványos MDR tbc-terápia alkalmazásának feltételeit, ez a </w:t>
      </w:r>
      <w:r w:rsidRPr="00C859A1">
        <w:rPr>
          <w:rFonts w:ascii="Tahoma" w:hAnsi="Tahoma"/>
          <w:sz w:val="18"/>
        </w:rPr>
        <w:t xml:space="preserve">kezelés is alkalmazható. </w:t>
      </w:r>
    </w:p>
    <w:p w:rsidR="00835340" w:rsidRPr="00C859A1" w:rsidRDefault="003C04B9" w:rsidP="00835340">
      <w:pPr>
        <w:pStyle w:val="EC-Title-6"/>
      </w:pPr>
      <w:r w:rsidRPr="00C859A1">
        <w:t>EU-specifikus követelmények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Mivel az MDR/XDR tbc kezelése sok esetben az utolsó lehetőség a beteg gyógyulásának és túlélésének biztosítására, a szabványnak való megfeleléshez a betegközpontú intézkedések teljes skáláját alkalmazni</w:t>
      </w:r>
      <w:r w:rsidRPr="00C859A1">
        <w:rPr>
          <w:rFonts w:ascii="Tahoma" w:hAnsi="Tahoma"/>
          <w:sz w:val="18"/>
        </w:rPr>
        <w:t xml:space="preserve"> kell, beleértve a tanácsadást, a megfigyelést, a kezelés támogatását, valamint a pszichoszociális támogatást [5, 23–25]. Ez azért is különösen fontos, mert ezek a betegek sok esetben társadalmilag és gazdaságilag hátrányos helyzetű csoportokba tartoznak.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Az MDR tbc kezelése során nem adható be gyógyszer dokumentáltan (akár molekuláris, akár fenotípusos DST útján megállapítottan) rezisztens betegeknek. Ezért másodvonalbeli gyógyszerekre vonatkozó DST-t kell végezni a gyógyszerrezisztencia-minta megerősítése</w:t>
      </w:r>
      <w:r w:rsidRPr="00C859A1">
        <w:rPr>
          <w:rFonts w:ascii="Tahoma" w:hAnsi="Tahoma"/>
          <w:sz w:val="18"/>
        </w:rPr>
        <w:t>, valamint a megfelelő kezelés kiválasztásának megalapozása érdekében.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 xml:space="preserve">Az EU, illetve az EGT területén az etambutolra vonatkozó DST-t akkor tekintik megbízhatónak, ha azt minőségbiztosított laboratóriumban végzik[26]. A pirazinamidra vonatkozó vizsgálatok </w:t>
      </w:r>
      <w:r w:rsidRPr="00C859A1">
        <w:rPr>
          <w:rFonts w:ascii="Tahoma" w:hAnsi="Tahoma"/>
          <w:sz w:val="18"/>
        </w:rPr>
        <w:t>elvégezhetők genotípusos (</w:t>
      </w:r>
      <w:r w:rsidRPr="00C859A1">
        <w:rPr>
          <w:rFonts w:ascii="Tahoma" w:hAnsi="Tahoma"/>
          <w:i/>
          <w:sz w:val="18"/>
        </w:rPr>
        <w:t>pncA</w:t>
      </w:r>
      <w:r w:rsidRPr="00C859A1">
        <w:rPr>
          <w:rFonts w:ascii="Tahoma" w:hAnsi="Tahoma"/>
          <w:sz w:val="18"/>
        </w:rPr>
        <w:t>-mutációk kimutatására irányuló), illetve fenotípusos vizsgálat (azaz növekedésalapú [folyékony táptalajos] automatizált módszerek alkalmazása) útján is.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személyre szabott terápiának az intenzív szakaszban legalább öt hatáso</w:t>
      </w:r>
      <w:r w:rsidRPr="00C859A1">
        <w:rPr>
          <w:rFonts w:ascii="Tahoma" w:hAnsi="Tahoma"/>
          <w:sz w:val="18"/>
        </w:rPr>
        <w:t>s tbc-gyógyszer – köztük a pirazinamid és négy alapvető, másodvonalbeli tbc-gyógyszer – alkalmazását kell magában foglalnia. A gyógyszereket a következőképpen kell kiválasztani: egyet az A csoportból, egyet a B csoportból, valamint legalább kettőt a C csop</w:t>
      </w:r>
      <w:r w:rsidRPr="00C859A1">
        <w:rPr>
          <w:rFonts w:ascii="Tahoma" w:hAnsi="Tahoma"/>
          <w:sz w:val="18"/>
        </w:rPr>
        <w:t>ortból (lásd a táblázatot). Amennyiben nincs lehetőség arra, hogy mind az öt minimálisan alkalmazandó, hatásos tbc-gyógyszert az A–C csoportokból válasszák ki, a gyógyszerek száma egy D2 csoportbeli hatóanyaggal, valamint a D3 csoportba tartozó egyéb hatóa</w:t>
      </w:r>
      <w:r w:rsidRPr="00C859A1">
        <w:rPr>
          <w:rFonts w:ascii="Tahoma" w:hAnsi="Tahoma"/>
          <w:sz w:val="18"/>
        </w:rPr>
        <w:t>nyagokkal is kipótolható ötre. Ha a pirazinamid nem alkalmazható (például rezisztencia vagy toxicitás miatt), a terápia egy C vagy D csoportba tartozó hatóanyaggal egészíthető ki. A kezelés teljes időtartama 20 és 24 hónap között van, az intenzív szakasz a</w:t>
      </w:r>
      <w:r w:rsidRPr="00C859A1">
        <w:rPr>
          <w:rFonts w:ascii="Tahoma" w:hAnsi="Tahoma"/>
          <w:sz w:val="18"/>
        </w:rPr>
        <w:t xml:space="preserve">jánlott időtartama pedig 8 hónap[5]. 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  <w:highlight w:val="yellow"/>
        </w:rPr>
      </w:pPr>
      <w:r w:rsidRPr="00C859A1">
        <w:rPr>
          <w:rFonts w:ascii="Tahoma" w:hAnsi="Tahoma"/>
          <w:sz w:val="18"/>
        </w:rPr>
        <w:t>Az olyan, rifampicinrezisztens vagy MDR tuberkulózissal fertőzött betegeknél, akiket korábban nem kezeltek másodvonalbeli gyógyszerekkel, és akiknél a fluorokinolonokkal és másodvonalbeli injekciós hatóanyagokkal szemb</w:t>
      </w:r>
      <w:r w:rsidRPr="00C859A1">
        <w:rPr>
          <w:rFonts w:ascii="Tahoma" w:hAnsi="Tahoma"/>
          <w:sz w:val="18"/>
        </w:rPr>
        <w:t xml:space="preserve">eni rezisztencia kizárt vagy nagyon valószínűtlen, a WHO által ajánlott rövidebb, 9-11 hónapos MDR tbc-kezelés is alkalmazható a szokásos személyre szabott terápia helyett [5, 25, 27]. 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 xml:space="preserve">Az XDR tbc-vel, illetve fluorokinolonokkal vagy másodvonalbeli </w:t>
      </w:r>
      <w:r w:rsidRPr="00C859A1">
        <w:rPr>
          <w:rFonts w:ascii="Tahoma" w:hAnsi="Tahoma"/>
          <w:sz w:val="18"/>
        </w:rPr>
        <w:t>injekciós gyógyszerekkel szemben rezisztens törzsekkel fertőzött betegek esetében olyan új gyógyszerekkel – többek között bedakvilinnel és delamaniddal –, valamint új célokra alkalmazott gyógyszerekkel – például linezoliddal és klofazaminnal – és másodvona</w:t>
      </w:r>
      <w:r w:rsidRPr="00C859A1">
        <w:rPr>
          <w:rFonts w:ascii="Tahoma" w:hAnsi="Tahoma"/>
          <w:sz w:val="18"/>
        </w:rPr>
        <w:t xml:space="preserve">lbeli gyógyszerekkel történő kezelés szükséges, amelyekre az </w:t>
      </w:r>
      <w:r w:rsidRPr="00C859A1">
        <w:rPr>
          <w:rFonts w:ascii="Tahoma" w:hAnsi="Tahoma"/>
          <w:i/>
          <w:sz w:val="18"/>
        </w:rPr>
        <w:t>M. tuberculosis</w:t>
      </w:r>
      <w:r w:rsidRPr="00C859A1">
        <w:rPr>
          <w:rFonts w:ascii="Tahoma" w:hAnsi="Tahoma"/>
          <w:sz w:val="18"/>
        </w:rPr>
        <w:t xml:space="preserve"> törzs valószínűleg érzékeny[28, 29]. Azoknál a betegeknél, akiknél a fluorokinolonok, illetve a másodvonalbeli injekciós gyógyszerek súlyos </w:t>
      </w:r>
      <w:r w:rsidRPr="00C859A1">
        <w:rPr>
          <w:rFonts w:ascii="Tahoma" w:hAnsi="Tahoma"/>
          <w:sz w:val="18"/>
        </w:rPr>
        <w:lastRenderedPageBreak/>
        <w:t>nemkívánatos eseményeket váltanak ki, a</w:t>
      </w:r>
      <w:r w:rsidRPr="00C859A1">
        <w:rPr>
          <w:rFonts w:ascii="Tahoma" w:hAnsi="Tahoma"/>
          <w:sz w:val="18"/>
        </w:rPr>
        <w:t>z új vagy új célra alkalmazott gyógyszerekkel való kezelés is megfontolható.</w:t>
      </w:r>
    </w:p>
    <w:p w:rsidR="00DA3A70" w:rsidRPr="00C859A1" w:rsidRDefault="003C04B9" w:rsidP="000D0DB0">
      <w:pPr>
        <w:rPr>
          <w:rFonts w:ascii="Tahoma" w:hAnsi="Tahoma" w:cs="Tahoma"/>
          <w:spacing w:val="-2"/>
          <w:sz w:val="18"/>
          <w:szCs w:val="18"/>
        </w:rPr>
      </w:pPr>
      <w:r w:rsidRPr="00C859A1">
        <w:rPr>
          <w:rFonts w:ascii="Tahoma" w:hAnsi="Tahoma"/>
          <w:spacing w:val="-2"/>
          <w:sz w:val="18"/>
        </w:rPr>
        <w:t xml:space="preserve">A másodvonalbeli gyógyszerek felírását követően jelentkező nemkívánatos eseményeket a nemzetközi ajánlásoknak megfelelően kell kezelni, amelynek során a cél csökkenteni annak </w:t>
      </w:r>
      <w:r w:rsidRPr="00C859A1">
        <w:rPr>
          <w:rFonts w:ascii="Tahoma" w:hAnsi="Tahoma"/>
          <w:spacing w:val="-2"/>
          <w:sz w:val="18"/>
        </w:rPr>
        <w:t>valószínűségét, hogy e nemkívánatos események következtében elveszítsenek egy hatásos gyógyszert[2].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nemkívánatos eseményeket, valamint a másodvonalbeli gyógyszerekkel végzett terápia megkezdésével, módosításával vagy megszakításával kapcsolatos döntésho</w:t>
      </w:r>
      <w:r w:rsidRPr="00C859A1">
        <w:rPr>
          <w:rFonts w:ascii="Tahoma" w:hAnsi="Tahoma"/>
          <w:sz w:val="18"/>
        </w:rPr>
        <w:t>zatalt egy szakértői csoportnak (például „tbc-bizottságnak” vagy hasonló testületnek) kell kezelnie, nem pedig az egyes orvosoknak, így biztosítva a hibalehetőségek minimalizálását, a felelősség megosztását, továbbá a tapasztalatok és a szaktudás cseréjét[</w:t>
      </w:r>
      <w:r w:rsidRPr="00C859A1">
        <w:rPr>
          <w:rFonts w:ascii="Tahoma" w:hAnsi="Tahoma"/>
          <w:sz w:val="18"/>
        </w:rPr>
        <w:t>28, 30, 31]. Mindent meg kell tenni a további gyógyszerrezisztencia kialakulásának elkerülése érdekében.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WHO ajánlása szerint a kemoterápia mellett a pulmonális tuberkulózis bizonyos eseteiben – például nagy méretű, az egyik tüdőlebenyre korlátozódó üreg</w:t>
      </w:r>
      <w:r w:rsidRPr="00C859A1">
        <w:rPr>
          <w:rFonts w:ascii="Tahoma" w:hAnsi="Tahoma"/>
          <w:sz w:val="18"/>
        </w:rPr>
        <w:t>ek esetén – műtéti beavatkozás is alkalmazható[23]. E téren további kutatás szükséges.</w:t>
      </w:r>
    </w:p>
    <w:p w:rsidR="00DA3A70" w:rsidRPr="00C859A1" w:rsidRDefault="003C04B9" w:rsidP="0028467E">
      <w:pPr>
        <w:spacing w:after="120"/>
        <w:rPr>
          <w:rFonts w:ascii="Tahoma" w:hAnsi="Tahoma" w:cs="Tahoma"/>
          <w:b/>
          <w:sz w:val="18"/>
          <w:szCs w:val="18"/>
        </w:rPr>
      </w:pPr>
      <w:r w:rsidRPr="00C859A1">
        <w:rPr>
          <w:rFonts w:ascii="Tahoma" w:hAnsi="Tahoma"/>
          <w:b/>
          <w:sz w:val="18"/>
        </w:rPr>
        <w:t>A tuberkulózis elleni gyógyszerek Egészségügyi Világszervezet szerinti osztályozása[23]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031"/>
        <w:gridCol w:w="675"/>
        <w:gridCol w:w="2528"/>
        <w:gridCol w:w="2835"/>
      </w:tblGrid>
      <w:tr w:rsidR="00E36D64" w:rsidTr="0028467E">
        <w:tc>
          <w:tcPr>
            <w:tcW w:w="3031" w:type="dxa"/>
            <w:shd w:val="clear" w:color="auto" w:fill="69AF23"/>
          </w:tcPr>
          <w:p w:rsidR="00DA3A70" w:rsidRPr="00C859A1" w:rsidRDefault="003C04B9" w:rsidP="0028467E">
            <w:pPr>
              <w:autoSpaceDE w:val="0"/>
              <w:autoSpaceDN w:val="0"/>
              <w:adjustRightInd w:val="0"/>
              <w:spacing w:before="120" w:after="120" w:line="240" w:lineRule="auto"/>
              <w:ind w:left="720"/>
              <w:jc w:val="both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C859A1">
              <w:rPr>
                <w:rFonts w:ascii="Tahoma" w:hAnsi="Tahoma"/>
                <w:b/>
                <w:color w:val="FFFFFF" w:themeColor="background1"/>
                <w:sz w:val="18"/>
              </w:rPr>
              <w:t>Csoport</w:t>
            </w:r>
          </w:p>
        </w:tc>
        <w:tc>
          <w:tcPr>
            <w:tcW w:w="3203" w:type="dxa"/>
            <w:gridSpan w:val="2"/>
            <w:shd w:val="clear" w:color="auto" w:fill="69AF23"/>
          </w:tcPr>
          <w:p w:rsidR="00DA3A70" w:rsidRPr="00C859A1" w:rsidRDefault="003C04B9" w:rsidP="0028467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C859A1">
              <w:rPr>
                <w:rFonts w:ascii="Tahoma" w:hAnsi="Tahoma"/>
                <w:b/>
                <w:color w:val="FFFFFF" w:themeColor="background1"/>
                <w:sz w:val="18"/>
              </w:rPr>
              <w:t>Gyógyszerek</w:t>
            </w:r>
          </w:p>
        </w:tc>
        <w:tc>
          <w:tcPr>
            <w:tcW w:w="2835" w:type="dxa"/>
            <w:shd w:val="clear" w:color="auto" w:fill="69AF23"/>
          </w:tcPr>
          <w:p w:rsidR="00DA3A70" w:rsidRPr="00C859A1" w:rsidRDefault="003C04B9" w:rsidP="0028467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C859A1">
              <w:rPr>
                <w:rFonts w:ascii="Tahoma" w:hAnsi="Tahoma"/>
                <w:b/>
                <w:color w:val="FFFFFF" w:themeColor="background1"/>
                <w:sz w:val="18"/>
              </w:rPr>
              <w:t>Rövidítés</w:t>
            </w:r>
          </w:p>
        </w:tc>
      </w:tr>
      <w:tr w:rsidR="00E36D64" w:rsidTr="0028467E">
        <w:tc>
          <w:tcPr>
            <w:tcW w:w="3031" w:type="dxa"/>
            <w:shd w:val="clear" w:color="auto" w:fill="auto"/>
          </w:tcPr>
          <w:p w:rsidR="00DA3A70" w:rsidRPr="00C859A1" w:rsidRDefault="003C04B9" w:rsidP="00D40AC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fluorokinolonok</w:t>
            </w:r>
          </w:p>
        </w:tc>
        <w:tc>
          <w:tcPr>
            <w:tcW w:w="3203" w:type="dxa"/>
            <w:gridSpan w:val="2"/>
            <w:shd w:val="clear" w:color="auto" w:fill="auto"/>
          </w:tcPr>
          <w:p w:rsidR="00DA3A70" w:rsidRPr="00C859A1" w:rsidRDefault="003C04B9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levofloxacin</w:t>
            </w:r>
          </w:p>
          <w:p w:rsidR="00DA3A70" w:rsidRPr="00C859A1" w:rsidRDefault="003C04B9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moxifloxacin</w:t>
            </w:r>
          </w:p>
          <w:p w:rsidR="00DA3A70" w:rsidRPr="00C859A1" w:rsidRDefault="003C04B9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gatifloxacin</w:t>
            </w:r>
          </w:p>
        </w:tc>
        <w:tc>
          <w:tcPr>
            <w:tcW w:w="2835" w:type="dxa"/>
            <w:shd w:val="clear" w:color="auto" w:fill="auto"/>
          </w:tcPr>
          <w:p w:rsidR="00DA3A70" w:rsidRPr="00C859A1" w:rsidRDefault="003C04B9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Lfx</w:t>
            </w:r>
          </w:p>
          <w:p w:rsidR="00DA3A70" w:rsidRPr="00C859A1" w:rsidRDefault="003C04B9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Mfx</w:t>
            </w:r>
          </w:p>
          <w:p w:rsidR="00DA3A70" w:rsidRPr="00C859A1" w:rsidRDefault="003C04B9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Gfx</w:t>
            </w:r>
          </w:p>
        </w:tc>
      </w:tr>
      <w:tr w:rsidR="00E36D64" w:rsidTr="0028467E">
        <w:tc>
          <w:tcPr>
            <w:tcW w:w="3031" w:type="dxa"/>
            <w:shd w:val="clear" w:color="auto" w:fill="auto"/>
          </w:tcPr>
          <w:p w:rsidR="00DA3A70" w:rsidRPr="00C859A1" w:rsidRDefault="003C04B9" w:rsidP="00D40AC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Másodvonalbeli injekciós gyógyszerek</w:t>
            </w:r>
          </w:p>
        </w:tc>
        <w:tc>
          <w:tcPr>
            <w:tcW w:w="3203" w:type="dxa"/>
            <w:gridSpan w:val="2"/>
            <w:shd w:val="clear" w:color="auto" w:fill="auto"/>
          </w:tcPr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amikacin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kapreomicin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kanamicin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(sztreptomicin)</w:t>
            </w:r>
          </w:p>
        </w:tc>
        <w:tc>
          <w:tcPr>
            <w:tcW w:w="2835" w:type="dxa"/>
            <w:shd w:val="clear" w:color="auto" w:fill="auto"/>
          </w:tcPr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Am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Cm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Km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(S)</w:t>
            </w:r>
          </w:p>
        </w:tc>
      </w:tr>
      <w:tr w:rsidR="00E36D64" w:rsidTr="0028467E">
        <w:tc>
          <w:tcPr>
            <w:tcW w:w="3031" w:type="dxa"/>
            <w:shd w:val="clear" w:color="auto" w:fill="auto"/>
          </w:tcPr>
          <w:p w:rsidR="00DA3A70" w:rsidRPr="00C859A1" w:rsidRDefault="003C04B9" w:rsidP="00D40AC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Egyéb alapvető másodvonalbeli hatóanyagok</w:t>
            </w:r>
          </w:p>
        </w:tc>
        <w:tc>
          <w:tcPr>
            <w:tcW w:w="3203" w:type="dxa"/>
            <w:gridSpan w:val="2"/>
            <w:shd w:val="clear" w:color="auto" w:fill="auto"/>
          </w:tcPr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etionamid/protionamid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cykloszerin/terizidon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linezolid</w:t>
            </w:r>
          </w:p>
          <w:p w:rsidR="00DA3A70" w:rsidRPr="00C859A1" w:rsidRDefault="003C04B9" w:rsidP="00BD3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klofazimin</w:t>
            </w:r>
          </w:p>
        </w:tc>
        <w:tc>
          <w:tcPr>
            <w:tcW w:w="2835" w:type="dxa"/>
            <w:shd w:val="clear" w:color="auto" w:fill="auto"/>
          </w:tcPr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Eto/Pto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Cs/Trd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Lzd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Cfz</w:t>
            </w:r>
          </w:p>
        </w:tc>
      </w:tr>
      <w:tr w:rsidR="00E36D64" w:rsidTr="0028467E">
        <w:tc>
          <w:tcPr>
            <w:tcW w:w="3031" w:type="dxa"/>
            <w:vMerge w:val="restart"/>
            <w:shd w:val="clear" w:color="auto" w:fill="auto"/>
          </w:tcPr>
          <w:p w:rsidR="00DA3A70" w:rsidRPr="00C859A1" w:rsidRDefault="003C04B9" w:rsidP="00D40AC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Kiegészítő hatóanyagok</w:t>
            </w:r>
            <w:r w:rsidRPr="00C859A1">
              <w:rPr>
                <w:rFonts w:ascii="Tahoma" w:hAnsi="Tahoma" w:cs="Tahoma"/>
                <w:sz w:val="18"/>
                <w:szCs w:val="18"/>
              </w:rPr>
              <w:br/>
            </w:r>
            <w:r w:rsidRPr="00C859A1">
              <w:rPr>
                <w:rFonts w:ascii="Tahoma" w:hAnsi="Tahoma"/>
                <w:sz w:val="18"/>
              </w:rPr>
              <w:t>(nem képezik az MDR tbc elleni alapterápia részét)</w:t>
            </w:r>
          </w:p>
        </w:tc>
        <w:tc>
          <w:tcPr>
            <w:tcW w:w="675" w:type="dxa"/>
            <w:shd w:val="clear" w:color="auto" w:fill="auto"/>
          </w:tcPr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D1</w:t>
            </w:r>
          </w:p>
        </w:tc>
        <w:tc>
          <w:tcPr>
            <w:tcW w:w="2528" w:type="dxa"/>
            <w:shd w:val="clear" w:color="auto" w:fill="auto"/>
          </w:tcPr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pirazinamid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etambutol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magas dózisú izoniazid</w:t>
            </w:r>
          </w:p>
        </w:tc>
        <w:tc>
          <w:tcPr>
            <w:tcW w:w="2835" w:type="dxa"/>
            <w:shd w:val="clear" w:color="auto" w:fill="auto"/>
          </w:tcPr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Z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E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C859A1">
              <w:rPr>
                <w:rFonts w:ascii="Tahoma" w:hAnsi="Tahoma"/>
                <w:sz w:val="18"/>
              </w:rPr>
              <w:t xml:space="preserve">H </w:t>
            </w:r>
            <w:r w:rsidRPr="00C859A1">
              <w:rPr>
                <w:rFonts w:ascii="Tahoma" w:hAnsi="Tahoma"/>
                <w:b/>
                <w:sz w:val="18"/>
                <w:vertAlign w:val="subscript"/>
              </w:rPr>
              <w:t>(magas dózis)</w:t>
            </w:r>
          </w:p>
        </w:tc>
      </w:tr>
      <w:tr w:rsidR="00E36D64" w:rsidTr="0028467E">
        <w:tc>
          <w:tcPr>
            <w:tcW w:w="3031" w:type="dxa"/>
            <w:vMerge/>
            <w:shd w:val="clear" w:color="auto" w:fill="auto"/>
          </w:tcPr>
          <w:p w:rsidR="00DA3A70" w:rsidRPr="00C859A1" w:rsidRDefault="00DA3A7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D2</w:t>
            </w:r>
          </w:p>
        </w:tc>
        <w:tc>
          <w:tcPr>
            <w:tcW w:w="2528" w:type="dxa"/>
            <w:shd w:val="clear" w:color="auto" w:fill="auto"/>
          </w:tcPr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bedakvilin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delamamid</w:t>
            </w:r>
          </w:p>
        </w:tc>
        <w:tc>
          <w:tcPr>
            <w:tcW w:w="2835" w:type="dxa"/>
            <w:shd w:val="clear" w:color="auto" w:fill="auto"/>
          </w:tcPr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Bdq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Dlm</w:t>
            </w:r>
          </w:p>
        </w:tc>
      </w:tr>
      <w:tr w:rsidR="00E36D64" w:rsidTr="0028467E">
        <w:tc>
          <w:tcPr>
            <w:tcW w:w="3031" w:type="dxa"/>
            <w:vMerge/>
            <w:shd w:val="clear" w:color="auto" w:fill="auto"/>
          </w:tcPr>
          <w:p w:rsidR="00DA3A70" w:rsidRPr="00C859A1" w:rsidRDefault="00DA3A7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D3</w:t>
            </w:r>
          </w:p>
        </w:tc>
        <w:tc>
          <w:tcPr>
            <w:tcW w:w="2528" w:type="dxa"/>
            <w:shd w:val="clear" w:color="auto" w:fill="auto"/>
          </w:tcPr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p-aminoszalicilsav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imipenem-cilasztatin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meropenem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amoxicillin-klavulanát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(tioacetazon)</w:t>
            </w:r>
          </w:p>
        </w:tc>
        <w:tc>
          <w:tcPr>
            <w:tcW w:w="2835" w:type="dxa"/>
            <w:shd w:val="clear" w:color="auto" w:fill="auto"/>
          </w:tcPr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PAS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Ipm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Mpm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Amx-Clv</w:t>
            </w:r>
          </w:p>
          <w:p w:rsidR="00DA3A70" w:rsidRPr="00C859A1" w:rsidRDefault="003C04B9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59A1">
              <w:rPr>
                <w:rFonts w:ascii="Tahoma" w:hAnsi="Tahoma"/>
                <w:sz w:val="18"/>
              </w:rPr>
              <w:t>(T)</w:t>
            </w:r>
          </w:p>
        </w:tc>
      </w:tr>
    </w:tbl>
    <w:p w:rsidR="00DA3A70" w:rsidRPr="00C859A1" w:rsidRDefault="00DA3A70" w:rsidP="00DB519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Cs w:val="24"/>
        </w:rPr>
      </w:pPr>
    </w:p>
    <w:p w:rsidR="00DA3A70" w:rsidRPr="00C859A1" w:rsidRDefault="003C04B9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C859A1">
        <w:rPr>
          <w:rFonts w:ascii="Tahoma" w:hAnsi="Tahoma"/>
          <w:b/>
          <w:sz w:val="24"/>
          <w:shd w:val="clear" w:color="auto" w:fill="D9D9D9"/>
        </w:rPr>
        <w:t>13.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 xml:space="preserve">Minden beteg esetében írásos vagy elektronikus nyilvántartást kell vezetni minden beadott gyógyszerről, a kezelés monitorozásáról (beleértve a bakteriológiai választ), a mellékhatásokról és a kezelés eredményeiről. </w:t>
      </w:r>
    </w:p>
    <w:p w:rsidR="00835340" w:rsidRPr="00C859A1" w:rsidRDefault="003C04B9" w:rsidP="000D0DB0">
      <w:pPr>
        <w:pStyle w:val="EC-Title-6"/>
        <w:rPr>
          <w:sz w:val="18"/>
          <w:szCs w:val="18"/>
        </w:rPr>
      </w:pPr>
      <w:r w:rsidRPr="00C859A1">
        <w:t>EU-specifikus követelmények</w:t>
      </w:r>
    </w:p>
    <w:p w:rsidR="00DA3A70" w:rsidRPr="00C859A1" w:rsidRDefault="003C04B9" w:rsidP="00604B0D">
      <w:pPr>
        <w:widowControl w:val="0"/>
        <w:spacing w:after="0"/>
        <w:jc w:val="both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beteggel t</w:t>
      </w:r>
      <w:r w:rsidRPr="00C859A1">
        <w:rPr>
          <w:rFonts w:ascii="Tahoma" w:hAnsi="Tahoma"/>
          <w:sz w:val="18"/>
        </w:rPr>
        <w:t>örténő első kapcsolatfelvétel alkalmával minden esetben be kell gyűjteni a beteg tuberkulózissal kapcsolatos teljes klinikai és szociális előzményeinek adatait, és azokat bele kell foglalni a beteg egészségügyi dokumentációjába. Ennek magában kell foglalni</w:t>
      </w:r>
      <w:r w:rsidRPr="00C859A1">
        <w:rPr>
          <w:rFonts w:ascii="Tahoma" w:hAnsi="Tahoma"/>
          <w:sz w:val="18"/>
        </w:rPr>
        <w:t>a a korábbi diagnózisról, kezelésről (terápia, adagolás, időtartam, a terápia változásai stb.), valamint a kezelés betartásáról rendelkezésre álló információkat, továbbá a diagnózis időpontjában és az utánkövetés során megszerzett teljes körű bakteriológia</w:t>
      </w:r>
      <w:r w:rsidRPr="00C859A1">
        <w:rPr>
          <w:rFonts w:ascii="Tahoma" w:hAnsi="Tahoma"/>
          <w:sz w:val="18"/>
        </w:rPr>
        <w:t>i információkat (köpetből készített kenet, tenyésztés és fajmeghatározás, első- és másodvonalbeli gyógyszerek vonatkozásában végzett fogékonysági vizsgálatok). Ezeket az információkat a beteg részére kiadott dokumentációnak (kórházi elbocsátó, betegáthelye</w:t>
      </w:r>
      <w:r w:rsidRPr="00C859A1">
        <w:rPr>
          <w:rFonts w:ascii="Tahoma" w:hAnsi="Tahoma"/>
          <w:sz w:val="18"/>
        </w:rPr>
        <w:t>zési űrlap vagy ezekkel egyenértékű dokumentum) is tartalmaznia kell a kezelés folytonosságának megkönnyítése érdekében, amennyiben a beteg egy másik egészségügyi egységhez kerül át[32, 33].</w:t>
      </w:r>
    </w:p>
    <w:p w:rsidR="00D830C5" w:rsidRPr="00C859A1" w:rsidRDefault="003C04B9" w:rsidP="00C859A1">
      <w:pPr>
        <w:pStyle w:val="EC-Title-5"/>
        <w:pageBreakBefore/>
        <w:spacing w:before="120"/>
      </w:pPr>
      <w:r w:rsidRPr="00C859A1">
        <w:lastRenderedPageBreak/>
        <w:t>HIV-fertőzés és egyidejűleg fennálló megbetegedések kezelésére vo</w:t>
      </w:r>
      <w:r w:rsidRPr="00C859A1">
        <w:t xml:space="preserve">natkozó szabványok </w:t>
      </w:r>
    </w:p>
    <w:p w:rsidR="00DA3A70" w:rsidRPr="00C859A1" w:rsidRDefault="003C04B9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C859A1">
        <w:rPr>
          <w:rFonts w:ascii="Tahoma" w:hAnsi="Tahoma"/>
          <w:b/>
          <w:sz w:val="24"/>
          <w:shd w:val="clear" w:color="auto" w:fill="D9D9D9"/>
        </w:rPr>
        <w:t>14.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HIV-fertőzéssel kapcsolatos tanácsadást kell nyújtani és HIV-teszt elvégzését kell javasolni minden ismerten vagy feltételezhetően tuberkulózissal fertőzött betegnek. A betegek rutinszerű kezelésének részeként végzett teszt</w:t>
      </w:r>
      <w:r w:rsidRPr="00C859A1">
        <w:rPr>
          <w:rFonts w:ascii="Tahoma" w:hAnsi="Tahoma"/>
          <w:sz w:val="18"/>
        </w:rPr>
        <w:t>elés különösen fontos olyan térségekben, ahol magas a lakosság körében a HIV-fertőzés előfordulási gyakorisága, illetve abban az esetben, ha a beteg nagy kockázatnak kitett népességcsoporthoz tartozik vagy HIV-vel összefüggő megbetegedés tüneteit és/vagy j</w:t>
      </w:r>
      <w:r w:rsidRPr="00C859A1">
        <w:rPr>
          <w:rFonts w:ascii="Tahoma" w:hAnsi="Tahoma"/>
          <w:sz w:val="18"/>
        </w:rPr>
        <w:t>eleit mutatja. A tuberkulózis és a HIV-fertőzés közötti szoros kölcsönhatás miatt integrált megelőzési és kezelési megközelítés alkalmazása javasolt mindkét fertőzés tekintetében[34].</w:t>
      </w:r>
    </w:p>
    <w:p w:rsidR="00DA3A70" w:rsidRPr="00C859A1" w:rsidRDefault="003C04B9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C859A1">
        <w:rPr>
          <w:rFonts w:ascii="Tahoma" w:hAnsi="Tahoma"/>
          <w:b/>
          <w:sz w:val="24"/>
          <w:shd w:val="clear" w:color="auto" w:fill="D9D9D9"/>
        </w:rPr>
        <w:t>15.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Minden tuberkulózissal és HIV-vel egyaránt fertőzött betege</w:t>
      </w:r>
      <w:r w:rsidRPr="00C859A1">
        <w:rPr>
          <w:rFonts w:ascii="Tahoma" w:hAnsi="Tahoma"/>
          <w:sz w:val="18"/>
        </w:rPr>
        <w:t xml:space="preserve">t alaposan ki kell vizsgálni: antiretrovirális terápia javasolt minden HIV-pozitív tuberkulózisos beteg esetében. A tuberkulózis kezelését azonnal meg kell kezdeni, az antiretrovirális kezelést pedig minél hamarabb el kell rendelni. </w:t>
      </w:r>
    </w:p>
    <w:p w:rsidR="00DA3A70" w:rsidRPr="00C859A1" w:rsidRDefault="003C04B9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i/>
          <w:sz w:val="24"/>
          <w:szCs w:val="24"/>
          <w:shd w:val="clear" w:color="auto" w:fill="D9D9D9"/>
        </w:rPr>
      </w:pPr>
      <w:r w:rsidRPr="00C859A1">
        <w:rPr>
          <w:rFonts w:ascii="Tahoma" w:hAnsi="Tahoma"/>
          <w:b/>
          <w:sz w:val="24"/>
          <w:shd w:val="clear" w:color="auto" w:fill="D9D9D9"/>
        </w:rPr>
        <w:t>16.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 xml:space="preserve">Megelőző </w:t>
      </w:r>
      <w:r w:rsidRPr="00C859A1">
        <w:rPr>
          <w:rFonts w:ascii="Tahoma" w:hAnsi="Tahoma"/>
          <w:sz w:val="18"/>
        </w:rPr>
        <w:t xml:space="preserve">jellegű kezelést kell felajánlani azoknak a HIV-társfertőzésben szenvedő betegeknek, akiknél alapos kivizsgálást követően a feltételezett lappangó </w:t>
      </w:r>
      <w:r w:rsidRPr="00C859A1">
        <w:rPr>
          <w:rFonts w:ascii="Tahoma" w:hAnsi="Tahoma"/>
          <w:i/>
          <w:sz w:val="18"/>
        </w:rPr>
        <w:t>M. tuberculosis</w:t>
      </w:r>
      <w:r w:rsidRPr="00C859A1">
        <w:rPr>
          <w:rFonts w:ascii="Tahoma" w:hAnsi="Tahoma"/>
          <w:sz w:val="18"/>
        </w:rPr>
        <w:t>-fertőzésre vonatkozó vizsgálatok (TST és/vagy IGRA) eredménye pozitív, ugyanakkor nem szenved</w:t>
      </w:r>
      <w:r w:rsidRPr="00C859A1">
        <w:rPr>
          <w:rFonts w:ascii="Tahoma" w:hAnsi="Tahoma"/>
          <w:sz w:val="18"/>
        </w:rPr>
        <w:t>nek aktív tuberkulózisban.</w:t>
      </w:r>
    </w:p>
    <w:p w:rsidR="00835340" w:rsidRPr="00C859A1" w:rsidRDefault="003C04B9" w:rsidP="000D0DB0">
      <w:pPr>
        <w:pStyle w:val="EC-Title-6"/>
        <w:rPr>
          <w:sz w:val="18"/>
          <w:szCs w:val="18"/>
        </w:rPr>
      </w:pPr>
      <w:r w:rsidRPr="00C859A1">
        <w:t>EU-specifikus követelmények</w:t>
      </w:r>
    </w:p>
    <w:p w:rsidR="00DA3A70" w:rsidRPr="00C859A1" w:rsidRDefault="003C04B9" w:rsidP="000D0DB0">
      <w:pPr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 xml:space="preserve">Mivel a HIV-társfertőzés ismerten növeli az aktív tuberkulózis kialakulásának valószínűségét fertőzés esetén, kezdeti egyéni kockázatértékelést kell végezni minden olyan HIV-szeropozitív személynél, </w:t>
      </w:r>
      <w:r w:rsidRPr="00C859A1">
        <w:rPr>
          <w:rFonts w:ascii="Tahoma" w:hAnsi="Tahoma"/>
          <w:sz w:val="18"/>
        </w:rPr>
        <w:t>aki érintkezett MDR tbc-törzset hordozó jelző esettel. A lappangó fertőzésre utaló bizonyítékokat mutató személyeknél rendszeres klinikai monitorozást és utánkövetést kell biztosítani [35].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megelőző jellegű kezelés során figyelembe kell venni a forrásese</w:t>
      </w:r>
      <w:r w:rsidRPr="00C859A1">
        <w:rPr>
          <w:rFonts w:ascii="Tahoma" w:hAnsi="Tahoma"/>
          <w:sz w:val="18"/>
        </w:rPr>
        <w:t>t gyógyszerrezisztencia-mintáját, a CD4-számot, valamint az antiretrovirális kezelés alkalmazását. A megelőző jellegű kezelés során a beteget 6 hónapig izoniaziddal, vagy 9 hónapig izoniaziddal, vagy 3 hónapig heti rendszerességgel beadott rifapentinnel és</w:t>
      </w:r>
      <w:r w:rsidRPr="00C859A1">
        <w:rPr>
          <w:rFonts w:ascii="Tahoma" w:hAnsi="Tahoma"/>
          <w:sz w:val="18"/>
        </w:rPr>
        <w:t xml:space="preserve"> izoniaziddal, vagy 3-4 hónapig izoniaziddal és rifampicinnel, vagy 3-4 hónapig csak rifampicinnel kell kezelni[36, 37]. A rifampicint és rifapentint alkalmazó terápiákat az esetleges gyógyszerkölcsönhatások miatt körültekintéssel kell elrendelni azoknál a</w:t>
      </w:r>
      <w:r w:rsidRPr="00C859A1">
        <w:rPr>
          <w:rFonts w:ascii="Tahoma" w:hAnsi="Tahoma"/>
          <w:sz w:val="18"/>
        </w:rPr>
        <w:t xml:space="preserve"> HIV-vel élő személyeknél, akik antiretrovirális kezelésben részesülnek[36, 38].</w:t>
      </w:r>
    </w:p>
    <w:p w:rsidR="00DA3A70" w:rsidRPr="00C859A1" w:rsidRDefault="003C04B9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C859A1">
        <w:rPr>
          <w:rFonts w:ascii="Tahoma" w:hAnsi="Tahoma"/>
          <w:b/>
          <w:sz w:val="24"/>
        </w:rPr>
        <w:t>17.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Minden szolgáltatónak alaposan értékelnie kell mindazokat a megbetegedéseket, amelyek befolyásolhatják a tuberkulózis kezelésére adott választ vagy a kezelés ered</w:t>
      </w:r>
      <w:r w:rsidRPr="00C859A1">
        <w:rPr>
          <w:rFonts w:ascii="Tahoma" w:hAnsi="Tahoma"/>
          <w:sz w:val="18"/>
        </w:rPr>
        <w:t xml:space="preserve">ményét. Az esetkezelési terv kidolgozásakor a szolgáltatónak azonosítania kell azokat a kiegészítő szolgáltatásokat, amelyek támogatnák az optimális eredmény elérését az egyes betegeknél, és ezeket a szolgáltatásokat be kell építenie egy személyre szabott </w:t>
      </w:r>
      <w:r w:rsidRPr="00C859A1">
        <w:rPr>
          <w:rFonts w:ascii="Tahoma" w:hAnsi="Tahoma"/>
          <w:sz w:val="18"/>
        </w:rPr>
        <w:t>ellátási tervbe. Ennek a tervnek tartalmaznia kell az egyéb betegségek kezelésének értékelését és ilyen kezelésekre való beutalást, különös tekintettel azokra a betegségekre, amelyek ismerten befolyásolják a kezelés eredményeit, mint például a HIV, a cukor</w:t>
      </w:r>
      <w:r w:rsidRPr="00C859A1">
        <w:rPr>
          <w:rFonts w:ascii="Tahoma" w:hAnsi="Tahoma"/>
          <w:sz w:val="18"/>
        </w:rPr>
        <w:t>betegség, a kábítószer- és alkoholfüggőség, a dohányzás, valamint egyéb pszichoszociális problémák[39]. Szükség szerint szülés előtti és csecsemőgondozási szolgáltatásokat is kell nyújtani.</w:t>
      </w:r>
    </w:p>
    <w:p w:rsidR="00835340" w:rsidRPr="00C859A1" w:rsidRDefault="003C04B9" w:rsidP="000D0DB0">
      <w:pPr>
        <w:pStyle w:val="EC-Title-6"/>
      </w:pPr>
      <w:r w:rsidRPr="00C859A1">
        <w:t>EU-specifikus követelmények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WHO tbc-vel/HIV-vel kapcsolatos, egy</w:t>
      </w:r>
      <w:r w:rsidRPr="00C859A1">
        <w:rPr>
          <w:rFonts w:ascii="Tahoma" w:hAnsi="Tahoma"/>
          <w:sz w:val="18"/>
        </w:rPr>
        <w:t>üttműködésen alapuló tevékenységekre vonatkozó ideiglenes politikájában meghatározott teljes csomagot végre kell hajtani az összes tevékenység – mind az itt leírtak, mind a WHO-csomagban szereplő egyéb tevékenységek – tekintetében[34].</w:t>
      </w:r>
    </w:p>
    <w:p w:rsidR="00DA3A70" w:rsidRPr="00C859A1" w:rsidRDefault="003C04B9" w:rsidP="0028467E">
      <w:pPr>
        <w:pStyle w:val="EC-Title-5"/>
        <w:spacing w:before="120"/>
        <w:rPr>
          <w:b w:val="0"/>
          <w:sz w:val="24"/>
          <w:szCs w:val="24"/>
        </w:rPr>
      </w:pPr>
      <w:r w:rsidRPr="00C859A1">
        <w:t>Közegészségügyi és t</w:t>
      </w:r>
      <w:r w:rsidRPr="00C859A1">
        <w:t>uberkulózis-megelőzési szabványok</w:t>
      </w:r>
    </w:p>
    <w:p w:rsidR="00DA3A70" w:rsidRPr="00C859A1" w:rsidRDefault="003C04B9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C859A1">
        <w:rPr>
          <w:rFonts w:ascii="Tahoma" w:hAnsi="Tahoma"/>
          <w:b/>
          <w:sz w:val="24"/>
        </w:rPr>
        <w:t>18.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Minden, tuberkulózisos betegeket ellátó szolgáltatónak biztosítania kell, hogy az aktív és fertőző tuberkulózisban szenvedő betegekkel közvetlenül érintkezett személyeket a nemzetközi ajánlások</w:t>
      </w:r>
      <w:r w:rsidRPr="00C859A1">
        <w:rPr>
          <w:rFonts w:ascii="Tahoma" w:hAnsi="Tahoma"/>
          <w:sz w:val="18"/>
        </w:rPr>
        <w:t xml:space="preserve">nak megfelelően vizsgálják ki és kezeljék. A beteggel közvetlenül érintkező személynek minősülnek többek között a beteggel egy háztartásban </w:t>
      </w:r>
      <w:r w:rsidRPr="00C859A1">
        <w:rPr>
          <w:rFonts w:ascii="Tahoma" w:hAnsi="Tahoma"/>
          <w:sz w:val="18"/>
        </w:rPr>
        <w:lastRenderedPageBreak/>
        <w:t>élők, családtagok, valamint a beteggel gyűjtőhely jellegű környezetekben – például börtönben, hajléktalan- vagy mene</w:t>
      </w:r>
      <w:r w:rsidRPr="00C859A1">
        <w:rPr>
          <w:rFonts w:ascii="Tahoma" w:hAnsi="Tahoma"/>
          <w:sz w:val="18"/>
        </w:rPr>
        <w:t>kültszálláson –, továbbá zárt terekben, például iskolában vagy irodában intenzíven vagy tartósan érintkező személyek.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tuberkulózis terjedésének kockázata a tuberkulózis bacilusok levegőbeli koncentrációjától, a légáramlástól, a beteggel való érintkezés i</w:t>
      </w:r>
      <w:r w:rsidRPr="00C859A1">
        <w:rPr>
          <w:rFonts w:ascii="Tahoma" w:hAnsi="Tahoma"/>
          <w:sz w:val="18"/>
        </w:rPr>
        <w:t>dőtartamától, valamint a beteggel érintkező személy fertőzésre való hajlamától függ. Az érintkezés vizsgálata során a prioritások meghatározása annak valószínűségétől függ, hogy a beteggel érintkezett személy 1) nem diagnosztizált, tehát nem kezelt tuberku</w:t>
      </w:r>
      <w:r w:rsidRPr="00C859A1">
        <w:rPr>
          <w:rFonts w:ascii="Tahoma" w:hAnsi="Tahoma"/>
          <w:sz w:val="18"/>
        </w:rPr>
        <w:t>lózisban szenved, 2) magas a kockázata, hogy a jelölő eset megfertőzte, 3) magas a kockázata, hogy fertőzés esetén tuberkulózis alakul ki nála, 4) magas a kockázata, hogy a betegség kialakulása esetén súlyos tuberkulózis alakul ki nála.</w:t>
      </w:r>
    </w:p>
    <w:p w:rsidR="00835340" w:rsidRPr="00C859A1" w:rsidRDefault="003C04B9" w:rsidP="00835340">
      <w:pPr>
        <w:pStyle w:val="EC-Title-6"/>
      </w:pPr>
      <w:r w:rsidRPr="00C859A1">
        <w:t>EU-specifikus követ</w:t>
      </w:r>
      <w:r w:rsidRPr="00C859A1">
        <w:t>elmények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tuberkulózis átterjedésének és az arra való fogékonyságnak a meghatározó tényezőit alaposan figyelembe kell venni annak értékelése során, hogy a betegség feltehetően átterjedt-e, valamint hogy szükség van-e az érintkezés nyomon követésének megke</w:t>
      </w:r>
      <w:r w:rsidRPr="00C859A1">
        <w:rPr>
          <w:rFonts w:ascii="Tahoma" w:hAnsi="Tahoma"/>
          <w:sz w:val="18"/>
        </w:rPr>
        <w:t xml:space="preserve">zdésére[40]. 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Az MDR és XDR tbc-ben szenvedő betegekkel közvetlenül érintkezett személyeket a nemzeti iránymutatásoknak megfelelően tesztelni kell lappangó tuberkulózisfertőzés (LTBI), valamint tuberkulózis tekintetében. Azoknál a beteggel érintkezett szem</w:t>
      </w:r>
      <w:r w:rsidRPr="00C859A1">
        <w:rPr>
          <w:rFonts w:ascii="Tahoma" w:hAnsi="Tahoma"/>
          <w:sz w:val="18"/>
        </w:rPr>
        <w:t>élyeknél, akiknél a tuberkulózisos megbetegedés kizárható, valamint akiknél LTBI-t diagnosztizálnak, egyedi kockázatértékelést kell végezni a következők megállapítása érdekében: 1) annak kockázata, hogy a beteggel érintkezett személynél tuberkulózisos megb</w:t>
      </w:r>
      <w:r w:rsidRPr="00C859A1">
        <w:rPr>
          <w:rFonts w:ascii="Tahoma" w:hAnsi="Tahoma"/>
          <w:sz w:val="18"/>
        </w:rPr>
        <w:t>etegedés alakuljon ki, 2) a forráseset gyógyszerekre való fogékonysága, valamint 3) annak kockázata, hogy a beteggel érintkezett személynél az LTBI-kezelés mellékhatásokkal jár[36, 38]. Az LTBI-kezeléssel kapcsolatos klinikai tanácsoktól függetlenül ezekne</w:t>
      </w:r>
      <w:r w:rsidRPr="00C859A1">
        <w:rPr>
          <w:rFonts w:ascii="Tahoma" w:hAnsi="Tahoma"/>
          <w:sz w:val="18"/>
        </w:rPr>
        <w:t>k a beteggel érintkezett személyeknek alapos klinikai megfigyelést, tájékoztatást és egészségügyi oktatást kell biztosítani az LTBI és a tuberkulózisos megbetegedés kezelésében jártas egészségügyi dolgozóknak[35, 41].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Az érintkezés veszélyeztetett és nehez</w:t>
      </w:r>
      <w:r w:rsidRPr="00C859A1">
        <w:rPr>
          <w:rFonts w:ascii="Tahoma" w:hAnsi="Tahoma"/>
          <w:sz w:val="18"/>
        </w:rPr>
        <w:t>en elérhető népességcsoportok körében végzett nyomon követése során javasolt bevonni a helyi közösségi szervezeteket (ideértve a közösségi egészségügyi dolgozókat, a nem klinikai egészségügyi szakembereket és szakmabelieket). Ez a megközelítés hozzájárulha</w:t>
      </w:r>
      <w:r w:rsidRPr="00C859A1">
        <w:rPr>
          <w:rFonts w:ascii="Tahoma" w:hAnsi="Tahoma"/>
          <w:sz w:val="18"/>
        </w:rPr>
        <w:t>t az esetleges érintkezések sikeres azonosításához[42, 43].</w:t>
      </w:r>
    </w:p>
    <w:p w:rsidR="0098145B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klinikai orvosoknak és a nemzeti programok irányítóinak együtt kell működniük a migráns vagy mobilis népességcsoportokhoz tartozó tuberkulózisos betegek befogadó és/vagy származási országának me</w:t>
      </w:r>
      <w:r w:rsidRPr="00C859A1">
        <w:rPr>
          <w:rFonts w:ascii="Tahoma" w:hAnsi="Tahoma"/>
          <w:sz w:val="18"/>
        </w:rPr>
        <w:t xml:space="preserve">gfelelő egészségügyi hatóságaival az ellátás folyamatosságának és az érintkezés vizsgálatának megfelelő biztosítása érdekében[44]. </w:t>
      </w:r>
    </w:p>
    <w:p w:rsidR="00DA3A70" w:rsidRPr="00C859A1" w:rsidRDefault="003C04B9" w:rsidP="00604B0D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C859A1">
        <w:rPr>
          <w:rFonts w:ascii="Tahoma" w:hAnsi="Tahoma"/>
          <w:b/>
          <w:sz w:val="24"/>
          <w:shd w:val="clear" w:color="auto" w:fill="D9D9D9"/>
        </w:rPr>
        <w:t>19.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Lappangó tuberkulózisfertőzés szempontjából meg kell vizsgálni a fertőző tuberkulózisban szenvedő beteggel érin</w:t>
      </w:r>
      <w:r w:rsidRPr="00C859A1">
        <w:rPr>
          <w:rFonts w:ascii="Tahoma" w:hAnsi="Tahoma"/>
          <w:sz w:val="18"/>
        </w:rPr>
        <w:t>tkezett személyeket, a HIV-fertőzött személyeket, azokat a betegeket, akiknél tumornekrózis-faktor-alfa (TNF) elleni kezelést kezdtek, a dialízissel kezelt, a szervátültetésre vagy vérátömlesztésre való előkészítés alatt álló, valamint a szilikózisban szen</w:t>
      </w:r>
      <w:r w:rsidRPr="00C859A1">
        <w:rPr>
          <w:rFonts w:ascii="Tahoma" w:hAnsi="Tahoma"/>
          <w:sz w:val="18"/>
        </w:rPr>
        <w:t>vedő betegeket. A lappangó tuberkulózisfertőzés megállapítása esetén a beteget alaposan ki kell vizsgálni aktív tuberkulózis szempontjából. Amennyiben az aktív tuberkulózis kizárható, a WHO által javasolt megelőző kezelést kell biztosítani.</w:t>
      </w:r>
    </w:p>
    <w:p w:rsidR="00DA3A70" w:rsidRPr="00C859A1" w:rsidRDefault="003C04B9" w:rsidP="000D0DB0">
      <w:pPr>
        <w:pStyle w:val="EC-Title-6"/>
        <w:rPr>
          <w:b w:val="0"/>
          <w:sz w:val="24"/>
          <w:szCs w:val="24"/>
        </w:rPr>
      </w:pPr>
      <w:r w:rsidRPr="00C859A1">
        <w:rPr>
          <w:sz w:val="24"/>
        </w:rPr>
        <w:t>EU-specifikus k</w:t>
      </w:r>
      <w:r w:rsidRPr="00C859A1">
        <w:rPr>
          <w:sz w:val="24"/>
        </w:rPr>
        <w:t>övetelmények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klinikai orvosoknak a közegészségügyi hatóságokkal együttműködve, a fokozatosan tágított körök módszerére vonatkozó nemzeti és nemzetközi ajánlások szerint kell végrehajtaniuk az érintkezés nyomon követésére irányuló megfelelő eljárásokat, a</w:t>
      </w:r>
      <w:r w:rsidRPr="00C859A1">
        <w:rPr>
          <w:rFonts w:ascii="Tahoma" w:hAnsi="Tahoma"/>
          <w:sz w:val="18"/>
        </w:rPr>
        <w:t>mennyiben fertőző jelölő esetet diagnosztizálnak és jelentenek be[40, 41, 45, 46]. Ehhez hasonlóan a forrás felkutatását és az érintkezés vizsgálatát egyaránt el kell kezdeni, ha tuberkulózisban szenvedő gyermeket azonosítanak (a fertőzés helyétől függetle</w:t>
      </w:r>
      <w:r w:rsidRPr="00C859A1">
        <w:rPr>
          <w:rFonts w:ascii="Tahoma" w:hAnsi="Tahoma"/>
          <w:sz w:val="18"/>
        </w:rPr>
        <w:t xml:space="preserve">nül), ugyanakkor a forrás nem azonosítható[41, 47]. 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A TNF-ɑ elleni kezelésben részesülő személyekkel való érintkezést magas kockázatúnak kell tekinteni. A 16. uniós szabvány szerint a HIV-fertőzött vagy társfertőzésben szenvedő személyeknél haladéktalanul</w:t>
      </w:r>
      <w:r w:rsidRPr="00C859A1">
        <w:rPr>
          <w:rFonts w:ascii="Tahoma" w:hAnsi="Tahoma"/>
          <w:sz w:val="18"/>
        </w:rPr>
        <w:t xml:space="preserve"> el kell kezdeni a lappangó fertőzés kezelését, amennyiben TST és/vagy IGRA útján tuberkulózisfertőzést állapítanak meg, és az aktív tuberkulózis kizárható[10, 36, 38, 40, 48, 49].</w:t>
      </w:r>
    </w:p>
    <w:p w:rsidR="00DA3A70" w:rsidRPr="00C859A1" w:rsidRDefault="003C04B9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C859A1">
        <w:rPr>
          <w:rFonts w:ascii="Tahoma" w:hAnsi="Tahoma"/>
          <w:b/>
          <w:sz w:val="24"/>
          <w:shd w:val="clear" w:color="auto" w:fill="D9D9D9"/>
        </w:rPr>
        <w:t>20.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 xml:space="preserve">Minden, ismerten vagy feltehetően fertőző tuberkulózisban </w:t>
      </w:r>
      <w:r w:rsidRPr="00C859A1">
        <w:rPr>
          <w:rFonts w:ascii="Tahoma" w:hAnsi="Tahoma"/>
          <w:sz w:val="18"/>
        </w:rPr>
        <w:t xml:space="preserve">szenvedő betegeket ellátó egészségügyi létesítménynek megfelelő, tuberkulózisfertőzéssel kapcsolatos infekciókontroll-tervet kell kidolgoznia és végrehajtania. </w:t>
      </w:r>
    </w:p>
    <w:p w:rsidR="0098145B" w:rsidRPr="00C859A1" w:rsidRDefault="003C04B9" w:rsidP="0098145B">
      <w:pPr>
        <w:pStyle w:val="EC-Title-6"/>
        <w:rPr>
          <w:sz w:val="24"/>
          <w:szCs w:val="24"/>
        </w:rPr>
      </w:pPr>
      <w:r w:rsidRPr="00C859A1">
        <w:rPr>
          <w:sz w:val="24"/>
        </w:rPr>
        <w:lastRenderedPageBreak/>
        <w:t>EU-specifikus követelmények</w:t>
      </w:r>
    </w:p>
    <w:p w:rsidR="00DA3A70" w:rsidRPr="00C859A1" w:rsidRDefault="003C04B9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C859A1">
        <w:rPr>
          <w:rFonts w:ascii="Tahoma" w:hAnsi="Tahoma"/>
          <w:spacing w:val="-2"/>
          <w:sz w:val="18"/>
        </w:rPr>
        <w:t>Az otthoni kezelést előnyben részesítő betegek számára otthoni infe</w:t>
      </w:r>
      <w:r w:rsidRPr="00C859A1">
        <w:rPr>
          <w:rFonts w:ascii="Tahoma" w:hAnsi="Tahoma"/>
          <w:spacing w:val="-2"/>
          <w:sz w:val="18"/>
        </w:rPr>
        <w:t>kciókontroll-intézkedésekkel támogatott közösségi alapú kezelést kell biztosítani[5, 24].</w:t>
      </w:r>
    </w:p>
    <w:p w:rsidR="00DA3A70" w:rsidRPr="00C859A1" w:rsidRDefault="003C04B9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C859A1">
        <w:rPr>
          <w:rFonts w:ascii="Tahoma" w:hAnsi="Tahoma"/>
          <w:spacing w:val="-2"/>
          <w:sz w:val="18"/>
        </w:rPr>
        <w:t>Amennyiben kórházi ellátás szükséges, a klinikai orvosoknak biztosítaniuk kell, hogy minden újonnan felvett, feltehetően fertőző tuberkulózisban szenvedő betegnél lég</w:t>
      </w:r>
      <w:r w:rsidRPr="00C859A1">
        <w:rPr>
          <w:rFonts w:ascii="Tahoma" w:hAnsi="Tahoma"/>
          <w:spacing w:val="-2"/>
          <w:sz w:val="18"/>
        </w:rPr>
        <w:t xml:space="preserve">zésvédelmi izolációs intézkedéseket tegyenek, amíg a diagnózist meg nem erősítik vagy ki nem zárják[2]. </w:t>
      </w:r>
    </w:p>
    <w:p w:rsidR="00DA3A70" w:rsidRPr="00C859A1" w:rsidRDefault="003C04B9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C859A1">
        <w:rPr>
          <w:rFonts w:ascii="Tahoma" w:hAnsi="Tahoma"/>
          <w:spacing w:val="-2"/>
          <w:sz w:val="18"/>
        </w:rPr>
        <w:t>A tuberkulózis bacilus más betegekre, dolgozókra és/vagy látogatókra való átterjedésének megelőzése érdekében azokat a betegeket, akiknél a tuberkulózi</w:t>
      </w:r>
      <w:r w:rsidRPr="00C859A1">
        <w:rPr>
          <w:rFonts w:ascii="Tahoma" w:hAnsi="Tahoma"/>
          <w:spacing w:val="-2"/>
          <w:sz w:val="18"/>
        </w:rPr>
        <w:t>sra vonatkozó kenetvizsgálat eredménye pozitív, ideális esetben megfelelő szobában el kell különíteni, amíg el nem érik a bakteriológiai konverziót (a köpet mikroszkópos vizsgálatának eredménye negatív nem lesz). Az elkülönítéshez negatív nyomásos szellőzé</w:t>
      </w:r>
      <w:r w:rsidRPr="00C859A1">
        <w:rPr>
          <w:rFonts w:ascii="Tahoma" w:hAnsi="Tahoma"/>
          <w:spacing w:val="-2"/>
          <w:sz w:val="18"/>
        </w:rPr>
        <w:t xml:space="preserve">sű szobákat kell alkalmazni. </w:t>
      </w:r>
    </w:p>
    <w:p w:rsidR="00DA3A70" w:rsidRPr="00C859A1" w:rsidRDefault="003C04B9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C859A1">
        <w:rPr>
          <w:rFonts w:ascii="Tahoma" w:hAnsi="Tahoma"/>
          <w:spacing w:val="-2"/>
          <w:sz w:val="18"/>
        </w:rPr>
        <w:t xml:space="preserve">Kijelölt személy által kezelt megfelelő infekciókontroll-tervet kell kidolgozni, amelynek a következő négy alkotóelemet kell magában foglalnia: vezetői tevékenységek, adminisztratív kontrollok, környezeti kontrollok, valamint </w:t>
      </w:r>
      <w:r w:rsidRPr="00C859A1">
        <w:rPr>
          <w:rFonts w:ascii="Tahoma" w:hAnsi="Tahoma"/>
          <w:spacing w:val="-2"/>
          <w:sz w:val="18"/>
        </w:rPr>
        <w:t xml:space="preserve">személyes védelmi intézkedések[5, 50]. Minden egészségügyi létesítményben megfelelő adminisztratív intézkedéseket kell bevezetni a tuberkulózisfertőzés kontrollja érdekében, továbbá megfelelő légzésvédelmi intézkedéseket kell hozni (beleértve a gázmaszkok </w:t>
      </w:r>
      <w:r w:rsidRPr="00C859A1">
        <w:rPr>
          <w:rFonts w:ascii="Tahoma" w:hAnsi="Tahoma"/>
          <w:spacing w:val="-2"/>
          <w:sz w:val="18"/>
        </w:rPr>
        <w:t>használatát a személyzet körében végzett gázmaszkfelpróbálási teszteket követően, valamint a sebészeti maszkok használatát a fertőző betegek esetében). Az infekciókontroll-tervnek a személyzet részére nyújtott megfelelő infekciókontroll-képzésről, valamint</w:t>
      </w:r>
      <w:r w:rsidRPr="00C859A1">
        <w:rPr>
          <w:rFonts w:ascii="Tahoma" w:hAnsi="Tahoma"/>
          <w:spacing w:val="-2"/>
          <w:sz w:val="18"/>
        </w:rPr>
        <w:t xml:space="preserve"> a betegeknek nyújtott szabványosított, validált eszközökön alapuló, köhögési etikettel kapcsolatos egészségügyi oktatásról is rendelkeznie kell. Infekciókontroll-szakértőkből álló, légi úton terjedő betegségekkel foglalkozó infekciókontroll-bizottságokat </w:t>
      </w:r>
      <w:r w:rsidRPr="00C859A1">
        <w:rPr>
          <w:rFonts w:ascii="Tahoma" w:hAnsi="Tahoma"/>
          <w:spacing w:val="-2"/>
          <w:sz w:val="18"/>
        </w:rPr>
        <w:t>is létre kell hozni[5, 50-52].</w:t>
      </w:r>
    </w:p>
    <w:p w:rsidR="00DA3A70" w:rsidRPr="00C859A1" w:rsidRDefault="003C04B9" w:rsidP="00496312">
      <w:pPr>
        <w:shd w:val="clear" w:color="auto" w:fill="E7E6E6"/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C859A1">
        <w:rPr>
          <w:rFonts w:ascii="Tahoma" w:hAnsi="Tahoma"/>
          <w:b/>
          <w:sz w:val="24"/>
          <w:shd w:val="clear" w:color="auto" w:fill="D9D9D9"/>
        </w:rPr>
        <w:t>21. szabvány</w:t>
      </w:r>
    </w:p>
    <w:p w:rsidR="00DA3A70" w:rsidRPr="00C859A1" w:rsidRDefault="003C04B9" w:rsidP="0028467E">
      <w:pPr>
        <w:spacing w:after="120"/>
        <w:rPr>
          <w:rFonts w:ascii="Tahoma" w:hAnsi="Tahoma" w:cs="Tahoma"/>
          <w:sz w:val="18"/>
          <w:szCs w:val="18"/>
        </w:rPr>
      </w:pPr>
      <w:r w:rsidRPr="00C859A1">
        <w:rPr>
          <w:rFonts w:ascii="Tahoma" w:hAnsi="Tahoma"/>
          <w:sz w:val="18"/>
        </w:rPr>
        <w:t>Minden szolgáltatónak a vonatkozó jogi követelményeknek és szakpolitikáknak megfelelően jelentenie kell a helyi közegészségügyi hatóságoknak mind az új, mind az ismételten kezelt tuberkulózisos eseteket, vala</w:t>
      </w:r>
      <w:r w:rsidRPr="00C859A1">
        <w:rPr>
          <w:rFonts w:ascii="Tahoma" w:hAnsi="Tahoma"/>
          <w:sz w:val="18"/>
        </w:rPr>
        <w:t xml:space="preserve">mint a kezelések eredményeit. </w:t>
      </w:r>
    </w:p>
    <w:p w:rsidR="0098145B" w:rsidRPr="00C859A1" w:rsidRDefault="003C04B9" w:rsidP="0098145B">
      <w:pPr>
        <w:pStyle w:val="EC-Title-6"/>
        <w:rPr>
          <w:sz w:val="24"/>
          <w:szCs w:val="24"/>
        </w:rPr>
      </w:pPr>
      <w:r w:rsidRPr="00C859A1">
        <w:rPr>
          <w:sz w:val="24"/>
        </w:rPr>
        <w:t>EU-specifikus követelmények</w:t>
      </w:r>
    </w:p>
    <w:p w:rsidR="00DA3A70" w:rsidRPr="00C859A1" w:rsidRDefault="003C04B9" w:rsidP="000D0DB0">
      <w:pPr>
        <w:rPr>
          <w:rFonts w:ascii="Tahoma" w:hAnsi="Tahoma" w:cs="Tahoma"/>
          <w:spacing w:val="-2"/>
          <w:sz w:val="18"/>
          <w:szCs w:val="18"/>
        </w:rPr>
      </w:pPr>
      <w:r w:rsidRPr="00C859A1">
        <w:rPr>
          <w:rFonts w:ascii="Tahoma" w:hAnsi="Tahoma"/>
          <w:spacing w:val="-2"/>
          <w:sz w:val="18"/>
        </w:rPr>
        <w:t xml:space="preserve">A klinikai orvosoknak rendszeres időközönként (például negyedévente) értékelést kell végezniük a klinikai egységüknél végzett kezelések eredményével kapcsolatban[18, 53]. A kezelések eredményeit a </w:t>
      </w:r>
      <w:r w:rsidRPr="00C859A1">
        <w:rPr>
          <w:rFonts w:ascii="Tahoma" w:hAnsi="Tahoma"/>
          <w:spacing w:val="-2"/>
          <w:sz w:val="18"/>
        </w:rPr>
        <w:t>vonatkozó követelményeknek és szakpolitikáknak megfelelően jelenteni kell a helyi közegészségügyi hatóságoknak, és egyúttal monitoring- és értékelési eszközként kell azokat használni a betegkezelés minőségének javítása érdekében.</w:t>
      </w:r>
      <w:r w:rsidRPr="00C859A1">
        <w:rPr>
          <w:rFonts w:ascii="Tahoma" w:hAnsi="Tahoma"/>
          <w:b/>
          <w:spacing w:val="-2"/>
          <w:sz w:val="18"/>
        </w:rPr>
        <w:t xml:space="preserve"> </w:t>
      </w:r>
      <w:r w:rsidRPr="00C859A1">
        <w:rPr>
          <w:rFonts w:ascii="Tahoma" w:hAnsi="Tahoma"/>
          <w:spacing w:val="-2"/>
          <w:sz w:val="18"/>
        </w:rPr>
        <w:t>Ezenkívül a közegészségügy</w:t>
      </w:r>
      <w:r w:rsidRPr="00C859A1">
        <w:rPr>
          <w:rFonts w:ascii="Tahoma" w:hAnsi="Tahoma"/>
          <w:spacing w:val="-2"/>
          <w:sz w:val="18"/>
        </w:rPr>
        <w:t>i részlegeknek is rendszeresen információkat kell szolgáltatniuk a kezelések eredményeiről az egészségügyi szolgáltatóknak az eredmények összehangolt értékelése érdekében. A betegek kezelésének végkimenetelére vonatkozó információknak rendelkezésre kell ál</w:t>
      </w:r>
      <w:r w:rsidRPr="00C859A1">
        <w:rPr>
          <w:rFonts w:ascii="Tahoma" w:hAnsi="Tahoma"/>
          <w:spacing w:val="-2"/>
          <w:sz w:val="18"/>
        </w:rPr>
        <w:t>lniuk a kezelést megkezdő klinikai egységnél, még akkor is, ha a beteget más egységhez helyezik át. A kezelések eredményeinek a közegészségügyi hatóságok felé történő jelentéséért, valamint a klinika saját eseteinek negyedéves értékeléséért felelős egészsé</w:t>
      </w:r>
      <w:r w:rsidRPr="00C859A1">
        <w:rPr>
          <w:rFonts w:ascii="Tahoma" w:hAnsi="Tahoma"/>
          <w:spacing w:val="-2"/>
          <w:sz w:val="18"/>
        </w:rPr>
        <w:t>gügyi személyzetet megfelelő képzésben kell részesíteni. Ez az elv az EU határait átlépő tuberkulózisos betegek esetében is érvényes[54–57].</w:t>
      </w:r>
    </w:p>
    <w:p w:rsidR="00E9311A" w:rsidRPr="00C859A1" w:rsidRDefault="003C04B9" w:rsidP="0028467E">
      <w:pPr>
        <w:rPr>
          <w:rFonts w:ascii="Tahoma" w:eastAsia="Batang" w:hAnsi="Tahoma" w:cs="Tahoma"/>
          <w:color w:val="69AE23"/>
          <w:sz w:val="30"/>
          <w:szCs w:val="30"/>
        </w:rPr>
      </w:pPr>
      <w:r w:rsidRPr="00C859A1">
        <w:br w:type="page"/>
      </w:r>
    </w:p>
    <w:p w:rsidR="00CC0F38" w:rsidRPr="00C859A1" w:rsidRDefault="003C04B9" w:rsidP="0028467E">
      <w:pPr>
        <w:pStyle w:val="EC-Title-5"/>
        <w:spacing w:before="120"/>
      </w:pPr>
      <w:r w:rsidRPr="00C859A1">
        <w:lastRenderedPageBreak/>
        <w:t>Referenciák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1.</w:t>
      </w:r>
      <w:r w:rsidRPr="00C859A1">
        <w:tab/>
      </w:r>
      <w:r w:rsidRPr="00C859A1">
        <w:rPr>
          <w:rFonts w:ascii="Tahoma" w:hAnsi="Tahoma"/>
          <w:sz w:val="16"/>
        </w:rPr>
        <w:t>Schoch OD, Rieder P, Tueller C, Altpeter E, Zellweger JP, Rieder HL, et al. Diagnostic yield of sp</w:t>
      </w:r>
      <w:r w:rsidRPr="00C859A1">
        <w:rPr>
          <w:rFonts w:ascii="Tahoma" w:hAnsi="Tahoma"/>
          <w:sz w:val="16"/>
        </w:rPr>
        <w:t>utum, induced sputum, and bronchoscopy after radiologic tuberculosis screening. Am J Respir Crit Care Med. 2007;175(1):80-86.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2.</w:t>
      </w:r>
      <w:r w:rsidRPr="00C859A1">
        <w:tab/>
      </w:r>
      <w:r w:rsidRPr="00C859A1">
        <w:rPr>
          <w:rFonts w:ascii="Tahoma" w:hAnsi="Tahoma"/>
          <w:sz w:val="16"/>
        </w:rPr>
        <w:t>TB CARE I. International Standards for Tuberculosis Care. 3rd ed. The Hague: TB CARE; 2014.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3.</w:t>
      </w:r>
      <w:r w:rsidRPr="00C859A1">
        <w:tab/>
      </w:r>
      <w:r w:rsidRPr="00C859A1">
        <w:rPr>
          <w:rFonts w:ascii="Tahoma" w:hAnsi="Tahoma"/>
          <w:sz w:val="16"/>
        </w:rPr>
        <w:t xml:space="preserve">Lewinsohn DM, Leonard MK, LoBue </w:t>
      </w:r>
      <w:r w:rsidRPr="00C859A1">
        <w:rPr>
          <w:rFonts w:ascii="Tahoma" w:hAnsi="Tahoma"/>
          <w:sz w:val="16"/>
        </w:rPr>
        <w:t>PA, Cohn DL, Daley CL, Desmond E, et al. Official American Thoracic Society/Infectious Diseases Society of America/Centers for Disease Control and Prevention Clinical Practice Guidelines: Diagnosis of Tuberculosis in Adults and Children. Clin Infect Dis. 2</w:t>
      </w:r>
      <w:r w:rsidRPr="00C859A1">
        <w:rPr>
          <w:rFonts w:ascii="Tahoma" w:hAnsi="Tahoma"/>
          <w:sz w:val="16"/>
        </w:rPr>
        <w:t>017;64(2):e1-e33.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4.</w:t>
      </w:r>
      <w:r w:rsidRPr="00C859A1">
        <w:tab/>
      </w:r>
      <w:r w:rsidRPr="00C859A1">
        <w:rPr>
          <w:rFonts w:ascii="Tahoma" w:hAnsi="Tahoma"/>
          <w:sz w:val="16"/>
        </w:rPr>
        <w:t>European Centre for Disease Prevention and Control. Use of interferon-gamma release assays in support of TB diagnosis. Stockholm: ECDC; 2011.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5.</w:t>
      </w:r>
      <w:r w:rsidRPr="00C859A1">
        <w:tab/>
      </w:r>
      <w:r w:rsidRPr="00C859A1">
        <w:rPr>
          <w:rFonts w:ascii="Tahoma" w:hAnsi="Tahoma"/>
          <w:sz w:val="16"/>
        </w:rPr>
        <w:t>World Health Organization. Compendium of WHO guidelines and associated standards: ensuring</w:t>
      </w:r>
      <w:r w:rsidRPr="00C859A1">
        <w:rPr>
          <w:rFonts w:ascii="Tahoma" w:hAnsi="Tahoma"/>
          <w:sz w:val="16"/>
        </w:rPr>
        <w:t xml:space="preserve"> optimum delivery of the cascade of care for patients with tuberculosis. Geneva: World Health Organization; 2017.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6.</w:t>
      </w:r>
      <w:r w:rsidRPr="00C859A1">
        <w:tab/>
      </w:r>
      <w:r w:rsidRPr="00C859A1">
        <w:rPr>
          <w:rFonts w:ascii="Tahoma" w:hAnsi="Tahoma"/>
          <w:sz w:val="16"/>
        </w:rPr>
        <w:t>Drobniewski FA, Hoffner S, Rusch-Gerdes S, Skenders G, Thomsen V. Recommended standards for modern tuberculosis laboratory services in Euro</w:t>
      </w:r>
      <w:r w:rsidRPr="00C859A1">
        <w:rPr>
          <w:rFonts w:ascii="Tahoma" w:hAnsi="Tahoma"/>
          <w:sz w:val="16"/>
        </w:rPr>
        <w:t>pe. Eur Respir J. 2006;28(5):903-909.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7.</w:t>
      </w:r>
      <w:r w:rsidRPr="00C859A1">
        <w:tab/>
      </w:r>
      <w:r w:rsidRPr="00C859A1">
        <w:rPr>
          <w:rFonts w:ascii="Tahoma" w:hAnsi="Tahoma"/>
          <w:sz w:val="16"/>
        </w:rPr>
        <w:t>World Health Organization Regional Office for Europe. Algorithm for laboratory diagnosis and treatment-monitoring of pulmonary tuberculosis and drug-resistant tuberculosis using state-of-the-art rapid molecular diag</w:t>
      </w:r>
      <w:r w:rsidRPr="00C859A1">
        <w:rPr>
          <w:rFonts w:ascii="Tahoma" w:hAnsi="Tahoma"/>
          <w:sz w:val="16"/>
        </w:rPr>
        <w:t>nostic technologies. Expert opinion of the European Tuberculosis Laboratory Initiative core group members for the WHO European Region. Copenhagen: WHO Regional Office for Europe; 2017.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8.</w:t>
      </w:r>
      <w:r w:rsidRPr="00C859A1">
        <w:tab/>
      </w:r>
      <w:r w:rsidRPr="00C859A1">
        <w:rPr>
          <w:rFonts w:ascii="Tahoma" w:hAnsi="Tahoma"/>
          <w:sz w:val="16"/>
        </w:rPr>
        <w:t>European Centre for Disease Prevention and Control. Handbook on TB l</w:t>
      </w:r>
      <w:r w:rsidRPr="00C859A1">
        <w:rPr>
          <w:rFonts w:ascii="Tahoma" w:hAnsi="Tahoma"/>
          <w:sz w:val="16"/>
        </w:rPr>
        <w:t>aboratory diagnostic methods for the European Union. Stockholm: ECDC; 2016.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9.</w:t>
      </w:r>
      <w:r w:rsidRPr="00C859A1">
        <w:tab/>
      </w:r>
      <w:r w:rsidRPr="00C859A1">
        <w:rPr>
          <w:rFonts w:ascii="Tahoma" w:hAnsi="Tahoma"/>
          <w:sz w:val="16"/>
        </w:rPr>
        <w:t>Sotgiu G, Tiberi S, D'Ambrosio L, Centis R, Zumla A, Migliori GB. WHO recommendations on shorter treatment of multidrug-resistant tuberculosis. Lancet. 2016;387(10037):2486-2487</w:t>
      </w:r>
      <w:r w:rsidRPr="00C859A1">
        <w:rPr>
          <w:rFonts w:ascii="Tahoma" w:hAnsi="Tahoma"/>
          <w:sz w:val="16"/>
        </w:rPr>
        <w:t>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10.</w:t>
      </w:r>
      <w:r w:rsidRPr="00C859A1">
        <w:tab/>
      </w:r>
      <w:r w:rsidRPr="00C859A1">
        <w:rPr>
          <w:rFonts w:ascii="Tahoma" w:hAnsi="Tahoma"/>
          <w:sz w:val="16"/>
        </w:rPr>
        <w:t>Diel R, Goletti D, Ferrara G, Bothamley G, Cirillo D, Kampmann B, et al. Interferon-gamma release assays for the diagnosis of latent Mycobacterium tuberculosis infection: a systematic review and meta-analysis. Eur Respir J. 2011;37(1):88-99.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11.</w:t>
      </w:r>
      <w:r w:rsidRPr="00C859A1">
        <w:tab/>
      </w:r>
      <w:r w:rsidRPr="00C859A1">
        <w:rPr>
          <w:rFonts w:ascii="Tahoma" w:hAnsi="Tahoma"/>
          <w:sz w:val="16"/>
        </w:rPr>
        <w:t>Sest</w:t>
      </w:r>
      <w:r w:rsidRPr="00C859A1">
        <w:rPr>
          <w:rFonts w:ascii="Tahoma" w:hAnsi="Tahoma"/>
          <w:sz w:val="16"/>
        </w:rPr>
        <w:t>er M, Sotgiu G, Lange C, Giehl C, Girardi E, Migliori GB, et al. Interferon-gamma release assays for the diagnosis of active tuberculosis: a systematic review and meta-analysis. Eur Respir J. 2011;37(1):100-111.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12.</w:t>
      </w:r>
      <w:r w:rsidRPr="00C859A1">
        <w:tab/>
      </w:r>
      <w:r w:rsidRPr="00C859A1">
        <w:rPr>
          <w:rFonts w:ascii="Tahoma" w:hAnsi="Tahoma"/>
          <w:sz w:val="16"/>
        </w:rPr>
        <w:t>Petruccioli E, Scriba TJ, Petrone L, Hat</w:t>
      </w:r>
      <w:r w:rsidRPr="00C859A1">
        <w:rPr>
          <w:rFonts w:ascii="Tahoma" w:hAnsi="Tahoma"/>
          <w:sz w:val="16"/>
        </w:rPr>
        <w:t>herill M, Cirillo DM, Joosten SA, et al. Correlates of tuberculosis risk: predictive biomarkers for progression to active tuberculosis. Eur Respir J. 2016;48(6):1751-1763.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13.</w:t>
      </w:r>
      <w:r w:rsidRPr="00C859A1">
        <w:tab/>
      </w:r>
      <w:r w:rsidRPr="00C859A1">
        <w:rPr>
          <w:rFonts w:ascii="Tahoma" w:hAnsi="Tahoma"/>
          <w:sz w:val="16"/>
        </w:rPr>
        <w:t>Goletti D, Petruccioli E, Joosten SA, Ottenhoff TH. Tuberculosis Biomarkers: Fro</w:t>
      </w:r>
      <w:r w:rsidRPr="00C859A1">
        <w:rPr>
          <w:rFonts w:ascii="Tahoma" w:hAnsi="Tahoma"/>
          <w:sz w:val="16"/>
        </w:rPr>
        <w:t>m Diagnosis to Protection. Infectious disease reports. 2016;8(2):6568.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14.</w:t>
      </w:r>
      <w:r w:rsidRPr="00C859A1">
        <w:tab/>
      </w:r>
      <w:r w:rsidRPr="00C859A1">
        <w:rPr>
          <w:rFonts w:ascii="Tahoma" w:hAnsi="Tahoma"/>
          <w:sz w:val="16"/>
        </w:rPr>
        <w:t>Seddon JA, Furin JJ, Gale M, Del Castillo Barrientos H, Hurtado RM, Amanullah F, et al. Caring for children with drug-resistant tuberculosis: practice-based recommendations. Am J Re</w:t>
      </w:r>
      <w:r w:rsidRPr="00C859A1">
        <w:rPr>
          <w:rFonts w:ascii="Tahoma" w:hAnsi="Tahoma"/>
          <w:sz w:val="16"/>
        </w:rPr>
        <w:t>spir Crit Care Med. 2012;186(10):953-964.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15.</w:t>
      </w:r>
      <w:r w:rsidRPr="00C859A1">
        <w:tab/>
      </w:r>
      <w:r w:rsidRPr="00C859A1">
        <w:rPr>
          <w:rFonts w:ascii="Tahoma" w:hAnsi="Tahoma"/>
          <w:sz w:val="16"/>
        </w:rPr>
        <w:t>World Health Organization. Guidance for national tuberculosis programmes on the management of tuberculosis in children. Second ed. Geneva: World Health Organization; 2014.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16.</w:t>
      </w:r>
      <w:r w:rsidRPr="00C859A1">
        <w:tab/>
      </w:r>
      <w:r w:rsidRPr="00C859A1">
        <w:rPr>
          <w:rFonts w:ascii="Tahoma" w:hAnsi="Tahoma"/>
          <w:sz w:val="16"/>
        </w:rPr>
        <w:t xml:space="preserve">World Health Organization. Report </w:t>
      </w:r>
      <w:r w:rsidRPr="00C859A1">
        <w:rPr>
          <w:rFonts w:ascii="Tahoma" w:hAnsi="Tahoma"/>
          <w:sz w:val="16"/>
        </w:rPr>
        <w:t>of a WHO consultation on strengthening the active engagement of civil society organizations in the global TB prevention, care and control efforts. Geneva: World Health Organization; 2010. Report No.: WHO/HTM/TB/2010.15.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17.</w:t>
      </w:r>
      <w:r w:rsidRPr="00C859A1">
        <w:tab/>
      </w:r>
      <w:r w:rsidRPr="00C859A1">
        <w:rPr>
          <w:rFonts w:ascii="Tahoma" w:hAnsi="Tahoma"/>
          <w:sz w:val="16"/>
        </w:rPr>
        <w:t>Patients’ Charter for Tuberculos</w:t>
      </w:r>
      <w:r w:rsidRPr="00C859A1">
        <w:rPr>
          <w:rFonts w:ascii="Tahoma" w:hAnsi="Tahoma"/>
          <w:sz w:val="16"/>
        </w:rPr>
        <w:t>is Care: World Care Council; 2006.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18.</w:t>
      </w:r>
      <w:r w:rsidRPr="00C859A1">
        <w:tab/>
      </w:r>
      <w:r w:rsidRPr="00C859A1">
        <w:rPr>
          <w:rFonts w:ascii="Tahoma" w:hAnsi="Tahoma"/>
          <w:sz w:val="16"/>
        </w:rPr>
        <w:t>World Health Organization. Definitions and reporting framework for tuberculosis – 2013 revision. Geneva: Word Health Organization; 2013.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19.</w:t>
      </w:r>
      <w:r w:rsidRPr="00C859A1">
        <w:tab/>
      </w:r>
      <w:r w:rsidRPr="00C859A1">
        <w:rPr>
          <w:rFonts w:ascii="Tahoma" w:hAnsi="Tahoma"/>
          <w:sz w:val="16"/>
        </w:rPr>
        <w:t>Nahid P, Dorman SE, Alipanah N, Barry PM, Brozek JL, Cattamanchi A, et al. O</w:t>
      </w:r>
      <w:r w:rsidRPr="00C859A1">
        <w:rPr>
          <w:rFonts w:ascii="Tahoma" w:hAnsi="Tahoma"/>
          <w:sz w:val="16"/>
        </w:rPr>
        <w:t>fficial American Thoracic Society/Centers for Disease Control and Prevention/Infectious Diseases Society of America Clinical Practice Guidelines: Treatment of Drug-Susceptible Tuberculosis. Clin Infect Dis. 2016;63(7):e147-e195.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20.</w:t>
      </w:r>
      <w:r w:rsidRPr="00C859A1">
        <w:tab/>
      </w:r>
      <w:r w:rsidRPr="00C859A1">
        <w:rPr>
          <w:rFonts w:ascii="Tahoma" w:hAnsi="Tahoma"/>
          <w:sz w:val="16"/>
        </w:rPr>
        <w:t>Sotgiu G, Nahid P, Lodd</w:t>
      </w:r>
      <w:r w:rsidRPr="00C859A1">
        <w:rPr>
          <w:rFonts w:ascii="Tahoma" w:hAnsi="Tahoma"/>
          <w:sz w:val="16"/>
        </w:rPr>
        <w:t>enkemper R, Abubakar I, Miravitlles M, Migliori GB. The ERS-endorsed official ATS/CDC/IDSA clinical practice guidelines on treatment of drug-susceptible tuberculosis. Eur Respir J. 2016;48(4):963-971.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21.</w:t>
      </w:r>
      <w:r w:rsidRPr="00C859A1">
        <w:tab/>
      </w:r>
      <w:r w:rsidRPr="00C859A1">
        <w:rPr>
          <w:rFonts w:ascii="Tahoma" w:hAnsi="Tahoma"/>
          <w:sz w:val="16"/>
        </w:rPr>
        <w:t>Falzon D, Jaramillo E, Schunemann HJ, Arentz M, Bau</w:t>
      </w:r>
      <w:r w:rsidRPr="00C859A1">
        <w:rPr>
          <w:rFonts w:ascii="Tahoma" w:hAnsi="Tahoma"/>
          <w:sz w:val="16"/>
        </w:rPr>
        <w:t>er M, Bayona J, et al. WHO guidelines for the programmatic management of drug-resistant tuberculosis: 2011 update. Eur Respir J. 2011;38(3):516-528.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22.</w:t>
      </w:r>
      <w:r w:rsidRPr="00C859A1">
        <w:tab/>
      </w:r>
      <w:r w:rsidRPr="00C859A1">
        <w:rPr>
          <w:rFonts w:ascii="Tahoma" w:hAnsi="Tahoma"/>
          <w:sz w:val="16"/>
        </w:rPr>
        <w:t>Mitnick CD, White RA, Lu C, Rodriguez CA, Bayona J, Becerra MC, et al. on behalf of the Collaborative G</w:t>
      </w:r>
      <w:r w:rsidRPr="00C859A1">
        <w:rPr>
          <w:rFonts w:ascii="Tahoma" w:hAnsi="Tahoma"/>
          <w:sz w:val="16"/>
        </w:rPr>
        <w:t>roup for Analysis of Bacteriology Data in MDRTBT. Multidrug-resistant tuberculosis treatment failure detection depends on monitoring interval and microbiological method. Eur Respir J. 2016;48(4):1160-1170.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23.</w:t>
      </w:r>
      <w:r w:rsidRPr="00C859A1">
        <w:tab/>
      </w:r>
      <w:r w:rsidRPr="00C859A1">
        <w:rPr>
          <w:rFonts w:ascii="Tahoma" w:hAnsi="Tahoma"/>
          <w:sz w:val="16"/>
        </w:rPr>
        <w:t>World Health Organization. WHO treatment guid</w:t>
      </w:r>
      <w:r w:rsidRPr="00C859A1">
        <w:rPr>
          <w:rFonts w:ascii="Tahoma" w:hAnsi="Tahoma"/>
          <w:sz w:val="16"/>
        </w:rPr>
        <w:t>elines for drug-resistant tuberculosis: 2016 update. Geneva: World Health Organization; 2016.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24.</w:t>
      </w:r>
      <w:r w:rsidRPr="00C859A1">
        <w:tab/>
      </w:r>
      <w:r w:rsidRPr="00C859A1">
        <w:rPr>
          <w:rFonts w:ascii="Tahoma" w:hAnsi="Tahoma"/>
          <w:sz w:val="16"/>
        </w:rPr>
        <w:t>World Health Organization. Guidelines for treatment of drug-susceptible tuberculosis and patient care, 2017 update. Geneva: World Health Organization; 2017.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2</w:t>
      </w:r>
      <w:r w:rsidRPr="00C859A1">
        <w:rPr>
          <w:rFonts w:ascii="Tahoma" w:hAnsi="Tahoma"/>
          <w:sz w:val="16"/>
        </w:rPr>
        <w:t>5.</w:t>
      </w:r>
      <w:r w:rsidRPr="00C859A1">
        <w:tab/>
      </w:r>
      <w:r w:rsidRPr="00C859A1">
        <w:rPr>
          <w:rFonts w:ascii="Tahoma" w:hAnsi="Tahoma"/>
          <w:sz w:val="16"/>
        </w:rPr>
        <w:t>Falzon D, Schunemann HJ, Harausz E, Gonzalez-Angulo L, Lienhardt C, Jaramillo E, et al. World Health Organization treatment guidelines for drug-resistant tuberculosis, 2016 update. Eur Respir J. 2017;49(3).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26.</w:t>
      </w:r>
      <w:r w:rsidRPr="00C859A1">
        <w:tab/>
      </w:r>
      <w:r w:rsidRPr="00C859A1">
        <w:rPr>
          <w:rFonts w:ascii="Tahoma" w:hAnsi="Tahoma"/>
          <w:sz w:val="16"/>
        </w:rPr>
        <w:t>van der Werf MJ, Kodmon C, Dara M, Catchpo</w:t>
      </w:r>
      <w:r w:rsidRPr="00C859A1">
        <w:rPr>
          <w:rFonts w:ascii="Tahoma" w:hAnsi="Tahoma"/>
          <w:sz w:val="16"/>
        </w:rPr>
        <w:t>le M. Shorter regimens for multidrug-resistant tuberculosis should also be applicable in Europe. Eur Respir J 2017;49(6).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27.</w:t>
      </w:r>
      <w:r w:rsidRPr="00C859A1">
        <w:tab/>
      </w:r>
      <w:r w:rsidRPr="00C859A1">
        <w:rPr>
          <w:rFonts w:ascii="Tahoma" w:hAnsi="Tahoma"/>
          <w:sz w:val="16"/>
        </w:rPr>
        <w:t>Caminero JA, Piubello A, Scardigli A, Migliori GB. Proposal for a standardised treatment regimen to manage pre- and extensively dr</w:t>
      </w:r>
      <w:r w:rsidRPr="00C859A1">
        <w:rPr>
          <w:rFonts w:ascii="Tahoma" w:hAnsi="Tahoma"/>
          <w:sz w:val="16"/>
        </w:rPr>
        <w:t>ug-resistant tuberculosis cases. Eur Respir J. 2017;50(1).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28.</w:t>
      </w:r>
      <w:r w:rsidRPr="00C859A1">
        <w:tab/>
      </w:r>
      <w:r w:rsidRPr="00C859A1">
        <w:rPr>
          <w:rFonts w:ascii="Tahoma" w:hAnsi="Tahoma"/>
          <w:sz w:val="16"/>
        </w:rPr>
        <w:t xml:space="preserve">Esposito S, D'Ambrosio L, Tadolini M, Schaaf HS, Caminero Luna J, Marais B, et al. ERS/WHO Tuberculosis Consilium assistance with extensively drug-resistant tuberculosis management in a child: </w:t>
      </w:r>
      <w:r w:rsidRPr="00C859A1">
        <w:rPr>
          <w:rFonts w:ascii="Tahoma" w:hAnsi="Tahoma"/>
          <w:sz w:val="16"/>
        </w:rPr>
        <w:t>case study of compassionate delamanid use. Eur Respir J. 2014;44(3):811-815.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29.</w:t>
      </w:r>
      <w:r w:rsidRPr="00C859A1">
        <w:tab/>
      </w:r>
      <w:r w:rsidRPr="00C859A1">
        <w:rPr>
          <w:rFonts w:ascii="Tahoma" w:hAnsi="Tahoma"/>
          <w:sz w:val="16"/>
        </w:rPr>
        <w:t>Borisov SE, Dheda K, Enwerem M, Romero Leyet R, D'Ambrosio L, Centis R, et al. Effectiveness and safety of bedaquiline-containing regimens in the treatment of MDR- and XDR-TB:</w:t>
      </w:r>
      <w:r w:rsidRPr="00C859A1">
        <w:rPr>
          <w:rFonts w:ascii="Tahoma" w:hAnsi="Tahoma"/>
          <w:sz w:val="16"/>
        </w:rPr>
        <w:t xml:space="preserve"> a multicentre study. Eur Respir J. 2017;49(5).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30.</w:t>
      </w:r>
      <w:r w:rsidRPr="00C859A1">
        <w:tab/>
      </w:r>
      <w:r w:rsidRPr="00C859A1">
        <w:rPr>
          <w:rFonts w:ascii="Tahoma" w:hAnsi="Tahoma"/>
          <w:sz w:val="16"/>
        </w:rPr>
        <w:t>Blasi F, Dara M, van der Werf MJ, Migliori GB. Supporting TB clinicians managing difficult cases: the ERS/WHO Consilium. Eur Respir J. 2013;41(3):491-494.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31.</w:t>
      </w:r>
      <w:r w:rsidRPr="00C859A1">
        <w:tab/>
      </w:r>
      <w:r w:rsidRPr="00C859A1">
        <w:rPr>
          <w:rFonts w:ascii="Tahoma" w:hAnsi="Tahoma"/>
          <w:sz w:val="16"/>
        </w:rPr>
        <w:t>Tadolini M, Garcia-Prats AJ, D'Ambrosio L, He</w:t>
      </w:r>
      <w:r w:rsidRPr="00C859A1">
        <w:rPr>
          <w:rFonts w:ascii="Tahoma" w:hAnsi="Tahoma"/>
          <w:sz w:val="16"/>
        </w:rPr>
        <w:t>wison C, Centis R, Schaaf HS, et al. Compassionate use of new drugs in children and adolescents with multidrug-resistant and extensively drug-resistant tuberculosis: early experiences and challenges. Eur Respir J. 2016;48(3):938-943.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32.</w:t>
      </w:r>
      <w:r w:rsidRPr="00C859A1">
        <w:tab/>
      </w:r>
      <w:r w:rsidRPr="00C859A1">
        <w:rPr>
          <w:rFonts w:ascii="Tahoma" w:hAnsi="Tahoma"/>
          <w:sz w:val="16"/>
        </w:rPr>
        <w:t xml:space="preserve">Lange C, Abubakar </w:t>
      </w:r>
      <w:r w:rsidRPr="00C859A1">
        <w:rPr>
          <w:rFonts w:ascii="Tahoma" w:hAnsi="Tahoma"/>
          <w:sz w:val="16"/>
        </w:rPr>
        <w:t>I, Alffenaar JW, Bothamley G, Caminero JA, Carvalho AC, et al. Management of patients with multidrug-resistant/extensively drug-resistant tuberculosis in Europe: a TBNET consensus statement. Eur Respir J. 2014;44(1):23-63.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lastRenderedPageBreak/>
        <w:t>33.</w:t>
      </w:r>
      <w:r w:rsidRPr="00C859A1">
        <w:tab/>
      </w:r>
      <w:r w:rsidRPr="00C859A1">
        <w:rPr>
          <w:rFonts w:ascii="Tahoma" w:hAnsi="Tahoma"/>
          <w:sz w:val="16"/>
        </w:rPr>
        <w:t>Caminero JA. Management of mu</w:t>
      </w:r>
      <w:r w:rsidRPr="00C859A1">
        <w:rPr>
          <w:rFonts w:ascii="Tahoma" w:hAnsi="Tahoma"/>
          <w:sz w:val="16"/>
        </w:rPr>
        <w:t>ltidrug-resistant tuberculosis and patients in retreatment. Eur Respir J. 2005;25(5):928-936.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34.</w:t>
      </w:r>
      <w:r w:rsidRPr="00C859A1">
        <w:tab/>
      </w:r>
      <w:r w:rsidRPr="00C859A1">
        <w:rPr>
          <w:rFonts w:ascii="Tahoma" w:hAnsi="Tahoma"/>
          <w:sz w:val="16"/>
        </w:rPr>
        <w:t>World Health Organization. WHO policy on collaborative TB/HIV activities: guidelines for national programmes and other stakeholders. Geneva: World Health Orga</w:t>
      </w:r>
      <w:r w:rsidRPr="00C859A1">
        <w:rPr>
          <w:rFonts w:ascii="Tahoma" w:hAnsi="Tahoma"/>
          <w:sz w:val="16"/>
        </w:rPr>
        <w:t>nization; 2012.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35.</w:t>
      </w:r>
      <w:r w:rsidRPr="00C859A1">
        <w:tab/>
      </w:r>
      <w:r w:rsidRPr="00C859A1">
        <w:rPr>
          <w:rFonts w:ascii="Tahoma" w:hAnsi="Tahoma"/>
          <w:sz w:val="16"/>
        </w:rPr>
        <w:t>European Centre for Disease Prevention and Control. Management of contacts of MDRTB and XDR TB patients. Stockholm: ECDC; 2012.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36.</w:t>
      </w:r>
      <w:r w:rsidRPr="00C859A1">
        <w:tab/>
      </w:r>
      <w:r w:rsidRPr="00C859A1">
        <w:rPr>
          <w:rFonts w:ascii="Tahoma" w:hAnsi="Tahoma"/>
          <w:sz w:val="16"/>
        </w:rPr>
        <w:t>World Health Organization. Guidelines on the management of latent tuberculosis infection. 2015.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37.</w:t>
      </w:r>
      <w:r w:rsidRPr="00C859A1">
        <w:tab/>
      </w:r>
      <w:r w:rsidRPr="00C859A1">
        <w:rPr>
          <w:rFonts w:ascii="Tahoma" w:hAnsi="Tahoma"/>
          <w:sz w:val="16"/>
        </w:rPr>
        <w:t>Zenn</w:t>
      </w:r>
      <w:r w:rsidRPr="00C859A1">
        <w:rPr>
          <w:rFonts w:ascii="Tahoma" w:hAnsi="Tahoma"/>
          <w:sz w:val="16"/>
        </w:rPr>
        <w:t>er D, Beer N, Harris RJ, Lipman MC, Stagg HR, van der Werf MJ. Treatment of Latent Tuberculosis Infection: An Updated Network Meta-analysis. Ann Intern Med. 2017;167(4):248-255.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38.</w:t>
      </w:r>
      <w:r w:rsidRPr="00C859A1">
        <w:tab/>
      </w:r>
      <w:r w:rsidRPr="00C859A1">
        <w:rPr>
          <w:rFonts w:ascii="Tahoma" w:hAnsi="Tahoma"/>
          <w:sz w:val="16"/>
        </w:rPr>
        <w:t>Getahun H, Matteelli A, Abubakar I, Aziz MA, Baddeley A, Barreira D, et al</w:t>
      </w:r>
      <w:r w:rsidRPr="00C859A1">
        <w:rPr>
          <w:rFonts w:ascii="Tahoma" w:hAnsi="Tahoma"/>
          <w:sz w:val="16"/>
        </w:rPr>
        <w:t>. Management of latent Mycobacterium tuberculosis infection: WHO guidelines for low tuberculosis burden countries. Eur Respir J. 2015;46(6):1563-1576.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39.</w:t>
      </w:r>
      <w:r w:rsidRPr="00C859A1">
        <w:tab/>
      </w:r>
      <w:r w:rsidRPr="00C859A1">
        <w:rPr>
          <w:rFonts w:ascii="Tahoma" w:hAnsi="Tahoma"/>
          <w:sz w:val="16"/>
        </w:rPr>
        <w:t>Creswell J, Raviglione M, Ottmani S, Migliori GB, Uplekar M, Blanc L, et al. Tuberculosis and noncomm</w:t>
      </w:r>
      <w:r w:rsidRPr="00C859A1">
        <w:rPr>
          <w:rFonts w:ascii="Tahoma" w:hAnsi="Tahoma"/>
          <w:sz w:val="16"/>
        </w:rPr>
        <w:t>unicable diseases: neglected links and missed opportunities. Eur Respir J. 2011;37(5):1269-1282.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40.</w:t>
      </w:r>
      <w:r w:rsidRPr="00C859A1">
        <w:tab/>
      </w:r>
      <w:r w:rsidRPr="00C859A1">
        <w:rPr>
          <w:rFonts w:ascii="Tahoma" w:hAnsi="Tahoma"/>
          <w:sz w:val="16"/>
        </w:rPr>
        <w:t>Erkens CG, Kamphorst M, Abubakar I, Bothamley GH, Chemtob D, Haas W, et al. Tuberculosis contact investigation in low prevalence countries: a European cons</w:t>
      </w:r>
      <w:r w:rsidRPr="00C859A1">
        <w:rPr>
          <w:rFonts w:ascii="Tahoma" w:hAnsi="Tahoma"/>
          <w:sz w:val="16"/>
        </w:rPr>
        <w:t>ensus. Eur Respir J. 2010;36(4):925-949.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41.</w:t>
      </w:r>
      <w:r w:rsidRPr="00C859A1">
        <w:tab/>
      </w:r>
      <w:r w:rsidRPr="00C859A1">
        <w:rPr>
          <w:rFonts w:ascii="Tahoma" w:hAnsi="Tahoma"/>
          <w:sz w:val="16"/>
        </w:rPr>
        <w:t>Luzzati R, Migliori G, Zignol M, Cirillo D, Maschi M, Tominz R, et al. Children under 5 years are at risk for tuberculosis after occasional contact with highly contagious patients: an out-patient outbreak from a</w:t>
      </w:r>
      <w:r w:rsidRPr="00C859A1">
        <w:rPr>
          <w:rFonts w:ascii="Tahoma" w:hAnsi="Tahoma"/>
          <w:sz w:val="16"/>
        </w:rPr>
        <w:t xml:space="preserve"> smear positive health care worker. Eur Respir J. 2017;In press.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42.</w:t>
      </w:r>
      <w:r w:rsidRPr="00C859A1">
        <w:tab/>
      </w:r>
      <w:r w:rsidRPr="00C859A1">
        <w:rPr>
          <w:rFonts w:ascii="Tahoma" w:hAnsi="Tahoma"/>
          <w:sz w:val="16"/>
        </w:rPr>
        <w:t>European Centre for Disease Prevention and Control. Guidance on tuberculosis control in vulnerable and hard-to-reach populations. Stockholm: ECDC; 2016.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43.</w:t>
      </w:r>
      <w:r w:rsidRPr="00C859A1">
        <w:tab/>
      </w:r>
      <w:r w:rsidRPr="00C859A1">
        <w:rPr>
          <w:rFonts w:ascii="Tahoma" w:hAnsi="Tahoma"/>
          <w:sz w:val="16"/>
        </w:rPr>
        <w:t>National Instititute for Hea</w:t>
      </w:r>
      <w:r w:rsidRPr="00C859A1">
        <w:rPr>
          <w:rFonts w:ascii="Tahoma" w:hAnsi="Tahoma"/>
          <w:sz w:val="16"/>
        </w:rPr>
        <w:t>lth and Care Excellence. Tuberculosis (NG33). London: NICE; 2016.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44.</w:t>
      </w:r>
      <w:r w:rsidRPr="00C859A1">
        <w:tab/>
      </w:r>
      <w:r w:rsidRPr="00C859A1">
        <w:rPr>
          <w:rFonts w:ascii="Tahoma" w:hAnsi="Tahoma"/>
          <w:sz w:val="16"/>
        </w:rPr>
        <w:t xml:space="preserve">Dara M, de Colombani P, Petrova-Benedict R, Centis R, Zellweger JP, Sandgren A, et al. Wolfheze Transborder Migration Task F. Minimum package for cross-border TB control and care in the </w:t>
      </w:r>
      <w:r w:rsidRPr="00C859A1">
        <w:rPr>
          <w:rFonts w:ascii="Tahoma" w:hAnsi="Tahoma"/>
          <w:sz w:val="16"/>
        </w:rPr>
        <w:t>WHO European region: a Wolfheze consensus statement. Eur Respir J. 2012;40(5):1081-1090.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45.</w:t>
      </w:r>
      <w:r w:rsidRPr="00C859A1">
        <w:tab/>
      </w:r>
      <w:r w:rsidRPr="00C859A1">
        <w:rPr>
          <w:rFonts w:ascii="Tahoma" w:hAnsi="Tahoma"/>
          <w:sz w:val="16"/>
        </w:rPr>
        <w:t>Leung CC, Rieder HL, Lange C, Yew WW. Treatment of latent infection with Mycobacterium tuberculosis: update 2010. Eur Respir J. 2011;37(3):690-711.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46.</w:t>
      </w:r>
      <w:r w:rsidRPr="00C859A1">
        <w:tab/>
      </w:r>
      <w:r w:rsidRPr="00C859A1">
        <w:rPr>
          <w:rFonts w:ascii="Tahoma" w:hAnsi="Tahoma"/>
          <w:sz w:val="16"/>
        </w:rPr>
        <w:t xml:space="preserve">Woldehanna </w:t>
      </w:r>
      <w:r w:rsidRPr="00C859A1">
        <w:rPr>
          <w:rFonts w:ascii="Tahoma" w:hAnsi="Tahoma"/>
          <w:sz w:val="16"/>
        </w:rPr>
        <w:t>S, Volmink J. Treatment of latent tuberculosis infection in HIV infected persons. The Cochrane database of systematic reviews. 2004(1):Cd000171.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47.</w:t>
      </w:r>
      <w:r w:rsidRPr="00C859A1">
        <w:tab/>
      </w:r>
      <w:r w:rsidRPr="00C859A1">
        <w:rPr>
          <w:rFonts w:ascii="Tahoma" w:hAnsi="Tahoma"/>
          <w:sz w:val="16"/>
        </w:rPr>
        <w:t>European Centre for Disease Prevention and Control. Investigation and control of tuberculosis incidents aff</w:t>
      </w:r>
      <w:r w:rsidRPr="00C859A1">
        <w:rPr>
          <w:rFonts w:ascii="Tahoma" w:hAnsi="Tahoma"/>
          <w:sz w:val="16"/>
        </w:rPr>
        <w:t>ecting children in congregate settings. Stockholm: ECDC; 2013.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48.</w:t>
      </w:r>
      <w:r w:rsidRPr="00C859A1">
        <w:tab/>
      </w:r>
      <w:r w:rsidRPr="00C859A1">
        <w:rPr>
          <w:rFonts w:ascii="Tahoma" w:hAnsi="Tahoma"/>
          <w:sz w:val="16"/>
        </w:rPr>
        <w:t>Mack U, Migliori GB, Sester M, Rieder HL, Ehlers S, Goletti D, et al. Tbnet. LTBI: latent tuberculosis infection or lasting immune responses to M. tuberculosis? A TBNET consensus statement.</w:t>
      </w:r>
      <w:r w:rsidRPr="00C859A1">
        <w:rPr>
          <w:rFonts w:ascii="Tahoma" w:hAnsi="Tahoma"/>
          <w:sz w:val="16"/>
        </w:rPr>
        <w:t xml:space="preserve"> Eur Respir J. 2009;33(5):956-973.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49.</w:t>
      </w:r>
      <w:r w:rsidRPr="00C859A1">
        <w:tab/>
      </w:r>
      <w:r w:rsidRPr="00C859A1">
        <w:rPr>
          <w:rFonts w:ascii="Tahoma" w:hAnsi="Tahoma"/>
          <w:sz w:val="16"/>
        </w:rPr>
        <w:t>Lange C, Rieder HL. Intention to test is intention to treat. Am J Respir Crit Care Med. 2011;183(1):3-4.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50.</w:t>
      </w:r>
      <w:r w:rsidRPr="00C859A1">
        <w:tab/>
      </w:r>
      <w:r w:rsidRPr="00C859A1">
        <w:rPr>
          <w:rFonts w:ascii="Tahoma" w:hAnsi="Tahoma"/>
          <w:sz w:val="16"/>
        </w:rPr>
        <w:t>World Health Organization. WHO policy on TB infection control in health - care facilities, congregate settin</w:t>
      </w:r>
      <w:r w:rsidRPr="00C859A1">
        <w:rPr>
          <w:rFonts w:ascii="Tahoma" w:hAnsi="Tahoma"/>
          <w:sz w:val="16"/>
        </w:rPr>
        <w:t>gs and households. Geneva: World Health Organization; 2009.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51.</w:t>
      </w:r>
      <w:r w:rsidRPr="00C859A1">
        <w:tab/>
      </w:r>
      <w:r w:rsidRPr="00C859A1">
        <w:rPr>
          <w:rFonts w:ascii="Tahoma" w:hAnsi="Tahoma"/>
          <w:sz w:val="16"/>
        </w:rPr>
        <w:t>Sotgiu G, D'Ambrosio L, Centis R, Bothamley G, Cirillo DM, De Lorenzo S, et al. TB and M/XDR-TB infection control in European TB reference centres: the Achilles' heel? Eur Respir J. 2011;38(5)</w:t>
      </w:r>
      <w:r w:rsidRPr="00C859A1">
        <w:rPr>
          <w:rFonts w:ascii="Tahoma" w:hAnsi="Tahoma"/>
          <w:sz w:val="16"/>
        </w:rPr>
        <w:t>:1221-1223.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52.</w:t>
      </w:r>
      <w:r w:rsidRPr="00C859A1">
        <w:tab/>
      </w:r>
      <w:r w:rsidRPr="00C859A1">
        <w:rPr>
          <w:rFonts w:ascii="Tahoma" w:hAnsi="Tahoma"/>
          <w:sz w:val="16"/>
        </w:rPr>
        <w:t>Matteelli A, Centis R, D'Ambrosio L, Sotgiu G, Tadolini M, Pontali E, et al. WHO strategies for the programmatic management of drug-resistant tuberculosis. Expert Rev Respir Med. 2016;10(9):991-1002.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53.</w:t>
      </w:r>
      <w:r w:rsidRPr="00C859A1">
        <w:tab/>
      </w:r>
      <w:r w:rsidRPr="00C859A1">
        <w:rPr>
          <w:rFonts w:ascii="Tahoma" w:hAnsi="Tahoma"/>
          <w:sz w:val="16"/>
        </w:rPr>
        <w:t>Laserson KF, Thorpe LE, Leimane V, W</w:t>
      </w:r>
      <w:r w:rsidRPr="00C859A1">
        <w:rPr>
          <w:rFonts w:ascii="Tahoma" w:hAnsi="Tahoma"/>
          <w:sz w:val="16"/>
        </w:rPr>
        <w:t>eyer K, Mitnick CD, Riekstina V, et al. Speaking the same language: treatment outcome definitions for multidrug-resistant tuberculosis. Int J Tuberc Lung Dis. 2005;9(6):640-645.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54.</w:t>
      </w:r>
      <w:r w:rsidRPr="00C859A1">
        <w:tab/>
      </w:r>
      <w:r w:rsidRPr="00C859A1">
        <w:rPr>
          <w:rFonts w:ascii="Tahoma" w:hAnsi="Tahoma"/>
          <w:sz w:val="16"/>
        </w:rPr>
        <w:t>European Centre for Disease Prevention and Control, World Health Organizat</w:t>
      </w:r>
      <w:r w:rsidRPr="00C859A1">
        <w:rPr>
          <w:rFonts w:ascii="Tahoma" w:hAnsi="Tahoma"/>
          <w:sz w:val="16"/>
        </w:rPr>
        <w:t>ion. Regional Office for Europe. Tuberculosis surveillance and monitoring in Europe: 2017. Stockholm: ECDC; 2017. Available from: http://dx.doi.org/10.2900/2767.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55.</w:t>
      </w:r>
      <w:r w:rsidRPr="00C859A1">
        <w:tab/>
      </w:r>
      <w:r w:rsidRPr="00C859A1">
        <w:rPr>
          <w:rFonts w:ascii="Tahoma" w:hAnsi="Tahoma"/>
          <w:sz w:val="16"/>
        </w:rPr>
        <w:t>Mor Z, Migliori GB, Althomsons SP, Loddenkemper R, Trnka L, Iademarco MF. Comparison of tu</w:t>
      </w:r>
      <w:r w:rsidRPr="00C859A1">
        <w:rPr>
          <w:rFonts w:ascii="Tahoma" w:hAnsi="Tahoma"/>
          <w:sz w:val="16"/>
        </w:rPr>
        <w:t>berculosis surveillance systems in low-incidence industrialised countries. Eur Respir J. 2008;32(6):1616-1624.</w:t>
      </w:r>
    </w:p>
    <w:p w:rsidR="00DA3A70" w:rsidRPr="00C859A1" w:rsidRDefault="003C04B9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C859A1">
        <w:rPr>
          <w:rFonts w:ascii="Tahoma" w:hAnsi="Tahoma"/>
          <w:sz w:val="16"/>
        </w:rPr>
        <w:t>56.</w:t>
      </w:r>
      <w:r w:rsidRPr="00C859A1">
        <w:tab/>
      </w:r>
      <w:r w:rsidRPr="00C859A1">
        <w:rPr>
          <w:rFonts w:ascii="Tahoma" w:hAnsi="Tahoma"/>
          <w:sz w:val="16"/>
        </w:rPr>
        <w:t>Uplekar M, Atre S, Wells WA, Weil D, Lopez R, Migliori G, et al. Mandatory tuberculosis case notification in high tuberculosis-incidence coun</w:t>
      </w:r>
      <w:r w:rsidRPr="00C859A1">
        <w:rPr>
          <w:rFonts w:ascii="Tahoma" w:hAnsi="Tahoma"/>
          <w:sz w:val="16"/>
        </w:rPr>
        <w:t>tries: policy and practices. Eur Respir J. 2016(48):1571-1581.</w:t>
      </w:r>
    </w:p>
    <w:p w:rsidR="008B2FFB" w:rsidRPr="00C859A1" w:rsidRDefault="003C04B9" w:rsidP="0028467E">
      <w:pPr>
        <w:pStyle w:val="EndNoteBibliography"/>
        <w:ind w:left="426" w:hanging="426"/>
        <w:jc w:val="left"/>
      </w:pPr>
      <w:r w:rsidRPr="00C859A1">
        <w:rPr>
          <w:rFonts w:ascii="Tahoma" w:hAnsi="Tahoma"/>
          <w:sz w:val="16"/>
        </w:rPr>
        <w:t>57.</w:t>
      </w:r>
      <w:r w:rsidRPr="00C859A1">
        <w:tab/>
      </w:r>
      <w:r w:rsidRPr="00C859A1">
        <w:rPr>
          <w:rFonts w:ascii="Tahoma" w:hAnsi="Tahoma"/>
          <w:sz w:val="16"/>
        </w:rPr>
        <w:t>Heldal E, Kuyvenhoven JV, Wares F, Migliori GB, Ditiu L, Fernandez de la Hoz K, et al. Diagnosis and treatment of tuberculosis in undocumented migrants in low- or intermediate-incidence cou</w:t>
      </w:r>
      <w:r w:rsidRPr="00C859A1">
        <w:rPr>
          <w:rFonts w:ascii="Tahoma" w:hAnsi="Tahoma"/>
          <w:sz w:val="16"/>
        </w:rPr>
        <w:t>ntries. Int J Tuberc Lung Dis. 2008;12(8):878-888.</w:t>
      </w:r>
    </w:p>
    <w:sectPr w:rsidR="008B2FFB" w:rsidRPr="00C859A1" w:rsidSect="000D0D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04B9">
      <w:pPr>
        <w:spacing w:after="0" w:line="240" w:lineRule="auto"/>
      </w:pPr>
      <w:r>
        <w:separator/>
      </w:r>
    </w:p>
  </w:endnote>
  <w:endnote w:type="continuationSeparator" w:id="0">
    <w:p w:rsidR="00000000" w:rsidRDefault="003C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A1" w:rsidRPr="00C859A1" w:rsidRDefault="00C859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C94" w:rsidRPr="00C859A1" w:rsidRDefault="00974C94" w:rsidP="00847A9F">
    <w:pPr>
      <w:pStyle w:val="Footer"/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974C94" w:rsidRPr="00C859A1" w:rsidRDefault="003C04B9" w:rsidP="00847A9F">
    <w:pPr>
      <w:pStyle w:val="Footer"/>
      <w:spacing w:after="0" w:line="240" w:lineRule="auto"/>
      <w:jc w:val="center"/>
      <w:rPr>
        <w:rFonts w:ascii="Arial" w:hAnsi="Arial" w:cs="Arial"/>
        <w:sz w:val="20"/>
        <w:szCs w:val="20"/>
      </w:rPr>
    </w:pPr>
    <w:r w:rsidRPr="00C859A1">
      <w:rPr>
        <w:rFonts w:ascii="Arial" w:hAnsi="Arial"/>
        <w:sz w:val="20"/>
      </w:rPr>
      <w:t xml:space="preserve">- </w:t>
    </w:r>
    <w:r w:rsidRPr="00C859A1">
      <w:rPr>
        <w:rFonts w:ascii="Arial" w:hAnsi="Arial" w:cs="Arial"/>
        <w:sz w:val="20"/>
        <w:szCs w:val="20"/>
      </w:rPr>
      <w:fldChar w:fldCharType="begin"/>
    </w:r>
    <w:r w:rsidRPr="00C859A1">
      <w:rPr>
        <w:rFonts w:ascii="Arial" w:hAnsi="Arial" w:cs="Arial"/>
        <w:sz w:val="20"/>
        <w:szCs w:val="20"/>
      </w:rPr>
      <w:instrText xml:space="preserve"> PAGE   \* MERGEFORMAT </w:instrText>
    </w:r>
    <w:r w:rsidRPr="00C859A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C859A1">
      <w:rPr>
        <w:rFonts w:ascii="Arial" w:hAnsi="Arial" w:cs="Arial"/>
        <w:sz w:val="20"/>
        <w:szCs w:val="20"/>
      </w:rPr>
      <w:fldChar w:fldCharType="end"/>
    </w:r>
    <w:r w:rsidRPr="00C859A1">
      <w:rPr>
        <w:rFonts w:ascii="Arial" w:hAnsi="Arial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A1" w:rsidRPr="00C859A1" w:rsidRDefault="00C859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C04B9">
      <w:pPr>
        <w:spacing w:after="0" w:line="240" w:lineRule="auto"/>
      </w:pPr>
      <w:r>
        <w:separator/>
      </w:r>
    </w:p>
  </w:footnote>
  <w:footnote w:type="continuationSeparator" w:id="0">
    <w:p w:rsidR="00000000" w:rsidRDefault="003C0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A1" w:rsidRPr="00C859A1" w:rsidRDefault="00C859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A1" w:rsidRPr="00C859A1" w:rsidRDefault="00C859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A1" w:rsidRPr="00C859A1" w:rsidRDefault="00C859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C0C01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9E6C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9EEE6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2D86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0AAB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443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082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86664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F407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8E47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75C6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55751"/>
    <w:multiLevelType w:val="hybridMultilevel"/>
    <w:tmpl w:val="B3A8BCD6"/>
    <w:lvl w:ilvl="0" w:tplc="4C5A6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CCD3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142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CF7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67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601E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AD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27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284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55784F"/>
    <w:multiLevelType w:val="hybridMultilevel"/>
    <w:tmpl w:val="81F29F4C"/>
    <w:lvl w:ilvl="0" w:tplc="2ED2A6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AB38FF18" w:tentative="1">
      <w:start w:val="1"/>
      <w:numFmt w:val="lowerLetter"/>
      <w:lvlText w:val="%2."/>
      <w:lvlJc w:val="left"/>
      <w:pPr>
        <w:ind w:left="1440" w:hanging="360"/>
      </w:pPr>
    </w:lvl>
    <w:lvl w:ilvl="2" w:tplc="E95C1B78" w:tentative="1">
      <w:start w:val="1"/>
      <w:numFmt w:val="lowerRoman"/>
      <w:lvlText w:val="%3."/>
      <w:lvlJc w:val="right"/>
      <w:pPr>
        <w:ind w:left="2160" w:hanging="180"/>
      </w:pPr>
    </w:lvl>
    <w:lvl w:ilvl="3" w:tplc="25C0B9A0" w:tentative="1">
      <w:start w:val="1"/>
      <w:numFmt w:val="decimal"/>
      <w:lvlText w:val="%4."/>
      <w:lvlJc w:val="left"/>
      <w:pPr>
        <w:ind w:left="2880" w:hanging="360"/>
      </w:pPr>
    </w:lvl>
    <w:lvl w:ilvl="4" w:tplc="D786CA52" w:tentative="1">
      <w:start w:val="1"/>
      <w:numFmt w:val="lowerLetter"/>
      <w:lvlText w:val="%5."/>
      <w:lvlJc w:val="left"/>
      <w:pPr>
        <w:ind w:left="3600" w:hanging="360"/>
      </w:pPr>
    </w:lvl>
    <w:lvl w:ilvl="5" w:tplc="6B2E4B92" w:tentative="1">
      <w:start w:val="1"/>
      <w:numFmt w:val="lowerRoman"/>
      <w:lvlText w:val="%6."/>
      <w:lvlJc w:val="right"/>
      <w:pPr>
        <w:ind w:left="4320" w:hanging="180"/>
      </w:pPr>
    </w:lvl>
    <w:lvl w:ilvl="6" w:tplc="719A8378" w:tentative="1">
      <w:start w:val="1"/>
      <w:numFmt w:val="decimal"/>
      <w:lvlText w:val="%7."/>
      <w:lvlJc w:val="left"/>
      <w:pPr>
        <w:ind w:left="5040" w:hanging="360"/>
      </w:pPr>
    </w:lvl>
    <w:lvl w:ilvl="7" w:tplc="14A448C0" w:tentative="1">
      <w:start w:val="1"/>
      <w:numFmt w:val="lowerLetter"/>
      <w:lvlText w:val="%8."/>
      <w:lvlJc w:val="left"/>
      <w:pPr>
        <w:ind w:left="5760" w:hanging="360"/>
      </w:pPr>
    </w:lvl>
    <w:lvl w:ilvl="8" w:tplc="67A20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5302E4"/>
    <w:multiLevelType w:val="hybridMultilevel"/>
    <w:tmpl w:val="40FA02FC"/>
    <w:lvl w:ilvl="0" w:tplc="03B0E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1C44E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662E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A1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41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448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0A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6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54D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6A1D1C"/>
    <w:multiLevelType w:val="hybridMultilevel"/>
    <w:tmpl w:val="D9367CA4"/>
    <w:lvl w:ilvl="0" w:tplc="0E6A600E">
      <w:start w:val="1"/>
      <w:numFmt w:val="decimal"/>
      <w:lvlText w:val="%1."/>
      <w:lvlJc w:val="left"/>
      <w:pPr>
        <w:ind w:left="720" w:hanging="360"/>
      </w:pPr>
    </w:lvl>
    <w:lvl w:ilvl="1" w:tplc="54D84D9C" w:tentative="1">
      <w:start w:val="1"/>
      <w:numFmt w:val="lowerLetter"/>
      <w:lvlText w:val="%2."/>
      <w:lvlJc w:val="left"/>
      <w:pPr>
        <w:ind w:left="1440" w:hanging="360"/>
      </w:pPr>
    </w:lvl>
    <w:lvl w:ilvl="2" w:tplc="B5EA7914" w:tentative="1">
      <w:start w:val="1"/>
      <w:numFmt w:val="lowerRoman"/>
      <w:lvlText w:val="%3."/>
      <w:lvlJc w:val="right"/>
      <w:pPr>
        <w:ind w:left="2160" w:hanging="180"/>
      </w:pPr>
    </w:lvl>
    <w:lvl w:ilvl="3" w:tplc="6E726334" w:tentative="1">
      <w:start w:val="1"/>
      <w:numFmt w:val="decimal"/>
      <w:lvlText w:val="%4."/>
      <w:lvlJc w:val="left"/>
      <w:pPr>
        <w:ind w:left="2880" w:hanging="360"/>
      </w:pPr>
    </w:lvl>
    <w:lvl w:ilvl="4" w:tplc="17347C20" w:tentative="1">
      <w:start w:val="1"/>
      <w:numFmt w:val="lowerLetter"/>
      <w:lvlText w:val="%5."/>
      <w:lvlJc w:val="left"/>
      <w:pPr>
        <w:ind w:left="3600" w:hanging="360"/>
      </w:pPr>
    </w:lvl>
    <w:lvl w:ilvl="5" w:tplc="66FEBADC" w:tentative="1">
      <w:start w:val="1"/>
      <w:numFmt w:val="lowerRoman"/>
      <w:lvlText w:val="%6."/>
      <w:lvlJc w:val="right"/>
      <w:pPr>
        <w:ind w:left="4320" w:hanging="180"/>
      </w:pPr>
    </w:lvl>
    <w:lvl w:ilvl="6" w:tplc="30048B44" w:tentative="1">
      <w:start w:val="1"/>
      <w:numFmt w:val="decimal"/>
      <w:lvlText w:val="%7."/>
      <w:lvlJc w:val="left"/>
      <w:pPr>
        <w:ind w:left="5040" w:hanging="360"/>
      </w:pPr>
    </w:lvl>
    <w:lvl w:ilvl="7" w:tplc="2A381264" w:tentative="1">
      <w:start w:val="1"/>
      <w:numFmt w:val="lowerLetter"/>
      <w:lvlText w:val="%8."/>
      <w:lvlJc w:val="left"/>
      <w:pPr>
        <w:ind w:left="5760" w:hanging="360"/>
      </w:pPr>
    </w:lvl>
    <w:lvl w:ilvl="8" w:tplc="F4AE5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F70A20"/>
    <w:multiLevelType w:val="hybridMultilevel"/>
    <w:tmpl w:val="3AD68A96"/>
    <w:lvl w:ilvl="0" w:tplc="E58E28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8489B3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5D49C7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3AC1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DBE5A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298E38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C45FB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388B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5E87B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1180650"/>
    <w:multiLevelType w:val="hybridMultilevel"/>
    <w:tmpl w:val="C2165144"/>
    <w:lvl w:ilvl="0" w:tplc="8670E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E9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E8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6E0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8BE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AA8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AE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63D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9E6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D441C"/>
    <w:multiLevelType w:val="hybridMultilevel"/>
    <w:tmpl w:val="6BCC0BE8"/>
    <w:lvl w:ilvl="0" w:tplc="F034B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AA8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44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ED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E41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A8D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00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8B9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27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A11B89"/>
    <w:multiLevelType w:val="hybridMultilevel"/>
    <w:tmpl w:val="ECD67F78"/>
    <w:lvl w:ilvl="0" w:tplc="5C963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4675A6" w:tentative="1">
      <w:start w:val="1"/>
      <w:numFmt w:val="lowerLetter"/>
      <w:lvlText w:val="%2."/>
      <w:lvlJc w:val="left"/>
      <w:pPr>
        <w:ind w:left="1440" w:hanging="360"/>
      </w:pPr>
    </w:lvl>
    <w:lvl w:ilvl="2" w:tplc="BB3C8440" w:tentative="1">
      <w:start w:val="1"/>
      <w:numFmt w:val="lowerRoman"/>
      <w:lvlText w:val="%3."/>
      <w:lvlJc w:val="right"/>
      <w:pPr>
        <w:ind w:left="2160" w:hanging="180"/>
      </w:pPr>
    </w:lvl>
    <w:lvl w:ilvl="3" w:tplc="21E24608" w:tentative="1">
      <w:start w:val="1"/>
      <w:numFmt w:val="decimal"/>
      <w:lvlText w:val="%4."/>
      <w:lvlJc w:val="left"/>
      <w:pPr>
        <w:ind w:left="2880" w:hanging="360"/>
      </w:pPr>
    </w:lvl>
    <w:lvl w:ilvl="4" w:tplc="25BE3618" w:tentative="1">
      <w:start w:val="1"/>
      <w:numFmt w:val="lowerLetter"/>
      <w:lvlText w:val="%5."/>
      <w:lvlJc w:val="left"/>
      <w:pPr>
        <w:ind w:left="3600" w:hanging="360"/>
      </w:pPr>
    </w:lvl>
    <w:lvl w:ilvl="5" w:tplc="82E633C8" w:tentative="1">
      <w:start w:val="1"/>
      <w:numFmt w:val="lowerRoman"/>
      <w:lvlText w:val="%6."/>
      <w:lvlJc w:val="right"/>
      <w:pPr>
        <w:ind w:left="4320" w:hanging="180"/>
      </w:pPr>
    </w:lvl>
    <w:lvl w:ilvl="6" w:tplc="EE56F82E" w:tentative="1">
      <w:start w:val="1"/>
      <w:numFmt w:val="decimal"/>
      <w:lvlText w:val="%7."/>
      <w:lvlJc w:val="left"/>
      <w:pPr>
        <w:ind w:left="5040" w:hanging="360"/>
      </w:pPr>
    </w:lvl>
    <w:lvl w:ilvl="7" w:tplc="C074B206" w:tentative="1">
      <w:start w:val="1"/>
      <w:numFmt w:val="lowerLetter"/>
      <w:lvlText w:val="%8."/>
      <w:lvlJc w:val="left"/>
      <w:pPr>
        <w:ind w:left="5760" w:hanging="360"/>
      </w:pPr>
    </w:lvl>
    <w:lvl w:ilvl="8" w:tplc="29E23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153C81"/>
    <w:multiLevelType w:val="hybridMultilevel"/>
    <w:tmpl w:val="B4BC1B50"/>
    <w:lvl w:ilvl="0" w:tplc="4014C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4D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473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262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A9D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E61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46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E7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BA9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C051EA"/>
    <w:multiLevelType w:val="hybridMultilevel"/>
    <w:tmpl w:val="709CAB64"/>
    <w:lvl w:ilvl="0" w:tplc="8D4A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777A27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87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CD2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C3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A3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E7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2BC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5A7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43C67"/>
    <w:multiLevelType w:val="hybridMultilevel"/>
    <w:tmpl w:val="B9D8218C"/>
    <w:lvl w:ilvl="0" w:tplc="4FE2F7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F043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6A8D86" w:tentative="1">
      <w:start w:val="1"/>
      <w:numFmt w:val="lowerRoman"/>
      <w:lvlText w:val="%3."/>
      <w:lvlJc w:val="right"/>
      <w:pPr>
        <w:ind w:left="2160" w:hanging="180"/>
      </w:pPr>
    </w:lvl>
    <w:lvl w:ilvl="3" w:tplc="B5E6C962" w:tentative="1">
      <w:start w:val="1"/>
      <w:numFmt w:val="decimal"/>
      <w:lvlText w:val="%4."/>
      <w:lvlJc w:val="left"/>
      <w:pPr>
        <w:ind w:left="2880" w:hanging="360"/>
      </w:pPr>
    </w:lvl>
    <w:lvl w:ilvl="4" w:tplc="45C28624" w:tentative="1">
      <w:start w:val="1"/>
      <w:numFmt w:val="lowerLetter"/>
      <w:lvlText w:val="%5."/>
      <w:lvlJc w:val="left"/>
      <w:pPr>
        <w:ind w:left="3600" w:hanging="360"/>
      </w:pPr>
    </w:lvl>
    <w:lvl w:ilvl="5" w:tplc="837A6026" w:tentative="1">
      <w:start w:val="1"/>
      <w:numFmt w:val="lowerRoman"/>
      <w:lvlText w:val="%6."/>
      <w:lvlJc w:val="right"/>
      <w:pPr>
        <w:ind w:left="4320" w:hanging="180"/>
      </w:pPr>
    </w:lvl>
    <w:lvl w:ilvl="6" w:tplc="0F3CC2C0" w:tentative="1">
      <w:start w:val="1"/>
      <w:numFmt w:val="decimal"/>
      <w:lvlText w:val="%7."/>
      <w:lvlJc w:val="left"/>
      <w:pPr>
        <w:ind w:left="5040" w:hanging="360"/>
      </w:pPr>
    </w:lvl>
    <w:lvl w:ilvl="7" w:tplc="B13A9C06" w:tentative="1">
      <w:start w:val="1"/>
      <w:numFmt w:val="lowerLetter"/>
      <w:lvlText w:val="%8."/>
      <w:lvlJc w:val="left"/>
      <w:pPr>
        <w:ind w:left="5760" w:hanging="360"/>
      </w:pPr>
    </w:lvl>
    <w:lvl w:ilvl="8" w:tplc="420A0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A277D"/>
    <w:multiLevelType w:val="hybridMultilevel"/>
    <w:tmpl w:val="58A2B94A"/>
    <w:lvl w:ilvl="0" w:tplc="7C6E2F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ACC1DA4" w:tentative="1">
      <w:start w:val="1"/>
      <w:numFmt w:val="lowerLetter"/>
      <w:lvlText w:val="%2."/>
      <w:lvlJc w:val="left"/>
      <w:pPr>
        <w:ind w:left="1440" w:hanging="360"/>
      </w:pPr>
    </w:lvl>
    <w:lvl w:ilvl="2" w:tplc="9B8480C2" w:tentative="1">
      <w:start w:val="1"/>
      <w:numFmt w:val="lowerRoman"/>
      <w:lvlText w:val="%3."/>
      <w:lvlJc w:val="right"/>
      <w:pPr>
        <w:ind w:left="2160" w:hanging="180"/>
      </w:pPr>
    </w:lvl>
    <w:lvl w:ilvl="3" w:tplc="0B5AD622" w:tentative="1">
      <w:start w:val="1"/>
      <w:numFmt w:val="decimal"/>
      <w:lvlText w:val="%4."/>
      <w:lvlJc w:val="left"/>
      <w:pPr>
        <w:ind w:left="2880" w:hanging="360"/>
      </w:pPr>
    </w:lvl>
    <w:lvl w:ilvl="4" w:tplc="732037E2" w:tentative="1">
      <w:start w:val="1"/>
      <w:numFmt w:val="lowerLetter"/>
      <w:lvlText w:val="%5."/>
      <w:lvlJc w:val="left"/>
      <w:pPr>
        <w:ind w:left="3600" w:hanging="360"/>
      </w:pPr>
    </w:lvl>
    <w:lvl w:ilvl="5" w:tplc="32403990" w:tentative="1">
      <w:start w:val="1"/>
      <w:numFmt w:val="lowerRoman"/>
      <w:lvlText w:val="%6."/>
      <w:lvlJc w:val="right"/>
      <w:pPr>
        <w:ind w:left="4320" w:hanging="180"/>
      </w:pPr>
    </w:lvl>
    <w:lvl w:ilvl="6" w:tplc="A0A8E738" w:tentative="1">
      <w:start w:val="1"/>
      <w:numFmt w:val="decimal"/>
      <w:lvlText w:val="%7."/>
      <w:lvlJc w:val="left"/>
      <w:pPr>
        <w:ind w:left="5040" w:hanging="360"/>
      </w:pPr>
    </w:lvl>
    <w:lvl w:ilvl="7" w:tplc="DBD86BEE" w:tentative="1">
      <w:start w:val="1"/>
      <w:numFmt w:val="lowerLetter"/>
      <w:lvlText w:val="%8."/>
      <w:lvlJc w:val="left"/>
      <w:pPr>
        <w:ind w:left="5760" w:hanging="360"/>
      </w:pPr>
    </w:lvl>
    <w:lvl w:ilvl="8" w:tplc="FF1C7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C1440"/>
    <w:multiLevelType w:val="hybridMultilevel"/>
    <w:tmpl w:val="43F80820"/>
    <w:lvl w:ilvl="0" w:tplc="BE7C5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C4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22B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EF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22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349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0B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CB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98E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55F88"/>
    <w:multiLevelType w:val="hybridMultilevel"/>
    <w:tmpl w:val="74DA41A0"/>
    <w:lvl w:ilvl="0" w:tplc="94D43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2AD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683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27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23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B05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0E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445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43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7577DC4"/>
    <w:multiLevelType w:val="hybridMultilevel"/>
    <w:tmpl w:val="6DC476D2"/>
    <w:lvl w:ilvl="0" w:tplc="B86C9AB6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E89A22F0" w:tentative="1">
      <w:start w:val="1"/>
      <w:numFmt w:val="lowerLetter"/>
      <w:lvlText w:val="%2."/>
      <w:lvlJc w:val="left"/>
      <w:pPr>
        <w:ind w:left="1440" w:hanging="360"/>
      </w:pPr>
    </w:lvl>
    <w:lvl w:ilvl="2" w:tplc="CB5070A0" w:tentative="1">
      <w:start w:val="1"/>
      <w:numFmt w:val="lowerRoman"/>
      <w:lvlText w:val="%3."/>
      <w:lvlJc w:val="right"/>
      <w:pPr>
        <w:ind w:left="2160" w:hanging="180"/>
      </w:pPr>
    </w:lvl>
    <w:lvl w:ilvl="3" w:tplc="08A4E2F6" w:tentative="1">
      <w:start w:val="1"/>
      <w:numFmt w:val="decimal"/>
      <w:lvlText w:val="%4."/>
      <w:lvlJc w:val="left"/>
      <w:pPr>
        <w:ind w:left="2880" w:hanging="360"/>
      </w:pPr>
    </w:lvl>
    <w:lvl w:ilvl="4" w:tplc="AE6042C8" w:tentative="1">
      <w:start w:val="1"/>
      <w:numFmt w:val="lowerLetter"/>
      <w:lvlText w:val="%5."/>
      <w:lvlJc w:val="left"/>
      <w:pPr>
        <w:ind w:left="3600" w:hanging="360"/>
      </w:pPr>
    </w:lvl>
    <w:lvl w:ilvl="5" w:tplc="55A89E36" w:tentative="1">
      <w:start w:val="1"/>
      <w:numFmt w:val="lowerRoman"/>
      <w:lvlText w:val="%6."/>
      <w:lvlJc w:val="right"/>
      <w:pPr>
        <w:ind w:left="4320" w:hanging="180"/>
      </w:pPr>
    </w:lvl>
    <w:lvl w:ilvl="6" w:tplc="FA04F284" w:tentative="1">
      <w:start w:val="1"/>
      <w:numFmt w:val="decimal"/>
      <w:lvlText w:val="%7."/>
      <w:lvlJc w:val="left"/>
      <w:pPr>
        <w:ind w:left="5040" w:hanging="360"/>
      </w:pPr>
    </w:lvl>
    <w:lvl w:ilvl="7" w:tplc="67743D60" w:tentative="1">
      <w:start w:val="1"/>
      <w:numFmt w:val="lowerLetter"/>
      <w:lvlText w:val="%8."/>
      <w:lvlJc w:val="left"/>
      <w:pPr>
        <w:ind w:left="5760" w:hanging="360"/>
      </w:pPr>
    </w:lvl>
    <w:lvl w:ilvl="8" w:tplc="E850D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B5821"/>
    <w:multiLevelType w:val="hybridMultilevel"/>
    <w:tmpl w:val="F00CB6B6"/>
    <w:lvl w:ilvl="0" w:tplc="71AAF80C">
      <w:start w:val="1"/>
      <w:numFmt w:val="decimal"/>
      <w:pStyle w:val="Paragrafoelenco1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caps w:val="0"/>
        <w:color w:val="auto"/>
        <w:sz w:val="20"/>
        <w:szCs w:val="20"/>
        <w:u w:val="none"/>
      </w:rPr>
    </w:lvl>
    <w:lvl w:ilvl="1" w:tplc="8EA25E70" w:tentative="1">
      <w:start w:val="1"/>
      <w:numFmt w:val="lowerLetter"/>
      <w:lvlText w:val="%2."/>
      <w:lvlJc w:val="left"/>
      <w:pPr>
        <w:ind w:left="1440" w:hanging="360"/>
      </w:pPr>
    </w:lvl>
    <w:lvl w:ilvl="2" w:tplc="53F2D96A" w:tentative="1">
      <w:start w:val="1"/>
      <w:numFmt w:val="lowerRoman"/>
      <w:lvlText w:val="%3."/>
      <w:lvlJc w:val="right"/>
      <w:pPr>
        <w:ind w:left="2160" w:hanging="180"/>
      </w:pPr>
    </w:lvl>
    <w:lvl w:ilvl="3" w:tplc="693828B2" w:tentative="1">
      <w:start w:val="1"/>
      <w:numFmt w:val="decimal"/>
      <w:lvlText w:val="%4."/>
      <w:lvlJc w:val="left"/>
      <w:pPr>
        <w:ind w:left="2880" w:hanging="360"/>
      </w:pPr>
    </w:lvl>
    <w:lvl w:ilvl="4" w:tplc="9E628C5A" w:tentative="1">
      <w:start w:val="1"/>
      <w:numFmt w:val="lowerLetter"/>
      <w:lvlText w:val="%5."/>
      <w:lvlJc w:val="left"/>
      <w:pPr>
        <w:ind w:left="3600" w:hanging="360"/>
      </w:pPr>
    </w:lvl>
    <w:lvl w:ilvl="5" w:tplc="E5AA6AC0" w:tentative="1">
      <w:start w:val="1"/>
      <w:numFmt w:val="lowerRoman"/>
      <w:lvlText w:val="%6."/>
      <w:lvlJc w:val="right"/>
      <w:pPr>
        <w:ind w:left="4320" w:hanging="180"/>
      </w:pPr>
    </w:lvl>
    <w:lvl w:ilvl="6" w:tplc="A79476FA" w:tentative="1">
      <w:start w:val="1"/>
      <w:numFmt w:val="decimal"/>
      <w:lvlText w:val="%7."/>
      <w:lvlJc w:val="left"/>
      <w:pPr>
        <w:ind w:left="5040" w:hanging="360"/>
      </w:pPr>
    </w:lvl>
    <w:lvl w:ilvl="7" w:tplc="C2E8DD14" w:tentative="1">
      <w:start w:val="1"/>
      <w:numFmt w:val="lowerLetter"/>
      <w:lvlText w:val="%8."/>
      <w:lvlJc w:val="left"/>
      <w:pPr>
        <w:ind w:left="5760" w:hanging="360"/>
      </w:pPr>
    </w:lvl>
    <w:lvl w:ilvl="8" w:tplc="F35EF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85BAD"/>
    <w:multiLevelType w:val="hybridMultilevel"/>
    <w:tmpl w:val="902A2180"/>
    <w:lvl w:ilvl="0" w:tplc="AAF04B66">
      <w:start w:val="1"/>
      <w:numFmt w:val="decimal"/>
      <w:lvlText w:val="%1."/>
      <w:lvlJc w:val="left"/>
      <w:pPr>
        <w:ind w:left="360" w:hanging="360"/>
      </w:pPr>
    </w:lvl>
    <w:lvl w:ilvl="1" w:tplc="E9F2B03A" w:tentative="1">
      <w:start w:val="1"/>
      <w:numFmt w:val="lowerLetter"/>
      <w:lvlText w:val="%2."/>
      <w:lvlJc w:val="left"/>
      <w:pPr>
        <w:ind w:left="1080" w:hanging="360"/>
      </w:pPr>
    </w:lvl>
    <w:lvl w:ilvl="2" w:tplc="4B960FC4" w:tentative="1">
      <w:start w:val="1"/>
      <w:numFmt w:val="lowerRoman"/>
      <w:lvlText w:val="%3."/>
      <w:lvlJc w:val="right"/>
      <w:pPr>
        <w:ind w:left="1800" w:hanging="180"/>
      </w:pPr>
    </w:lvl>
    <w:lvl w:ilvl="3" w:tplc="483234A0" w:tentative="1">
      <w:start w:val="1"/>
      <w:numFmt w:val="decimal"/>
      <w:lvlText w:val="%4."/>
      <w:lvlJc w:val="left"/>
      <w:pPr>
        <w:ind w:left="2520" w:hanging="360"/>
      </w:pPr>
    </w:lvl>
    <w:lvl w:ilvl="4" w:tplc="6F2A1C18" w:tentative="1">
      <w:start w:val="1"/>
      <w:numFmt w:val="lowerLetter"/>
      <w:lvlText w:val="%5."/>
      <w:lvlJc w:val="left"/>
      <w:pPr>
        <w:ind w:left="3240" w:hanging="360"/>
      </w:pPr>
    </w:lvl>
    <w:lvl w:ilvl="5" w:tplc="40E88CA2" w:tentative="1">
      <w:start w:val="1"/>
      <w:numFmt w:val="lowerRoman"/>
      <w:lvlText w:val="%6."/>
      <w:lvlJc w:val="right"/>
      <w:pPr>
        <w:ind w:left="3960" w:hanging="180"/>
      </w:pPr>
    </w:lvl>
    <w:lvl w:ilvl="6" w:tplc="ADFE82CE" w:tentative="1">
      <w:start w:val="1"/>
      <w:numFmt w:val="decimal"/>
      <w:lvlText w:val="%7."/>
      <w:lvlJc w:val="left"/>
      <w:pPr>
        <w:ind w:left="4680" w:hanging="360"/>
      </w:pPr>
    </w:lvl>
    <w:lvl w:ilvl="7" w:tplc="954AB402" w:tentative="1">
      <w:start w:val="1"/>
      <w:numFmt w:val="lowerLetter"/>
      <w:lvlText w:val="%8."/>
      <w:lvlJc w:val="left"/>
      <w:pPr>
        <w:ind w:left="5400" w:hanging="360"/>
      </w:pPr>
    </w:lvl>
    <w:lvl w:ilvl="8" w:tplc="42DEB3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7867A3"/>
    <w:multiLevelType w:val="hybridMultilevel"/>
    <w:tmpl w:val="F15E2EA6"/>
    <w:lvl w:ilvl="0" w:tplc="A96C439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4846F544" w:tentative="1">
      <w:start w:val="1"/>
      <w:numFmt w:val="lowerLetter"/>
      <w:lvlText w:val="%2."/>
      <w:lvlJc w:val="left"/>
      <w:pPr>
        <w:ind w:left="1440" w:hanging="360"/>
      </w:pPr>
    </w:lvl>
    <w:lvl w:ilvl="2" w:tplc="C9206FD2" w:tentative="1">
      <w:start w:val="1"/>
      <w:numFmt w:val="lowerRoman"/>
      <w:lvlText w:val="%3."/>
      <w:lvlJc w:val="right"/>
      <w:pPr>
        <w:ind w:left="2160" w:hanging="180"/>
      </w:pPr>
    </w:lvl>
    <w:lvl w:ilvl="3" w:tplc="500C4C56" w:tentative="1">
      <w:start w:val="1"/>
      <w:numFmt w:val="decimal"/>
      <w:lvlText w:val="%4."/>
      <w:lvlJc w:val="left"/>
      <w:pPr>
        <w:ind w:left="2880" w:hanging="360"/>
      </w:pPr>
    </w:lvl>
    <w:lvl w:ilvl="4" w:tplc="E4867554" w:tentative="1">
      <w:start w:val="1"/>
      <w:numFmt w:val="lowerLetter"/>
      <w:lvlText w:val="%5."/>
      <w:lvlJc w:val="left"/>
      <w:pPr>
        <w:ind w:left="3600" w:hanging="360"/>
      </w:pPr>
    </w:lvl>
    <w:lvl w:ilvl="5" w:tplc="878C9A9C" w:tentative="1">
      <w:start w:val="1"/>
      <w:numFmt w:val="lowerRoman"/>
      <w:lvlText w:val="%6."/>
      <w:lvlJc w:val="right"/>
      <w:pPr>
        <w:ind w:left="4320" w:hanging="180"/>
      </w:pPr>
    </w:lvl>
    <w:lvl w:ilvl="6" w:tplc="E700A25A" w:tentative="1">
      <w:start w:val="1"/>
      <w:numFmt w:val="decimal"/>
      <w:lvlText w:val="%7."/>
      <w:lvlJc w:val="left"/>
      <w:pPr>
        <w:ind w:left="5040" w:hanging="360"/>
      </w:pPr>
    </w:lvl>
    <w:lvl w:ilvl="7" w:tplc="EAD44A4C" w:tentative="1">
      <w:start w:val="1"/>
      <w:numFmt w:val="lowerLetter"/>
      <w:lvlText w:val="%8."/>
      <w:lvlJc w:val="left"/>
      <w:pPr>
        <w:ind w:left="5760" w:hanging="360"/>
      </w:pPr>
    </w:lvl>
    <w:lvl w:ilvl="8" w:tplc="927E7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4432E"/>
    <w:multiLevelType w:val="hybridMultilevel"/>
    <w:tmpl w:val="8A7EA14C"/>
    <w:lvl w:ilvl="0" w:tplc="057220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4F26F7C" w:tentative="1">
      <w:start w:val="1"/>
      <w:numFmt w:val="lowerLetter"/>
      <w:lvlText w:val="%2."/>
      <w:lvlJc w:val="left"/>
      <w:pPr>
        <w:ind w:left="1440" w:hanging="360"/>
      </w:pPr>
    </w:lvl>
    <w:lvl w:ilvl="2" w:tplc="7A9AEB1C" w:tentative="1">
      <w:start w:val="1"/>
      <w:numFmt w:val="lowerRoman"/>
      <w:lvlText w:val="%3."/>
      <w:lvlJc w:val="right"/>
      <w:pPr>
        <w:ind w:left="2160" w:hanging="180"/>
      </w:pPr>
    </w:lvl>
    <w:lvl w:ilvl="3" w:tplc="3CB206E4" w:tentative="1">
      <w:start w:val="1"/>
      <w:numFmt w:val="decimal"/>
      <w:lvlText w:val="%4."/>
      <w:lvlJc w:val="left"/>
      <w:pPr>
        <w:ind w:left="2880" w:hanging="360"/>
      </w:pPr>
    </w:lvl>
    <w:lvl w:ilvl="4" w:tplc="CBFAB994" w:tentative="1">
      <w:start w:val="1"/>
      <w:numFmt w:val="lowerLetter"/>
      <w:lvlText w:val="%5."/>
      <w:lvlJc w:val="left"/>
      <w:pPr>
        <w:ind w:left="3600" w:hanging="360"/>
      </w:pPr>
    </w:lvl>
    <w:lvl w:ilvl="5" w:tplc="10D04678" w:tentative="1">
      <w:start w:val="1"/>
      <w:numFmt w:val="lowerRoman"/>
      <w:lvlText w:val="%6."/>
      <w:lvlJc w:val="right"/>
      <w:pPr>
        <w:ind w:left="4320" w:hanging="180"/>
      </w:pPr>
    </w:lvl>
    <w:lvl w:ilvl="6" w:tplc="B7C2232A" w:tentative="1">
      <w:start w:val="1"/>
      <w:numFmt w:val="decimal"/>
      <w:lvlText w:val="%7."/>
      <w:lvlJc w:val="left"/>
      <w:pPr>
        <w:ind w:left="5040" w:hanging="360"/>
      </w:pPr>
    </w:lvl>
    <w:lvl w:ilvl="7" w:tplc="6068CB46" w:tentative="1">
      <w:start w:val="1"/>
      <w:numFmt w:val="lowerLetter"/>
      <w:lvlText w:val="%8."/>
      <w:lvlJc w:val="left"/>
      <w:pPr>
        <w:ind w:left="5760" w:hanging="360"/>
      </w:pPr>
    </w:lvl>
    <w:lvl w:ilvl="8" w:tplc="D8887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F7A9A"/>
    <w:multiLevelType w:val="hybridMultilevel"/>
    <w:tmpl w:val="83FCF316"/>
    <w:lvl w:ilvl="0" w:tplc="A3CE9B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FDC11A0" w:tentative="1">
      <w:start w:val="1"/>
      <w:numFmt w:val="lowerLetter"/>
      <w:lvlText w:val="%2."/>
      <w:lvlJc w:val="left"/>
      <w:pPr>
        <w:ind w:left="1440" w:hanging="360"/>
      </w:pPr>
    </w:lvl>
    <w:lvl w:ilvl="2" w:tplc="68BC8F0C" w:tentative="1">
      <w:start w:val="1"/>
      <w:numFmt w:val="lowerRoman"/>
      <w:lvlText w:val="%3."/>
      <w:lvlJc w:val="right"/>
      <w:pPr>
        <w:ind w:left="2160" w:hanging="180"/>
      </w:pPr>
    </w:lvl>
    <w:lvl w:ilvl="3" w:tplc="6546C27E" w:tentative="1">
      <w:start w:val="1"/>
      <w:numFmt w:val="decimal"/>
      <w:lvlText w:val="%4."/>
      <w:lvlJc w:val="left"/>
      <w:pPr>
        <w:ind w:left="2880" w:hanging="360"/>
      </w:pPr>
    </w:lvl>
    <w:lvl w:ilvl="4" w:tplc="F5EAC9E2" w:tentative="1">
      <w:start w:val="1"/>
      <w:numFmt w:val="lowerLetter"/>
      <w:lvlText w:val="%5."/>
      <w:lvlJc w:val="left"/>
      <w:pPr>
        <w:ind w:left="3600" w:hanging="360"/>
      </w:pPr>
    </w:lvl>
    <w:lvl w:ilvl="5" w:tplc="7EBA4AA2" w:tentative="1">
      <w:start w:val="1"/>
      <w:numFmt w:val="lowerRoman"/>
      <w:lvlText w:val="%6."/>
      <w:lvlJc w:val="right"/>
      <w:pPr>
        <w:ind w:left="4320" w:hanging="180"/>
      </w:pPr>
    </w:lvl>
    <w:lvl w:ilvl="6" w:tplc="768C53AA" w:tentative="1">
      <w:start w:val="1"/>
      <w:numFmt w:val="decimal"/>
      <w:lvlText w:val="%7."/>
      <w:lvlJc w:val="left"/>
      <w:pPr>
        <w:ind w:left="5040" w:hanging="360"/>
      </w:pPr>
    </w:lvl>
    <w:lvl w:ilvl="7" w:tplc="151C3DCC" w:tentative="1">
      <w:start w:val="1"/>
      <w:numFmt w:val="lowerLetter"/>
      <w:lvlText w:val="%8."/>
      <w:lvlJc w:val="left"/>
      <w:pPr>
        <w:ind w:left="5760" w:hanging="360"/>
      </w:pPr>
    </w:lvl>
    <w:lvl w:ilvl="8" w:tplc="26F6E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564D6"/>
    <w:multiLevelType w:val="hybridMultilevel"/>
    <w:tmpl w:val="D26AC7E6"/>
    <w:lvl w:ilvl="0" w:tplc="009008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D82C89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C60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AF4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83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443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AB7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64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6E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15"/>
  </w:num>
  <w:num w:numId="4">
    <w:abstractNumId w:val="20"/>
  </w:num>
  <w:num w:numId="5">
    <w:abstractNumId w:val="12"/>
  </w:num>
  <w:num w:numId="6">
    <w:abstractNumId w:val="11"/>
  </w:num>
  <w:num w:numId="7">
    <w:abstractNumId w:val="26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29"/>
  </w:num>
  <w:num w:numId="19">
    <w:abstractNumId w:val="24"/>
  </w:num>
  <w:num w:numId="20">
    <w:abstractNumId w:val="19"/>
  </w:num>
  <w:num w:numId="21">
    <w:abstractNumId w:val="22"/>
  </w:num>
  <w:num w:numId="22">
    <w:abstractNumId w:val="30"/>
  </w:num>
  <w:num w:numId="23">
    <w:abstractNumId w:val="25"/>
  </w:num>
  <w:num w:numId="24">
    <w:abstractNumId w:val="0"/>
  </w:num>
  <w:num w:numId="25">
    <w:abstractNumId w:val="14"/>
  </w:num>
  <w:num w:numId="26">
    <w:abstractNumId w:val="18"/>
  </w:num>
  <w:num w:numId="27">
    <w:abstractNumId w:val="17"/>
  </w:num>
  <w:num w:numId="28">
    <w:abstractNumId w:val="27"/>
  </w:num>
  <w:num w:numId="29">
    <w:abstractNumId w:val="23"/>
  </w:num>
  <w:num w:numId="30">
    <w:abstractNumId w:val="13"/>
  </w:num>
  <w:num w:numId="31">
    <w:abstractNumId w:val="1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DA3A70"/>
    <w:rsid w:val="00000350"/>
    <w:rsid w:val="000026F4"/>
    <w:rsid w:val="00002EF3"/>
    <w:rsid w:val="000034CF"/>
    <w:rsid w:val="000071D2"/>
    <w:rsid w:val="000124B6"/>
    <w:rsid w:val="00012ADD"/>
    <w:rsid w:val="00014162"/>
    <w:rsid w:val="0001487C"/>
    <w:rsid w:val="00024F83"/>
    <w:rsid w:val="00026A77"/>
    <w:rsid w:val="000279A6"/>
    <w:rsid w:val="00032C1C"/>
    <w:rsid w:val="0003464B"/>
    <w:rsid w:val="000347EA"/>
    <w:rsid w:val="00037B0F"/>
    <w:rsid w:val="00041534"/>
    <w:rsid w:val="0004182E"/>
    <w:rsid w:val="00042858"/>
    <w:rsid w:val="000466F2"/>
    <w:rsid w:val="000479A2"/>
    <w:rsid w:val="00052E50"/>
    <w:rsid w:val="00053CE8"/>
    <w:rsid w:val="00054BA2"/>
    <w:rsid w:val="00055EC2"/>
    <w:rsid w:val="00056E42"/>
    <w:rsid w:val="000606C7"/>
    <w:rsid w:val="000634B3"/>
    <w:rsid w:val="00067414"/>
    <w:rsid w:val="0007118B"/>
    <w:rsid w:val="00071A2E"/>
    <w:rsid w:val="00071CA9"/>
    <w:rsid w:val="000726E4"/>
    <w:rsid w:val="00073EA2"/>
    <w:rsid w:val="000740EA"/>
    <w:rsid w:val="00075173"/>
    <w:rsid w:val="000753CB"/>
    <w:rsid w:val="00083CEE"/>
    <w:rsid w:val="000840C5"/>
    <w:rsid w:val="000872D3"/>
    <w:rsid w:val="00090759"/>
    <w:rsid w:val="00091034"/>
    <w:rsid w:val="00093100"/>
    <w:rsid w:val="00093675"/>
    <w:rsid w:val="00094E61"/>
    <w:rsid w:val="000953B5"/>
    <w:rsid w:val="00097EA7"/>
    <w:rsid w:val="000A2B79"/>
    <w:rsid w:val="000A2B9B"/>
    <w:rsid w:val="000A3A87"/>
    <w:rsid w:val="000A3E29"/>
    <w:rsid w:val="000A3F03"/>
    <w:rsid w:val="000A40BC"/>
    <w:rsid w:val="000A60C4"/>
    <w:rsid w:val="000A7B26"/>
    <w:rsid w:val="000B0623"/>
    <w:rsid w:val="000B0CFE"/>
    <w:rsid w:val="000B0D43"/>
    <w:rsid w:val="000B2922"/>
    <w:rsid w:val="000B7864"/>
    <w:rsid w:val="000C1461"/>
    <w:rsid w:val="000C2136"/>
    <w:rsid w:val="000C21E9"/>
    <w:rsid w:val="000C28F4"/>
    <w:rsid w:val="000C3973"/>
    <w:rsid w:val="000C46C9"/>
    <w:rsid w:val="000C4F54"/>
    <w:rsid w:val="000C5921"/>
    <w:rsid w:val="000C5E86"/>
    <w:rsid w:val="000C672A"/>
    <w:rsid w:val="000C6EA1"/>
    <w:rsid w:val="000D0DB0"/>
    <w:rsid w:val="000D1274"/>
    <w:rsid w:val="000D1427"/>
    <w:rsid w:val="000D1B85"/>
    <w:rsid w:val="000D3A2D"/>
    <w:rsid w:val="000D5670"/>
    <w:rsid w:val="000E1278"/>
    <w:rsid w:val="000F23C9"/>
    <w:rsid w:val="000F2946"/>
    <w:rsid w:val="000F2C5B"/>
    <w:rsid w:val="000F4226"/>
    <w:rsid w:val="000F5AA3"/>
    <w:rsid w:val="000F5F9C"/>
    <w:rsid w:val="000F76CA"/>
    <w:rsid w:val="001035A5"/>
    <w:rsid w:val="00110B63"/>
    <w:rsid w:val="00121291"/>
    <w:rsid w:val="00122468"/>
    <w:rsid w:val="00125B6D"/>
    <w:rsid w:val="00126616"/>
    <w:rsid w:val="001269EE"/>
    <w:rsid w:val="001304C7"/>
    <w:rsid w:val="00136802"/>
    <w:rsid w:val="00136E20"/>
    <w:rsid w:val="00136ED6"/>
    <w:rsid w:val="0014061E"/>
    <w:rsid w:val="0014258F"/>
    <w:rsid w:val="00143D62"/>
    <w:rsid w:val="001449C6"/>
    <w:rsid w:val="00146FC2"/>
    <w:rsid w:val="0015365C"/>
    <w:rsid w:val="0015455B"/>
    <w:rsid w:val="00155B28"/>
    <w:rsid w:val="00162F60"/>
    <w:rsid w:val="0016337C"/>
    <w:rsid w:val="00163959"/>
    <w:rsid w:val="00166790"/>
    <w:rsid w:val="00170B6E"/>
    <w:rsid w:val="00171A18"/>
    <w:rsid w:val="00172D5C"/>
    <w:rsid w:val="001730CE"/>
    <w:rsid w:val="001736AD"/>
    <w:rsid w:val="00173820"/>
    <w:rsid w:val="0017517E"/>
    <w:rsid w:val="001752D3"/>
    <w:rsid w:val="00176AC3"/>
    <w:rsid w:val="001771D6"/>
    <w:rsid w:val="001855AB"/>
    <w:rsid w:val="00185AFB"/>
    <w:rsid w:val="00192273"/>
    <w:rsid w:val="00192B0D"/>
    <w:rsid w:val="00193DC5"/>
    <w:rsid w:val="001959C6"/>
    <w:rsid w:val="00196487"/>
    <w:rsid w:val="001A3531"/>
    <w:rsid w:val="001A4728"/>
    <w:rsid w:val="001A4CCF"/>
    <w:rsid w:val="001A5261"/>
    <w:rsid w:val="001B1BA1"/>
    <w:rsid w:val="001B5D93"/>
    <w:rsid w:val="001B6412"/>
    <w:rsid w:val="001B68DA"/>
    <w:rsid w:val="001C393A"/>
    <w:rsid w:val="001C5792"/>
    <w:rsid w:val="001C5873"/>
    <w:rsid w:val="001C6951"/>
    <w:rsid w:val="001C779B"/>
    <w:rsid w:val="001C77C5"/>
    <w:rsid w:val="001D233F"/>
    <w:rsid w:val="001D3415"/>
    <w:rsid w:val="001D515B"/>
    <w:rsid w:val="001D536F"/>
    <w:rsid w:val="001D70E6"/>
    <w:rsid w:val="001E19FE"/>
    <w:rsid w:val="001E20E9"/>
    <w:rsid w:val="001E2F2E"/>
    <w:rsid w:val="001E4CEB"/>
    <w:rsid w:val="001E6775"/>
    <w:rsid w:val="001F10C9"/>
    <w:rsid w:val="001F47EF"/>
    <w:rsid w:val="001F5C22"/>
    <w:rsid w:val="001F6F3E"/>
    <w:rsid w:val="002059D7"/>
    <w:rsid w:val="002076D3"/>
    <w:rsid w:val="0021121E"/>
    <w:rsid w:val="00211980"/>
    <w:rsid w:val="00213427"/>
    <w:rsid w:val="00217017"/>
    <w:rsid w:val="00222311"/>
    <w:rsid w:val="002227A7"/>
    <w:rsid w:val="002250CC"/>
    <w:rsid w:val="0023067B"/>
    <w:rsid w:val="00230B5C"/>
    <w:rsid w:val="0023121D"/>
    <w:rsid w:val="00232D78"/>
    <w:rsid w:val="00232E0C"/>
    <w:rsid w:val="00234417"/>
    <w:rsid w:val="00236007"/>
    <w:rsid w:val="002362B5"/>
    <w:rsid w:val="002377D4"/>
    <w:rsid w:val="00237A50"/>
    <w:rsid w:val="00240F94"/>
    <w:rsid w:val="00242164"/>
    <w:rsid w:val="002425A4"/>
    <w:rsid w:val="00243203"/>
    <w:rsid w:val="00243FFC"/>
    <w:rsid w:val="002444B5"/>
    <w:rsid w:val="00250D1C"/>
    <w:rsid w:val="00251222"/>
    <w:rsid w:val="00251710"/>
    <w:rsid w:val="00251911"/>
    <w:rsid w:val="00251953"/>
    <w:rsid w:val="00251BE7"/>
    <w:rsid w:val="00252ABC"/>
    <w:rsid w:val="00254EDF"/>
    <w:rsid w:val="00256D28"/>
    <w:rsid w:val="00257944"/>
    <w:rsid w:val="00264E5E"/>
    <w:rsid w:val="00267443"/>
    <w:rsid w:val="002701E1"/>
    <w:rsid w:val="0027030B"/>
    <w:rsid w:val="0027045A"/>
    <w:rsid w:val="00270D45"/>
    <w:rsid w:val="00274D20"/>
    <w:rsid w:val="0027624E"/>
    <w:rsid w:val="0027775B"/>
    <w:rsid w:val="00283609"/>
    <w:rsid w:val="0028467E"/>
    <w:rsid w:val="00287121"/>
    <w:rsid w:val="0029231A"/>
    <w:rsid w:val="002939B8"/>
    <w:rsid w:val="0029556C"/>
    <w:rsid w:val="002961B5"/>
    <w:rsid w:val="00297557"/>
    <w:rsid w:val="0029793E"/>
    <w:rsid w:val="002A11F0"/>
    <w:rsid w:val="002A533F"/>
    <w:rsid w:val="002A5D0B"/>
    <w:rsid w:val="002B346A"/>
    <w:rsid w:val="002B4136"/>
    <w:rsid w:val="002B6751"/>
    <w:rsid w:val="002C278C"/>
    <w:rsid w:val="002C2A75"/>
    <w:rsid w:val="002C5489"/>
    <w:rsid w:val="002C5A7D"/>
    <w:rsid w:val="002C5F15"/>
    <w:rsid w:val="002D0D81"/>
    <w:rsid w:val="002D130E"/>
    <w:rsid w:val="002D2934"/>
    <w:rsid w:val="002D4BDD"/>
    <w:rsid w:val="002D6B2B"/>
    <w:rsid w:val="002E0B13"/>
    <w:rsid w:val="002E4529"/>
    <w:rsid w:val="002E47FD"/>
    <w:rsid w:val="002E5F96"/>
    <w:rsid w:val="002E69D3"/>
    <w:rsid w:val="002E714E"/>
    <w:rsid w:val="002F2A5A"/>
    <w:rsid w:val="002F3F70"/>
    <w:rsid w:val="002F45F2"/>
    <w:rsid w:val="002F4926"/>
    <w:rsid w:val="002F49F5"/>
    <w:rsid w:val="002F623E"/>
    <w:rsid w:val="002F6F3E"/>
    <w:rsid w:val="003003DA"/>
    <w:rsid w:val="003073B3"/>
    <w:rsid w:val="00313CA4"/>
    <w:rsid w:val="00314886"/>
    <w:rsid w:val="00314A47"/>
    <w:rsid w:val="00320170"/>
    <w:rsid w:val="00322570"/>
    <w:rsid w:val="00322F85"/>
    <w:rsid w:val="003247C6"/>
    <w:rsid w:val="00325CF7"/>
    <w:rsid w:val="00327791"/>
    <w:rsid w:val="00327D7E"/>
    <w:rsid w:val="0033246A"/>
    <w:rsid w:val="00332575"/>
    <w:rsid w:val="0033381B"/>
    <w:rsid w:val="00334B37"/>
    <w:rsid w:val="00340B09"/>
    <w:rsid w:val="003450AE"/>
    <w:rsid w:val="00352241"/>
    <w:rsid w:val="00352431"/>
    <w:rsid w:val="00353103"/>
    <w:rsid w:val="0035545C"/>
    <w:rsid w:val="003562DF"/>
    <w:rsid w:val="003571C8"/>
    <w:rsid w:val="00360484"/>
    <w:rsid w:val="00360784"/>
    <w:rsid w:val="00360A97"/>
    <w:rsid w:val="00363A61"/>
    <w:rsid w:val="00363B8A"/>
    <w:rsid w:val="00363C6B"/>
    <w:rsid w:val="00363D85"/>
    <w:rsid w:val="00364A59"/>
    <w:rsid w:val="003663F5"/>
    <w:rsid w:val="00366496"/>
    <w:rsid w:val="00370A99"/>
    <w:rsid w:val="00371D7A"/>
    <w:rsid w:val="00372ACE"/>
    <w:rsid w:val="0037414E"/>
    <w:rsid w:val="003751DE"/>
    <w:rsid w:val="003771C2"/>
    <w:rsid w:val="00377D0B"/>
    <w:rsid w:val="00380057"/>
    <w:rsid w:val="00381656"/>
    <w:rsid w:val="00382546"/>
    <w:rsid w:val="003830D8"/>
    <w:rsid w:val="00387647"/>
    <w:rsid w:val="00391B04"/>
    <w:rsid w:val="00392E2D"/>
    <w:rsid w:val="00394E0D"/>
    <w:rsid w:val="00396373"/>
    <w:rsid w:val="00396855"/>
    <w:rsid w:val="00397D0C"/>
    <w:rsid w:val="003A4098"/>
    <w:rsid w:val="003A4444"/>
    <w:rsid w:val="003B02DC"/>
    <w:rsid w:val="003B07C8"/>
    <w:rsid w:val="003B106F"/>
    <w:rsid w:val="003B431F"/>
    <w:rsid w:val="003C0153"/>
    <w:rsid w:val="003C04B9"/>
    <w:rsid w:val="003C06B1"/>
    <w:rsid w:val="003C0936"/>
    <w:rsid w:val="003C0B22"/>
    <w:rsid w:val="003C18EB"/>
    <w:rsid w:val="003C3ACF"/>
    <w:rsid w:val="003C40FE"/>
    <w:rsid w:val="003C545A"/>
    <w:rsid w:val="003C75A7"/>
    <w:rsid w:val="003D04FB"/>
    <w:rsid w:val="003D0D61"/>
    <w:rsid w:val="003D3F58"/>
    <w:rsid w:val="003E2A85"/>
    <w:rsid w:val="003E4C55"/>
    <w:rsid w:val="003E5976"/>
    <w:rsid w:val="003E5F1C"/>
    <w:rsid w:val="003E66D6"/>
    <w:rsid w:val="003E69A1"/>
    <w:rsid w:val="003E76A2"/>
    <w:rsid w:val="003E7DFF"/>
    <w:rsid w:val="003F0B0C"/>
    <w:rsid w:val="003F1CE8"/>
    <w:rsid w:val="003F5EEE"/>
    <w:rsid w:val="004025D9"/>
    <w:rsid w:val="00402E1D"/>
    <w:rsid w:val="00403259"/>
    <w:rsid w:val="00406F24"/>
    <w:rsid w:val="004076FC"/>
    <w:rsid w:val="00410A6B"/>
    <w:rsid w:val="00410EF0"/>
    <w:rsid w:val="00411296"/>
    <w:rsid w:val="004141A8"/>
    <w:rsid w:val="0041589D"/>
    <w:rsid w:val="00415CD3"/>
    <w:rsid w:val="0041632C"/>
    <w:rsid w:val="004222D7"/>
    <w:rsid w:val="004238D6"/>
    <w:rsid w:val="004246F1"/>
    <w:rsid w:val="00424941"/>
    <w:rsid w:val="00425C05"/>
    <w:rsid w:val="00427F35"/>
    <w:rsid w:val="00431534"/>
    <w:rsid w:val="0043285B"/>
    <w:rsid w:val="00434411"/>
    <w:rsid w:val="00437D86"/>
    <w:rsid w:val="0044267B"/>
    <w:rsid w:val="004446C0"/>
    <w:rsid w:val="00446C50"/>
    <w:rsid w:val="0044763D"/>
    <w:rsid w:val="00450C22"/>
    <w:rsid w:val="0045142D"/>
    <w:rsid w:val="00452236"/>
    <w:rsid w:val="0046235A"/>
    <w:rsid w:val="00463005"/>
    <w:rsid w:val="004646B1"/>
    <w:rsid w:val="004647E8"/>
    <w:rsid w:val="004658A8"/>
    <w:rsid w:val="004739EF"/>
    <w:rsid w:val="0047445E"/>
    <w:rsid w:val="00477D39"/>
    <w:rsid w:val="00481C51"/>
    <w:rsid w:val="00481EB6"/>
    <w:rsid w:val="004827ED"/>
    <w:rsid w:val="00482B66"/>
    <w:rsid w:val="004839B6"/>
    <w:rsid w:val="0048487E"/>
    <w:rsid w:val="00484D43"/>
    <w:rsid w:val="0048703C"/>
    <w:rsid w:val="00491664"/>
    <w:rsid w:val="00491EF4"/>
    <w:rsid w:val="00492ED6"/>
    <w:rsid w:val="00494D55"/>
    <w:rsid w:val="004956D4"/>
    <w:rsid w:val="004957EF"/>
    <w:rsid w:val="00495E27"/>
    <w:rsid w:val="00496312"/>
    <w:rsid w:val="00497B7C"/>
    <w:rsid w:val="004A0599"/>
    <w:rsid w:val="004A2C44"/>
    <w:rsid w:val="004A2D43"/>
    <w:rsid w:val="004A39B1"/>
    <w:rsid w:val="004B1F0B"/>
    <w:rsid w:val="004B1FDD"/>
    <w:rsid w:val="004B4AA2"/>
    <w:rsid w:val="004B4EB0"/>
    <w:rsid w:val="004B5890"/>
    <w:rsid w:val="004B69FD"/>
    <w:rsid w:val="004B6FC5"/>
    <w:rsid w:val="004C18C1"/>
    <w:rsid w:val="004C1C75"/>
    <w:rsid w:val="004C28FB"/>
    <w:rsid w:val="004C3DD6"/>
    <w:rsid w:val="004C4531"/>
    <w:rsid w:val="004D2373"/>
    <w:rsid w:val="004D36BF"/>
    <w:rsid w:val="004D3907"/>
    <w:rsid w:val="004D4F8D"/>
    <w:rsid w:val="004D55B3"/>
    <w:rsid w:val="004D6F34"/>
    <w:rsid w:val="004D724D"/>
    <w:rsid w:val="004E0655"/>
    <w:rsid w:val="004E08F4"/>
    <w:rsid w:val="004E1242"/>
    <w:rsid w:val="004E36AA"/>
    <w:rsid w:val="004E72AD"/>
    <w:rsid w:val="004E7878"/>
    <w:rsid w:val="004F1574"/>
    <w:rsid w:val="004F1FA2"/>
    <w:rsid w:val="004F2590"/>
    <w:rsid w:val="004F2FA7"/>
    <w:rsid w:val="004F344C"/>
    <w:rsid w:val="004F5376"/>
    <w:rsid w:val="004F618E"/>
    <w:rsid w:val="004F7210"/>
    <w:rsid w:val="004F7661"/>
    <w:rsid w:val="00507351"/>
    <w:rsid w:val="00507844"/>
    <w:rsid w:val="00510CF2"/>
    <w:rsid w:val="00510F35"/>
    <w:rsid w:val="00511A12"/>
    <w:rsid w:val="00514487"/>
    <w:rsid w:val="00515792"/>
    <w:rsid w:val="00517228"/>
    <w:rsid w:val="00521D21"/>
    <w:rsid w:val="00524376"/>
    <w:rsid w:val="005257F9"/>
    <w:rsid w:val="00525E02"/>
    <w:rsid w:val="005267C9"/>
    <w:rsid w:val="00526D61"/>
    <w:rsid w:val="00530616"/>
    <w:rsid w:val="00532606"/>
    <w:rsid w:val="00533CE4"/>
    <w:rsid w:val="0053661F"/>
    <w:rsid w:val="00536FB6"/>
    <w:rsid w:val="0054062F"/>
    <w:rsid w:val="00543015"/>
    <w:rsid w:val="00546107"/>
    <w:rsid w:val="00546BCD"/>
    <w:rsid w:val="005503FE"/>
    <w:rsid w:val="00550A13"/>
    <w:rsid w:val="00552208"/>
    <w:rsid w:val="00552593"/>
    <w:rsid w:val="00555543"/>
    <w:rsid w:val="0055593C"/>
    <w:rsid w:val="0055733C"/>
    <w:rsid w:val="005619F1"/>
    <w:rsid w:val="00563401"/>
    <w:rsid w:val="00563F8F"/>
    <w:rsid w:val="00564730"/>
    <w:rsid w:val="00571926"/>
    <w:rsid w:val="005731B7"/>
    <w:rsid w:val="005739A7"/>
    <w:rsid w:val="0057481C"/>
    <w:rsid w:val="00577395"/>
    <w:rsid w:val="0058068E"/>
    <w:rsid w:val="00583785"/>
    <w:rsid w:val="005849B0"/>
    <w:rsid w:val="00586908"/>
    <w:rsid w:val="00587A44"/>
    <w:rsid w:val="00592DCC"/>
    <w:rsid w:val="00593AC8"/>
    <w:rsid w:val="00593C5A"/>
    <w:rsid w:val="00595BCD"/>
    <w:rsid w:val="005A045B"/>
    <w:rsid w:val="005A06E9"/>
    <w:rsid w:val="005A08DD"/>
    <w:rsid w:val="005A0DF5"/>
    <w:rsid w:val="005A29FD"/>
    <w:rsid w:val="005A57F3"/>
    <w:rsid w:val="005A714F"/>
    <w:rsid w:val="005B0D9E"/>
    <w:rsid w:val="005B2A34"/>
    <w:rsid w:val="005B2BDD"/>
    <w:rsid w:val="005B361F"/>
    <w:rsid w:val="005C0D3B"/>
    <w:rsid w:val="005C16A7"/>
    <w:rsid w:val="005C2159"/>
    <w:rsid w:val="005C26AD"/>
    <w:rsid w:val="005C564F"/>
    <w:rsid w:val="005C62D9"/>
    <w:rsid w:val="005C6765"/>
    <w:rsid w:val="005C7523"/>
    <w:rsid w:val="005D1D2E"/>
    <w:rsid w:val="005D2955"/>
    <w:rsid w:val="005D52C6"/>
    <w:rsid w:val="005D600A"/>
    <w:rsid w:val="005D7F2E"/>
    <w:rsid w:val="005E673D"/>
    <w:rsid w:val="005F0264"/>
    <w:rsid w:val="005F0BA4"/>
    <w:rsid w:val="005F3B1D"/>
    <w:rsid w:val="005F7187"/>
    <w:rsid w:val="005F7C8B"/>
    <w:rsid w:val="00601169"/>
    <w:rsid w:val="00601545"/>
    <w:rsid w:val="00602E21"/>
    <w:rsid w:val="00604B0D"/>
    <w:rsid w:val="00607054"/>
    <w:rsid w:val="00607AE7"/>
    <w:rsid w:val="00611252"/>
    <w:rsid w:val="0061345F"/>
    <w:rsid w:val="006167B1"/>
    <w:rsid w:val="00617F98"/>
    <w:rsid w:val="00627127"/>
    <w:rsid w:val="006314E3"/>
    <w:rsid w:val="00632004"/>
    <w:rsid w:val="006348B6"/>
    <w:rsid w:val="00640C2F"/>
    <w:rsid w:val="00644B49"/>
    <w:rsid w:val="00652197"/>
    <w:rsid w:val="00654620"/>
    <w:rsid w:val="006553B5"/>
    <w:rsid w:val="00656283"/>
    <w:rsid w:val="0065761A"/>
    <w:rsid w:val="006631F0"/>
    <w:rsid w:val="00663E32"/>
    <w:rsid w:val="00664E84"/>
    <w:rsid w:val="00664FB0"/>
    <w:rsid w:val="00665A11"/>
    <w:rsid w:val="00665BF3"/>
    <w:rsid w:val="00667584"/>
    <w:rsid w:val="00667CB2"/>
    <w:rsid w:val="00672326"/>
    <w:rsid w:val="0067307F"/>
    <w:rsid w:val="00673E0F"/>
    <w:rsid w:val="00675E72"/>
    <w:rsid w:val="00676223"/>
    <w:rsid w:val="00676A69"/>
    <w:rsid w:val="00676D5D"/>
    <w:rsid w:val="00680ED8"/>
    <w:rsid w:val="006920D1"/>
    <w:rsid w:val="0069291B"/>
    <w:rsid w:val="006933C9"/>
    <w:rsid w:val="0069416F"/>
    <w:rsid w:val="00695293"/>
    <w:rsid w:val="00696357"/>
    <w:rsid w:val="00696485"/>
    <w:rsid w:val="00696D47"/>
    <w:rsid w:val="006A6423"/>
    <w:rsid w:val="006A6F25"/>
    <w:rsid w:val="006A7047"/>
    <w:rsid w:val="006B0DBA"/>
    <w:rsid w:val="006B0F4C"/>
    <w:rsid w:val="006B249E"/>
    <w:rsid w:val="006B3571"/>
    <w:rsid w:val="006B4C9A"/>
    <w:rsid w:val="006B50B6"/>
    <w:rsid w:val="006B520C"/>
    <w:rsid w:val="006B58F2"/>
    <w:rsid w:val="006C1882"/>
    <w:rsid w:val="006C1FAD"/>
    <w:rsid w:val="006C2B1A"/>
    <w:rsid w:val="006C2BDC"/>
    <w:rsid w:val="006C38C1"/>
    <w:rsid w:val="006C3D4F"/>
    <w:rsid w:val="006C3DFF"/>
    <w:rsid w:val="006C40D1"/>
    <w:rsid w:val="006C4A0E"/>
    <w:rsid w:val="006C5383"/>
    <w:rsid w:val="006C5A10"/>
    <w:rsid w:val="006C5DBB"/>
    <w:rsid w:val="006C7512"/>
    <w:rsid w:val="006D08E4"/>
    <w:rsid w:val="006D0C4D"/>
    <w:rsid w:val="006D2DF6"/>
    <w:rsid w:val="006D31DF"/>
    <w:rsid w:val="006D41FD"/>
    <w:rsid w:val="006D44DF"/>
    <w:rsid w:val="006D5205"/>
    <w:rsid w:val="006D7F79"/>
    <w:rsid w:val="006E0574"/>
    <w:rsid w:val="006E24D4"/>
    <w:rsid w:val="006E4834"/>
    <w:rsid w:val="006E5773"/>
    <w:rsid w:val="006E58D6"/>
    <w:rsid w:val="006E74A2"/>
    <w:rsid w:val="006E7CB1"/>
    <w:rsid w:val="006F3340"/>
    <w:rsid w:val="006F6381"/>
    <w:rsid w:val="006F7186"/>
    <w:rsid w:val="006F7CE6"/>
    <w:rsid w:val="0070136A"/>
    <w:rsid w:val="00703112"/>
    <w:rsid w:val="007062DA"/>
    <w:rsid w:val="00707676"/>
    <w:rsid w:val="00710388"/>
    <w:rsid w:val="007174B8"/>
    <w:rsid w:val="00717C8B"/>
    <w:rsid w:val="00720FE4"/>
    <w:rsid w:val="0072270C"/>
    <w:rsid w:val="007231CD"/>
    <w:rsid w:val="0072496D"/>
    <w:rsid w:val="00727553"/>
    <w:rsid w:val="0073144A"/>
    <w:rsid w:val="0073150F"/>
    <w:rsid w:val="0073288F"/>
    <w:rsid w:val="00732DAC"/>
    <w:rsid w:val="00735157"/>
    <w:rsid w:val="00737730"/>
    <w:rsid w:val="0074004A"/>
    <w:rsid w:val="0074309E"/>
    <w:rsid w:val="00743643"/>
    <w:rsid w:val="00743DD5"/>
    <w:rsid w:val="00745E86"/>
    <w:rsid w:val="00746BB9"/>
    <w:rsid w:val="00750858"/>
    <w:rsid w:val="00751A70"/>
    <w:rsid w:val="007529D3"/>
    <w:rsid w:val="0075326E"/>
    <w:rsid w:val="0075422C"/>
    <w:rsid w:val="007542ED"/>
    <w:rsid w:val="00754629"/>
    <w:rsid w:val="007579EF"/>
    <w:rsid w:val="00760DA0"/>
    <w:rsid w:val="0076186B"/>
    <w:rsid w:val="00763F72"/>
    <w:rsid w:val="007646A2"/>
    <w:rsid w:val="0076561E"/>
    <w:rsid w:val="00772B5A"/>
    <w:rsid w:val="00775C7E"/>
    <w:rsid w:val="00777A8A"/>
    <w:rsid w:val="00781944"/>
    <w:rsid w:val="00781A3D"/>
    <w:rsid w:val="00785886"/>
    <w:rsid w:val="00785BB3"/>
    <w:rsid w:val="00785BC6"/>
    <w:rsid w:val="007863DB"/>
    <w:rsid w:val="007874B0"/>
    <w:rsid w:val="00787F0F"/>
    <w:rsid w:val="007917B2"/>
    <w:rsid w:val="00792037"/>
    <w:rsid w:val="007925C3"/>
    <w:rsid w:val="00792C6D"/>
    <w:rsid w:val="00792D92"/>
    <w:rsid w:val="007965F5"/>
    <w:rsid w:val="007A2CA0"/>
    <w:rsid w:val="007A4BFB"/>
    <w:rsid w:val="007A5A67"/>
    <w:rsid w:val="007A684B"/>
    <w:rsid w:val="007A6A97"/>
    <w:rsid w:val="007A7103"/>
    <w:rsid w:val="007A7392"/>
    <w:rsid w:val="007A7AAD"/>
    <w:rsid w:val="007B0370"/>
    <w:rsid w:val="007B1A06"/>
    <w:rsid w:val="007B23B1"/>
    <w:rsid w:val="007B437C"/>
    <w:rsid w:val="007B57C5"/>
    <w:rsid w:val="007B5F88"/>
    <w:rsid w:val="007C4A53"/>
    <w:rsid w:val="007C5582"/>
    <w:rsid w:val="007C5935"/>
    <w:rsid w:val="007C69B5"/>
    <w:rsid w:val="007C6E10"/>
    <w:rsid w:val="007D278F"/>
    <w:rsid w:val="007D44A8"/>
    <w:rsid w:val="007D59EB"/>
    <w:rsid w:val="007D6F72"/>
    <w:rsid w:val="007D76FC"/>
    <w:rsid w:val="007E1A15"/>
    <w:rsid w:val="007E296E"/>
    <w:rsid w:val="007E3481"/>
    <w:rsid w:val="007E4364"/>
    <w:rsid w:val="007E447B"/>
    <w:rsid w:val="007E7600"/>
    <w:rsid w:val="007F0D85"/>
    <w:rsid w:val="007F27F1"/>
    <w:rsid w:val="008071EA"/>
    <w:rsid w:val="00807369"/>
    <w:rsid w:val="00807EF2"/>
    <w:rsid w:val="008104F9"/>
    <w:rsid w:val="00810EF4"/>
    <w:rsid w:val="00811D92"/>
    <w:rsid w:val="00811E0D"/>
    <w:rsid w:val="00814325"/>
    <w:rsid w:val="00816443"/>
    <w:rsid w:val="00817DFE"/>
    <w:rsid w:val="00822B41"/>
    <w:rsid w:val="00824235"/>
    <w:rsid w:val="008249D1"/>
    <w:rsid w:val="008260F5"/>
    <w:rsid w:val="0082752D"/>
    <w:rsid w:val="008309DB"/>
    <w:rsid w:val="00830F53"/>
    <w:rsid w:val="00832224"/>
    <w:rsid w:val="0083234E"/>
    <w:rsid w:val="00832AE9"/>
    <w:rsid w:val="00832CE5"/>
    <w:rsid w:val="00835340"/>
    <w:rsid w:val="00836DC0"/>
    <w:rsid w:val="00837587"/>
    <w:rsid w:val="00837CE6"/>
    <w:rsid w:val="00837EF1"/>
    <w:rsid w:val="00842B2B"/>
    <w:rsid w:val="0084330E"/>
    <w:rsid w:val="00843845"/>
    <w:rsid w:val="00847A9F"/>
    <w:rsid w:val="00847E1B"/>
    <w:rsid w:val="0085308C"/>
    <w:rsid w:val="00854F21"/>
    <w:rsid w:val="00855741"/>
    <w:rsid w:val="0086025C"/>
    <w:rsid w:val="0086228D"/>
    <w:rsid w:val="00862A04"/>
    <w:rsid w:val="00864464"/>
    <w:rsid w:val="00864C0C"/>
    <w:rsid w:val="0086570A"/>
    <w:rsid w:val="0086705F"/>
    <w:rsid w:val="0087368A"/>
    <w:rsid w:val="00874579"/>
    <w:rsid w:val="008745B1"/>
    <w:rsid w:val="00876060"/>
    <w:rsid w:val="008770BF"/>
    <w:rsid w:val="00880A30"/>
    <w:rsid w:val="00893043"/>
    <w:rsid w:val="00894F6F"/>
    <w:rsid w:val="0089621F"/>
    <w:rsid w:val="008A049F"/>
    <w:rsid w:val="008A39C9"/>
    <w:rsid w:val="008A4017"/>
    <w:rsid w:val="008A4A71"/>
    <w:rsid w:val="008A5017"/>
    <w:rsid w:val="008B0B11"/>
    <w:rsid w:val="008B2FFB"/>
    <w:rsid w:val="008B3297"/>
    <w:rsid w:val="008B5D95"/>
    <w:rsid w:val="008B6A9D"/>
    <w:rsid w:val="008C003E"/>
    <w:rsid w:val="008C154E"/>
    <w:rsid w:val="008C2AB2"/>
    <w:rsid w:val="008C7B4C"/>
    <w:rsid w:val="008D07DC"/>
    <w:rsid w:val="008D3402"/>
    <w:rsid w:val="008D49FE"/>
    <w:rsid w:val="008D5CCE"/>
    <w:rsid w:val="008D6E3C"/>
    <w:rsid w:val="008D6F89"/>
    <w:rsid w:val="008E4323"/>
    <w:rsid w:val="008E6EBA"/>
    <w:rsid w:val="008F22B9"/>
    <w:rsid w:val="008F2C33"/>
    <w:rsid w:val="008F673E"/>
    <w:rsid w:val="009004A9"/>
    <w:rsid w:val="00900879"/>
    <w:rsid w:val="009056D0"/>
    <w:rsid w:val="00906041"/>
    <w:rsid w:val="00906B47"/>
    <w:rsid w:val="009112EB"/>
    <w:rsid w:val="00911D9F"/>
    <w:rsid w:val="009124F5"/>
    <w:rsid w:val="00912F2C"/>
    <w:rsid w:val="00913A9A"/>
    <w:rsid w:val="00920292"/>
    <w:rsid w:val="0092204B"/>
    <w:rsid w:val="00922199"/>
    <w:rsid w:val="00923E13"/>
    <w:rsid w:val="00924D06"/>
    <w:rsid w:val="009269A4"/>
    <w:rsid w:val="00927EF3"/>
    <w:rsid w:val="00931F4C"/>
    <w:rsid w:val="00934088"/>
    <w:rsid w:val="00935647"/>
    <w:rsid w:val="0093566D"/>
    <w:rsid w:val="009366BB"/>
    <w:rsid w:val="009426D1"/>
    <w:rsid w:val="00942D10"/>
    <w:rsid w:val="009469FE"/>
    <w:rsid w:val="00955166"/>
    <w:rsid w:val="00957744"/>
    <w:rsid w:val="00957B73"/>
    <w:rsid w:val="009614A0"/>
    <w:rsid w:val="0096318E"/>
    <w:rsid w:val="00963B1E"/>
    <w:rsid w:val="00965857"/>
    <w:rsid w:val="0097021B"/>
    <w:rsid w:val="0097049A"/>
    <w:rsid w:val="009707BE"/>
    <w:rsid w:val="00970FCE"/>
    <w:rsid w:val="00974920"/>
    <w:rsid w:val="00974937"/>
    <w:rsid w:val="00974C94"/>
    <w:rsid w:val="0097587B"/>
    <w:rsid w:val="0098145B"/>
    <w:rsid w:val="00984A6B"/>
    <w:rsid w:val="00992305"/>
    <w:rsid w:val="009930DB"/>
    <w:rsid w:val="009A210F"/>
    <w:rsid w:val="009A2B5F"/>
    <w:rsid w:val="009A3645"/>
    <w:rsid w:val="009A4574"/>
    <w:rsid w:val="009A50CB"/>
    <w:rsid w:val="009A5874"/>
    <w:rsid w:val="009A602D"/>
    <w:rsid w:val="009B0993"/>
    <w:rsid w:val="009B225F"/>
    <w:rsid w:val="009B2476"/>
    <w:rsid w:val="009B3DCE"/>
    <w:rsid w:val="009B492C"/>
    <w:rsid w:val="009B4C93"/>
    <w:rsid w:val="009B5451"/>
    <w:rsid w:val="009B5FA7"/>
    <w:rsid w:val="009B7835"/>
    <w:rsid w:val="009B7BDE"/>
    <w:rsid w:val="009C03B7"/>
    <w:rsid w:val="009C1651"/>
    <w:rsid w:val="009C4579"/>
    <w:rsid w:val="009C4B08"/>
    <w:rsid w:val="009C60B2"/>
    <w:rsid w:val="009C7F17"/>
    <w:rsid w:val="009D066D"/>
    <w:rsid w:val="009D7A44"/>
    <w:rsid w:val="009E0BD0"/>
    <w:rsid w:val="009E2C4D"/>
    <w:rsid w:val="009E4055"/>
    <w:rsid w:val="009E52F3"/>
    <w:rsid w:val="009E6DDE"/>
    <w:rsid w:val="009F0F2D"/>
    <w:rsid w:val="009F55BF"/>
    <w:rsid w:val="009F6E6C"/>
    <w:rsid w:val="009F7408"/>
    <w:rsid w:val="009F7CCE"/>
    <w:rsid w:val="00A0112E"/>
    <w:rsid w:val="00A019DC"/>
    <w:rsid w:val="00A02375"/>
    <w:rsid w:val="00A02690"/>
    <w:rsid w:val="00A11047"/>
    <w:rsid w:val="00A11C1B"/>
    <w:rsid w:val="00A120A9"/>
    <w:rsid w:val="00A13E19"/>
    <w:rsid w:val="00A145DF"/>
    <w:rsid w:val="00A152C5"/>
    <w:rsid w:val="00A175B5"/>
    <w:rsid w:val="00A17E48"/>
    <w:rsid w:val="00A202C1"/>
    <w:rsid w:val="00A22950"/>
    <w:rsid w:val="00A2538B"/>
    <w:rsid w:val="00A26450"/>
    <w:rsid w:val="00A3398D"/>
    <w:rsid w:val="00A343E7"/>
    <w:rsid w:val="00A34B2E"/>
    <w:rsid w:val="00A34F15"/>
    <w:rsid w:val="00A430FC"/>
    <w:rsid w:val="00A4560A"/>
    <w:rsid w:val="00A505E6"/>
    <w:rsid w:val="00A52960"/>
    <w:rsid w:val="00A55398"/>
    <w:rsid w:val="00A57641"/>
    <w:rsid w:val="00A6098B"/>
    <w:rsid w:val="00A702A0"/>
    <w:rsid w:val="00A70C68"/>
    <w:rsid w:val="00A752BF"/>
    <w:rsid w:val="00A75603"/>
    <w:rsid w:val="00A7718D"/>
    <w:rsid w:val="00A804B2"/>
    <w:rsid w:val="00A80996"/>
    <w:rsid w:val="00A82B43"/>
    <w:rsid w:val="00A84A13"/>
    <w:rsid w:val="00A85363"/>
    <w:rsid w:val="00A92F11"/>
    <w:rsid w:val="00A93840"/>
    <w:rsid w:val="00A9429F"/>
    <w:rsid w:val="00A9572C"/>
    <w:rsid w:val="00AA1BDB"/>
    <w:rsid w:val="00AA2831"/>
    <w:rsid w:val="00AA2C08"/>
    <w:rsid w:val="00AA440D"/>
    <w:rsid w:val="00AA5B0E"/>
    <w:rsid w:val="00AA5E4B"/>
    <w:rsid w:val="00AA6545"/>
    <w:rsid w:val="00AA7FB1"/>
    <w:rsid w:val="00AB088E"/>
    <w:rsid w:val="00AB3A45"/>
    <w:rsid w:val="00AB3BC7"/>
    <w:rsid w:val="00AB587B"/>
    <w:rsid w:val="00AB5F63"/>
    <w:rsid w:val="00AC0886"/>
    <w:rsid w:val="00AC099B"/>
    <w:rsid w:val="00AC0B61"/>
    <w:rsid w:val="00AC3758"/>
    <w:rsid w:val="00AC37B6"/>
    <w:rsid w:val="00AC4B51"/>
    <w:rsid w:val="00AC503E"/>
    <w:rsid w:val="00AD18DC"/>
    <w:rsid w:val="00AD3B70"/>
    <w:rsid w:val="00AD3E99"/>
    <w:rsid w:val="00AD5F2F"/>
    <w:rsid w:val="00AE377E"/>
    <w:rsid w:val="00AE43F6"/>
    <w:rsid w:val="00AE6410"/>
    <w:rsid w:val="00AE6DD8"/>
    <w:rsid w:val="00AF02DC"/>
    <w:rsid w:val="00AF0569"/>
    <w:rsid w:val="00AF0FD4"/>
    <w:rsid w:val="00AF35A2"/>
    <w:rsid w:val="00AF5F04"/>
    <w:rsid w:val="00B005DF"/>
    <w:rsid w:val="00B0261E"/>
    <w:rsid w:val="00B10CB2"/>
    <w:rsid w:val="00B12846"/>
    <w:rsid w:val="00B13454"/>
    <w:rsid w:val="00B177FA"/>
    <w:rsid w:val="00B17E3C"/>
    <w:rsid w:val="00B210E1"/>
    <w:rsid w:val="00B2130F"/>
    <w:rsid w:val="00B213D6"/>
    <w:rsid w:val="00B23375"/>
    <w:rsid w:val="00B264D1"/>
    <w:rsid w:val="00B267BF"/>
    <w:rsid w:val="00B273B6"/>
    <w:rsid w:val="00B27A6E"/>
    <w:rsid w:val="00B30874"/>
    <w:rsid w:val="00B311C4"/>
    <w:rsid w:val="00B3424A"/>
    <w:rsid w:val="00B34820"/>
    <w:rsid w:val="00B3568F"/>
    <w:rsid w:val="00B3586E"/>
    <w:rsid w:val="00B37B9F"/>
    <w:rsid w:val="00B41685"/>
    <w:rsid w:val="00B41E6C"/>
    <w:rsid w:val="00B42BAC"/>
    <w:rsid w:val="00B44601"/>
    <w:rsid w:val="00B45340"/>
    <w:rsid w:val="00B469E9"/>
    <w:rsid w:val="00B52CB3"/>
    <w:rsid w:val="00B540EF"/>
    <w:rsid w:val="00B54212"/>
    <w:rsid w:val="00B56A06"/>
    <w:rsid w:val="00B63F33"/>
    <w:rsid w:val="00B65A54"/>
    <w:rsid w:val="00B70192"/>
    <w:rsid w:val="00B70D4F"/>
    <w:rsid w:val="00B73A3E"/>
    <w:rsid w:val="00B7516C"/>
    <w:rsid w:val="00B76236"/>
    <w:rsid w:val="00B80A1E"/>
    <w:rsid w:val="00B84874"/>
    <w:rsid w:val="00B90A35"/>
    <w:rsid w:val="00B932CB"/>
    <w:rsid w:val="00B94AE8"/>
    <w:rsid w:val="00B94CF8"/>
    <w:rsid w:val="00B94FAC"/>
    <w:rsid w:val="00B9537F"/>
    <w:rsid w:val="00B95859"/>
    <w:rsid w:val="00BA0DE0"/>
    <w:rsid w:val="00BA12C8"/>
    <w:rsid w:val="00BA1C3F"/>
    <w:rsid w:val="00BA2181"/>
    <w:rsid w:val="00BB0F20"/>
    <w:rsid w:val="00BB213F"/>
    <w:rsid w:val="00BB6FA9"/>
    <w:rsid w:val="00BB72E3"/>
    <w:rsid w:val="00BC44A1"/>
    <w:rsid w:val="00BC662A"/>
    <w:rsid w:val="00BD3F81"/>
    <w:rsid w:val="00BD4FDA"/>
    <w:rsid w:val="00BD7FD4"/>
    <w:rsid w:val="00BE0183"/>
    <w:rsid w:val="00BE11F5"/>
    <w:rsid w:val="00BE259C"/>
    <w:rsid w:val="00BE59AD"/>
    <w:rsid w:val="00BE5AF1"/>
    <w:rsid w:val="00BE7A45"/>
    <w:rsid w:val="00BF0AEA"/>
    <w:rsid w:val="00BF1369"/>
    <w:rsid w:val="00BF40D6"/>
    <w:rsid w:val="00BF55F1"/>
    <w:rsid w:val="00BF5B9D"/>
    <w:rsid w:val="00BF6E2E"/>
    <w:rsid w:val="00BF6EC0"/>
    <w:rsid w:val="00C03958"/>
    <w:rsid w:val="00C05265"/>
    <w:rsid w:val="00C05635"/>
    <w:rsid w:val="00C0627D"/>
    <w:rsid w:val="00C06763"/>
    <w:rsid w:val="00C06D61"/>
    <w:rsid w:val="00C0704B"/>
    <w:rsid w:val="00C074DD"/>
    <w:rsid w:val="00C1171A"/>
    <w:rsid w:val="00C163AC"/>
    <w:rsid w:val="00C16C42"/>
    <w:rsid w:val="00C17704"/>
    <w:rsid w:val="00C206D2"/>
    <w:rsid w:val="00C21E09"/>
    <w:rsid w:val="00C21ED3"/>
    <w:rsid w:val="00C23FEF"/>
    <w:rsid w:val="00C252B8"/>
    <w:rsid w:val="00C26BF7"/>
    <w:rsid w:val="00C302C4"/>
    <w:rsid w:val="00C318AA"/>
    <w:rsid w:val="00C36EB3"/>
    <w:rsid w:val="00C3772F"/>
    <w:rsid w:val="00C37C78"/>
    <w:rsid w:val="00C4198B"/>
    <w:rsid w:val="00C423A2"/>
    <w:rsid w:val="00C424EC"/>
    <w:rsid w:val="00C42A8E"/>
    <w:rsid w:val="00C44BC5"/>
    <w:rsid w:val="00C4507B"/>
    <w:rsid w:val="00C50B06"/>
    <w:rsid w:val="00C53A13"/>
    <w:rsid w:val="00C54FDC"/>
    <w:rsid w:val="00C55A05"/>
    <w:rsid w:val="00C568C1"/>
    <w:rsid w:val="00C57F2D"/>
    <w:rsid w:val="00C6031A"/>
    <w:rsid w:val="00C62897"/>
    <w:rsid w:val="00C63523"/>
    <w:rsid w:val="00C63F5C"/>
    <w:rsid w:val="00C6426D"/>
    <w:rsid w:val="00C65C5D"/>
    <w:rsid w:val="00C6614D"/>
    <w:rsid w:val="00C664D5"/>
    <w:rsid w:val="00C72FE5"/>
    <w:rsid w:val="00C76C44"/>
    <w:rsid w:val="00C828C8"/>
    <w:rsid w:val="00C8316A"/>
    <w:rsid w:val="00C859A1"/>
    <w:rsid w:val="00C86081"/>
    <w:rsid w:val="00C9140C"/>
    <w:rsid w:val="00C91D61"/>
    <w:rsid w:val="00C91E4A"/>
    <w:rsid w:val="00C94426"/>
    <w:rsid w:val="00C95058"/>
    <w:rsid w:val="00C9683A"/>
    <w:rsid w:val="00C96E63"/>
    <w:rsid w:val="00C971FB"/>
    <w:rsid w:val="00CA17B5"/>
    <w:rsid w:val="00CA3721"/>
    <w:rsid w:val="00CA3C2A"/>
    <w:rsid w:val="00CA41E3"/>
    <w:rsid w:val="00CA57C6"/>
    <w:rsid w:val="00CA5846"/>
    <w:rsid w:val="00CB0709"/>
    <w:rsid w:val="00CB1970"/>
    <w:rsid w:val="00CB238E"/>
    <w:rsid w:val="00CC0F38"/>
    <w:rsid w:val="00CC174D"/>
    <w:rsid w:val="00CC1C3E"/>
    <w:rsid w:val="00CC4A51"/>
    <w:rsid w:val="00CC51EA"/>
    <w:rsid w:val="00CC61BE"/>
    <w:rsid w:val="00CC655F"/>
    <w:rsid w:val="00CC6A64"/>
    <w:rsid w:val="00CC749A"/>
    <w:rsid w:val="00CD08C9"/>
    <w:rsid w:val="00CD2374"/>
    <w:rsid w:val="00CD29B6"/>
    <w:rsid w:val="00CD38FE"/>
    <w:rsid w:val="00CD3C91"/>
    <w:rsid w:val="00CD414E"/>
    <w:rsid w:val="00CD42C5"/>
    <w:rsid w:val="00CD4CB1"/>
    <w:rsid w:val="00CD767D"/>
    <w:rsid w:val="00CE1923"/>
    <w:rsid w:val="00CE446F"/>
    <w:rsid w:val="00CE57FD"/>
    <w:rsid w:val="00CF061D"/>
    <w:rsid w:val="00CF5449"/>
    <w:rsid w:val="00D02891"/>
    <w:rsid w:val="00D02C21"/>
    <w:rsid w:val="00D05118"/>
    <w:rsid w:val="00D05149"/>
    <w:rsid w:val="00D05A69"/>
    <w:rsid w:val="00D10293"/>
    <w:rsid w:val="00D10ABC"/>
    <w:rsid w:val="00D15364"/>
    <w:rsid w:val="00D15DD0"/>
    <w:rsid w:val="00D1675C"/>
    <w:rsid w:val="00D22BD5"/>
    <w:rsid w:val="00D25736"/>
    <w:rsid w:val="00D25A72"/>
    <w:rsid w:val="00D25B20"/>
    <w:rsid w:val="00D25CDC"/>
    <w:rsid w:val="00D316E4"/>
    <w:rsid w:val="00D31A43"/>
    <w:rsid w:val="00D3465F"/>
    <w:rsid w:val="00D35CC1"/>
    <w:rsid w:val="00D3644F"/>
    <w:rsid w:val="00D36572"/>
    <w:rsid w:val="00D37C4C"/>
    <w:rsid w:val="00D40336"/>
    <w:rsid w:val="00D40AC5"/>
    <w:rsid w:val="00D414FB"/>
    <w:rsid w:val="00D41552"/>
    <w:rsid w:val="00D41663"/>
    <w:rsid w:val="00D4329B"/>
    <w:rsid w:val="00D44641"/>
    <w:rsid w:val="00D45D56"/>
    <w:rsid w:val="00D461A8"/>
    <w:rsid w:val="00D46DB7"/>
    <w:rsid w:val="00D556ED"/>
    <w:rsid w:val="00D577A9"/>
    <w:rsid w:val="00D62849"/>
    <w:rsid w:val="00D64EE2"/>
    <w:rsid w:val="00D6572E"/>
    <w:rsid w:val="00D6674E"/>
    <w:rsid w:val="00D66FE3"/>
    <w:rsid w:val="00D67988"/>
    <w:rsid w:val="00D70E63"/>
    <w:rsid w:val="00D71D71"/>
    <w:rsid w:val="00D75507"/>
    <w:rsid w:val="00D767F4"/>
    <w:rsid w:val="00D800C6"/>
    <w:rsid w:val="00D80A65"/>
    <w:rsid w:val="00D81CC5"/>
    <w:rsid w:val="00D830C5"/>
    <w:rsid w:val="00D836ED"/>
    <w:rsid w:val="00D83D8D"/>
    <w:rsid w:val="00D8437A"/>
    <w:rsid w:val="00D93188"/>
    <w:rsid w:val="00D936F3"/>
    <w:rsid w:val="00D93FA9"/>
    <w:rsid w:val="00D96C94"/>
    <w:rsid w:val="00DA035C"/>
    <w:rsid w:val="00DA3177"/>
    <w:rsid w:val="00DA3A70"/>
    <w:rsid w:val="00DA4AB9"/>
    <w:rsid w:val="00DA4E53"/>
    <w:rsid w:val="00DA5C61"/>
    <w:rsid w:val="00DA5EBB"/>
    <w:rsid w:val="00DA7E9E"/>
    <w:rsid w:val="00DB08BC"/>
    <w:rsid w:val="00DB12C5"/>
    <w:rsid w:val="00DB42C7"/>
    <w:rsid w:val="00DB4D60"/>
    <w:rsid w:val="00DB519A"/>
    <w:rsid w:val="00DB5CCC"/>
    <w:rsid w:val="00DB6B14"/>
    <w:rsid w:val="00DC0FA4"/>
    <w:rsid w:val="00DC2CD9"/>
    <w:rsid w:val="00DC2FBF"/>
    <w:rsid w:val="00DC4763"/>
    <w:rsid w:val="00DC4792"/>
    <w:rsid w:val="00DC7D07"/>
    <w:rsid w:val="00DD04E9"/>
    <w:rsid w:val="00DD0CA8"/>
    <w:rsid w:val="00DD3AF9"/>
    <w:rsid w:val="00DD51DC"/>
    <w:rsid w:val="00DD6054"/>
    <w:rsid w:val="00DD7BE3"/>
    <w:rsid w:val="00DE0849"/>
    <w:rsid w:val="00DE2EE9"/>
    <w:rsid w:val="00DE3C64"/>
    <w:rsid w:val="00DE41F7"/>
    <w:rsid w:val="00DE4FB8"/>
    <w:rsid w:val="00DE7BD5"/>
    <w:rsid w:val="00DF0FCE"/>
    <w:rsid w:val="00DF2117"/>
    <w:rsid w:val="00DF2AF7"/>
    <w:rsid w:val="00DF2CA0"/>
    <w:rsid w:val="00DF31F5"/>
    <w:rsid w:val="00DF337F"/>
    <w:rsid w:val="00DF5B05"/>
    <w:rsid w:val="00DF60B9"/>
    <w:rsid w:val="00DF6F62"/>
    <w:rsid w:val="00E063A5"/>
    <w:rsid w:val="00E10EDD"/>
    <w:rsid w:val="00E12236"/>
    <w:rsid w:val="00E130AA"/>
    <w:rsid w:val="00E153DB"/>
    <w:rsid w:val="00E1592C"/>
    <w:rsid w:val="00E203CD"/>
    <w:rsid w:val="00E2106F"/>
    <w:rsid w:val="00E23086"/>
    <w:rsid w:val="00E23785"/>
    <w:rsid w:val="00E24A10"/>
    <w:rsid w:val="00E25A06"/>
    <w:rsid w:val="00E25E96"/>
    <w:rsid w:val="00E26AA5"/>
    <w:rsid w:val="00E3006B"/>
    <w:rsid w:val="00E335F1"/>
    <w:rsid w:val="00E33787"/>
    <w:rsid w:val="00E34A79"/>
    <w:rsid w:val="00E34C47"/>
    <w:rsid w:val="00E34DF9"/>
    <w:rsid w:val="00E36D64"/>
    <w:rsid w:val="00E372E9"/>
    <w:rsid w:val="00E37A38"/>
    <w:rsid w:val="00E430BD"/>
    <w:rsid w:val="00E44496"/>
    <w:rsid w:val="00E47DA6"/>
    <w:rsid w:val="00E50DAF"/>
    <w:rsid w:val="00E54190"/>
    <w:rsid w:val="00E60016"/>
    <w:rsid w:val="00E6221C"/>
    <w:rsid w:val="00E62B81"/>
    <w:rsid w:val="00E6325E"/>
    <w:rsid w:val="00E6687B"/>
    <w:rsid w:val="00E7294B"/>
    <w:rsid w:val="00E73019"/>
    <w:rsid w:val="00E80312"/>
    <w:rsid w:val="00E804AE"/>
    <w:rsid w:val="00E81791"/>
    <w:rsid w:val="00E81EA6"/>
    <w:rsid w:val="00E90D6E"/>
    <w:rsid w:val="00E91237"/>
    <w:rsid w:val="00E92173"/>
    <w:rsid w:val="00E9311A"/>
    <w:rsid w:val="00E9347F"/>
    <w:rsid w:val="00E93802"/>
    <w:rsid w:val="00E95FBF"/>
    <w:rsid w:val="00EA078F"/>
    <w:rsid w:val="00EA1C4B"/>
    <w:rsid w:val="00EA1DD2"/>
    <w:rsid w:val="00EA274D"/>
    <w:rsid w:val="00EB2C2C"/>
    <w:rsid w:val="00EB5B09"/>
    <w:rsid w:val="00EB5E82"/>
    <w:rsid w:val="00EB6E51"/>
    <w:rsid w:val="00EB7B12"/>
    <w:rsid w:val="00EC16FB"/>
    <w:rsid w:val="00EC6C62"/>
    <w:rsid w:val="00EC75FD"/>
    <w:rsid w:val="00EC7CD2"/>
    <w:rsid w:val="00ED19B7"/>
    <w:rsid w:val="00ED245D"/>
    <w:rsid w:val="00ED3A13"/>
    <w:rsid w:val="00ED4793"/>
    <w:rsid w:val="00ED51D9"/>
    <w:rsid w:val="00ED5411"/>
    <w:rsid w:val="00ED5B42"/>
    <w:rsid w:val="00EE0213"/>
    <w:rsid w:val="00EE4F53"/>
    <w:rsid w:val="00EE7670"/>
    <w:rsid w:val="00EE7EB5"/>
    <w:rsid w:val="00EF355D"/>
    <w:rsid w:val="00EF6C85"/>
    <w:rsid w:val="00F026FA"/>
    <w:rsid w:val="00F02794"/>
    <w:rsid w:val="00F032B0"/>
    <w:rsid w:val="00F03325"/>
    <w:rsid w:val="00F035A9"/>
    <w:rsid w:val="00F061B5"/>
    <w:rsid w:val="00F0729E"/>
    <w:rsid w:val="00F10761"/>
    <w:rsid w:val="00F11E69"/>
    <w:rsid w:val="00F1602D"/>
    <w:rsid w:val="00F16ACF"/>
    <w:rsid w:val="00F17E1D"/>
    <w:rsid w:val="00F25799"/>
    <w:rsid w:val="00F25BD5"/>
    <w:rsid w:val="00F34357"/>
    <w:rsid w:val="00F34F3F"/>
    <w:rsid w:val="00F37A02"/>
    <w:rsid w:val="00F40B94"/>
    <w:rsid w:val="00F4135D"/>
    <w:rsid w:val="00F41679"/>
    <w:rsid w:val="00F41717"/>
    <w:rsid w:val="00F433DB"/>
    <w:rsid w:val="00F4410E"/>
    <w:rsid w:val="00F448E2"/>
    <w:rsid w:val="00F54A6D"/>
    <w:rsid w:val="00F54C7F"/>
    <w:rsid w:val="00F55903"/>
    <w:rsid w:val="00F56E40"/>
    <w:rsid w:val="00F573EC"/>
    <w:rsid w:val="00F57F8E"/>
    <w:rsid w:val="00F62D06"/>
    <w:rsid w:val="00F63EDC"/>
    <w:rsid w:val="00F65845"/>
    <w:rsid w:val="00F66278"/>
    <w:rsid w:val="00F66D96"/>
    <w:rsid w:val="00F67273"/>
    <w:rsid w:val="00F70396"/>
    <w:rsid w:val="00F74C87"/>
    <w:rsid w:val="00F75F1E"/>
    <w:rsid w:val="00F77573"/>
    <w:rsid w:val="00F80660"/>
    <w:rsid w:val="00F80C60"/>
    <w:rsid w:val="00F81A31"/>
    <w:rsid w:val="00F82610"/>
    <w:rsid w:val="00F85B51"/>
    <w:rsid w:val="00F85C82"/>
    <w:rsid w:val="00F87529"/>
    <w:rsid w:val="00F90721"/>
    <w:rsid w:val="00F90E5D"/>
    <w:rsid w:val="00F9239E"/>
    <w:rsid w:val="00F945B0"/>
    <w:rsid w:val="00F94D5D"/>
    <w:rsid w:val="00F95109"/>
    <w:rsid w:val="00FA0B5B"/>
    <w:rsid w:val="00FA1C0D"/>
    <w:rsid w:val="00FA2674"/>
    <w:rsid w:val="00FA474C"/>
    <w:rsid w:val="00FA4F59"/>
    <w:rsid w:val="00FA6D58"/>
    <w:rsid w:val="00FA770D"/>
    <w:rsid w:val="00FA7AA5"/>
    <w:rsid w:val="00FB0E61"/>
    <w:rsid w:val="00FB187F"/>
    <w:rsid w:val="00FB221B"/>
    <w:rsid w:val="00FB3A94"/>
    <w:rsid w:val="00FB3B9B"/>
    <w:rsid w:val="00FB4430"/>
    <w:rsid w:val="00FB4C6F"/>
    <w:rsid w:val="00FB5475"/>
    <w:rsid w:val="00FB5F1D"/>
    <w:rsid w:val="00FB63E9"/>
    <w:rsid w:val="00FC0D47"/>
    <w:rsid w:val="00FC0ED1"/>
    <w:rsid w:val="00FC3191"/>
    <w:rsid w:val="00FC60B8"/>
    <w:rsid w:val="00FD17E9"/>
    <w:rsid w:val="00FD1BD5"/>
    <w:rsid w:val="00FD43CF"/>
    <w:rsid w:val="00FD4584"/>
    <w:rsid w:val="00FE1001"/>
    <w:rsid w:val="00FE168B"/>
    <w:rsid w:val="00FE234E"/>
    <w:rsid w:val="00FE2CB3"/>
    <w:rsid w:val="00FE3B7B"/>
    <w:rsid w:val="00FE546B"/>
    <w:rsid w:val="00FE54CE"/>
    <w:rsid w:val="00FE67B0"/>
    <w:rsid w:val="00FF1160"/>
    <w:rsid w:val="00FF3DF1"/>
    <w:rsid w:val="00FF424F"/>
    <w:rsid w:val="00FF5A6F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18246-7292-4165-8650-17252899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hu-H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0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A70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aliases w:val="ECDC AF Heading 1"/>
    <w:basedOn w:val="Normal"/>
    <w:next w:val="Normal"/>
    <w:link w:val="Heading1Char"/>
    <w:qFormat/>
    <w:rsid w:val="00DA3A70"/>
    <w:pPr>
      <w:keepNext/>
      <w:spacing w:after="0" w:line="240" w:lineRule="auto"/>
      <w:outlineLvl w:val="0"/>
    </w:pPr>
    <w:rPr>
      <w:rFonts w:ascii="Times New Roman" w:eastAsia="MS Mincho" w:hAnsi="Times New Roman"/>
      <w:b/>
      <w:sz w:val="24"/>
      <w:szCs w:val="24"/>
    </w:rPr>
  </w:style>
  <w:style w:type="paragraph" w:styleId="Heading2">
    <w:name w:val="heading 2"/>
    <w:aliases w:val="ECDC AF Heading 2"/>
    <w:basedOn w:val="Normal"/>
    <w:next w:val="Paragrafoelenco1"/>
    <w:link w:val="Heading2Char"/>
    <w:autoRedefine/>
    <w:uiPriority w:val="9"/>
    <w:qFormat/>
    <w:rsid w:val="00DA3A70"/>
    <w:pPr>
      <w:keepNext/>
      <w:keepLines/>
      <w:spacing w:before="240" w:after="240" w:line="240" w:lineRule="auto"/>
      <w:jc w:val="both"/>
      <w:outlineLvl w:val="1"/>
    </w:pPr>
    <w:rPr>
      <w:rFonts w:ascii="Tahoma" w:hAnsi="Tahoma"/>
      <w:b/>
      <w:bCs/>
      <w:i/>
      <w:color w:val="008000"/>
      <w:sz w:val="26"/>
      <w:szCs w:val="26"/>
    </w:rPr>
  </w:style>
  <w:style w:type="paragraph" w:styleId="Heading3">
    <w:name w:val="heading 3"/>
    <w:aliases w:val="ECDC AF Heading 3"/>
    <w:basedOn w:val="Normal"/>
    <w:next w:val="Normal"/>
    <w:link w:val="Heading3Char"/>
    <w:autoRedefine/>
    <w:uiPriority w:val="9"/>
    <w:qFormat/>
    <w:rsid w:val="00DA3A70"/>
    <w:pPr>
      <w:keepNext/>
      <w:keepLines/>
      <w:spacing w:before="240" w:after="240" w:line="240" w:lineRule="auto"/>
      <w:outlineLvl w:val="2"/>
    </w:pPr>
    <w:rPr>
      <w:rFonts w:ascii="Tahoma" w:hAnsi="Tahoma"/>
      <w:b/>
      <w:bCs/>
      <w:color w:val="1F497D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1D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8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CDC AF Heading 1 Char"/>
    <w:link w:val="Heading1"/>
    <w:rsid w:val="00DA3A70"/>
    <w:rPr>
      <w:rFonts w:ascii="Times New Roman" w:eastAsia="MS Mincho" w:hAnsi="Times New Roman" w:cs="Times New Roman"/>
      <w:b/>
      <w:sz w:val="24"/>
      <w:szCs w:val="24"/>
      <w:lang w:eastAsia="hu-HU"/>
    </w:rPr>
  </w:style>
  <w:style w:type="character" w:customStyle="1" w:styleId="Heading2Char">
    <w:name w:val="Heading 2 Char"/>
    <w:aliases w:val="ECDC AF Heading 2 Char"/>
    <w:link w:val="Heading2"/>
    <w:uiPriority w:val="9"/>
    <w:rsid w:val="00DA3A70"/>
    <w:rPr>
      <w:rFonts w:ascii="Tahoma" w:eastAsia="Times New Roman" w:hAnsi="Tahoma" w:cs="Times New Roman"/>
      <w:b/>
      <w:bCs/>
      <w:i/>
      <w:color w:val="008000"/>
      <w:sz w:val="26"/>
      <w:szCs w:val="26"/>
    </w:rPr>
  </w:style>
  <w:style w:type="character" w:customStyle="1" w:styleId="Heading3Char">
    <w:name w:val="Heading 3 Char"/>
    <w:aliases w:val="ECDC AF Heading 3 Char"/>
    <w:link w:val="Heading3"/>
    <w:uiPriority w:val="9"/>
    <w:rsid w:val="00DA3A70"/>
    <w:rPr>
      <w:rFonts w:ascii="Tahoma" w:eastAsia="Times New Roman" w:hAnsi="Tahoma" w:cs="Times New Roman"/>
      <w:b/>
      <w:bCs/>
      <w:color w:val="1F497D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A3A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3A70"/>
    <w:rPr>
      <w:rFonts w:ascii="Tahoma" w:eastAsia="Times New Roman" w:hAnsi="Tahoma" w:cs="Times New Roman"/>
      <w:sz w:val="16"/>
      <w:szCs w:val="16"/>
      <w:lang w:val="hu-HU" w:eastAsia="hu-HU"/>
    </w:rPr>
  </w:style>
  <w:style w:type="paragraph" w:customStyle="1" w:styleId="ListParagraph1">
    <w:name w:val="List Paragraph1"/>
    <w:basedOn w:val="Normal"/>
    <w:uiPriority w:val="34"/>
    <w:qFormat/>
    <w:rsid w:val="00DA3A70"/>
    <w:pPr>
      <w:ind w:left="720"/>
      <w:contextualSpacing/>
    </w:pPr>
  </w:style>
  <w:style w:type="character" w:styleId="Hyperlink">
    <w:name w:val="Hyperlink"/>
    <w:rsid w:val="00DA3A70"/>
    <w:rPr>
      <w:color w:val="0000FF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DA3A7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uiPriority w:val="99"/>
    <w:rsid w:val="00DA3A70"/>
    <w:rPr>
      <w:rFonts w:eastAsia="Times New Roman" w:cs="Times New Roman"/>
      <w:lang w:val="hu-HU" w:eastAsia="hu-HU"/>
    </w:rPr>
  </w:style>
  <w:style w:type="character" w:customStyle="1" w:styleId="CommentTextChar1">
    <w:name w:val="Comment Text Char1"/>
    <w:link w:val="CommentText"/>
    <w:uiPriority w:val="99"/>
    <w:rsid w:val="00DA3A70"/>
    <w:rPr>
      <w:rFonts w:ascii="Calibri" w:eastAsia="Calibri" w:hAnsi="Calibri" w:cs="Times New Roman"/>
      <w:sz w:val="20"/>
      <w:szCs w:val="20"/>
      <w:lang w:val="hu-H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3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A3A70"/>
    <w:rPr>
      <w:rFonts w:ascii="Courier New" w:eastAsia="Times New Roman" w:hAnsi="Courier New" w:cs="Times New Roman"/>
      <w:sz w:val="20"/>
      <w:szCs w:val="20"/>
      <w:lang w:val="hu-HU" w:eastAsia="hu-HU"/>
    </w:rPr>
  </w:style>
  <w:style w:type="character" w:styleId="CommentReference">
    <w:name w:val="annotation reference"/>
    <w:uiPriority w:val="99"/>
    <w:semiHidden/>
    <w:unhideWhenUsed/>
    <w:rsid w:val="00DA3A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A70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3A70"/>
    <w:rPr>
      <w:rFonts w:ascii="Calibri" w:eastAsia="Calibri" w:hAnsi="Calibri" w:cs="Times New Roman"/>
      <w:b/>
      <w:bCs/>
      <w:sz w:val="20"/>
      <w:szCs w:val="20"/>
      <w:lang w:val="hu-HU"/>
    </w:rPr>
  </w:style>
  <w:style w:type="paragraph" w:styleId="Header">
    <w:name w:val="header"/>
    <w:basedOn w:val="Normal"/>
    <w:link w:val="HeaderChar"/>
    <w:uiPriority w:val="99"/>
    <w:unhideWhenUsed/>
    <w:rsid w:val="00DA3A7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DA3A70"/>
    <w:rPr>
      <w:rFonts w:ascii="Calibri" w:eastAsia="Times New Roman" w:hAnsi="Calibri" w:cs="Times New Roman"/>
      <w:lang w:val="hu-HU" w:eastAsia="hu-HU"/>
    </w:rPr>
  </w:style>
  <w:style w:type="paragraph" w:styleId="Footer">
    <w:name w:val="footer"/>
    <w:basedOn w:val="Normal"/>
    <w:link w:val="FooterChar"/>
    <w:uiPriority w:val="99"/>
    <w:unhideWhenUsed/>
    <w:rsid w:val="00DA3A7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DA3A70"/>
    <w:rPr>
      <w:rFonts w:ascii="Calibri" w:eastAsia="Times New Roman" w:hAnsi="Calibri" w:cs="Times New Roman"/>
      <w:lang w:val="hu-HU" w:eastAsia="hu-HU"/>
    </w:rPr>
  </w:style>
  <w:style w:type="paragraph" w:styleId="FootnoteText">
    <w:name w:val="footnote text"/>
    <w:basedOn w:val="Normal"/>
    <w:link w:val="FootnoteTextChar"/>
    <w:unhideWhenUsed/>
    <w:rsid w:val="00DA3A70"/>
    <w:rPr>
      <w:sz w:val="20"/>
      <w:szCs w:val="20"/>
    </w:rPr>
  </w:style>
  <w:style w:type="character" w:customStyle="1" w:styleId="FootnoteTextChar">
    <w:name w:val="Footnote Text Char"/>
    <w:link w:val="FootnoteText"/>
    <w:rsid w:val="00DA3A70"/>
    <w:rPr>
      <w:rFonts w:ascii="Calibri" w:eastAsia="Times New Roman" w:hAnsi="Calibri" w:cs="Times New Roman"/>
      <w:sz w:val="20"/>
      <w:szCs w:val="20"/>
      <w:lang w:val="hu-HU" w:eastAsia="hu-HU"/>
    </w:rPr>
  </w:style>
  <w:style w:type="character" w:styleId="FootnoteReference">
    <w:name w:val="footnote reference"/>
    <w:unhideWhenUsed/>
    <w:rsid w:val="00DA3A70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3A7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DA3A70"/>
    <w:rPr>
      <w:rFonts w:ascii="Consolas" w:eastAsia="Calibri" w:hAnsi="Consolas" w:cs="Times New Roman"/>
      <w:sz w:val="21"/>
      <w:szCs w:val="21"/>
      <w:lang w:val="hu-HU"/>
    </w:rPr>
  </w:style>
  <w:style w:type="paragraph" w:customStyle="1" w:styleId="Revision1">
    <w:name w:val="Revision1"/>
    <w:hidden/>
    <w:uiPriority w:val="99"/>
    <w:semiHidden/>
    <w:rsid w:val="00DA3A70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DA3A70"/>
    <w:rPr>
      <w:i/>
      <w:iCs/>
    </w:rPr>
  </w:style>
  <w:style w:type="character" w:styleId="Strong">
    <w:name w:val="Strong"/>
    <w:uiPriority w:val="22"/>
    <w:qFormat/>
    <w:rsid w:val="00DA3A70"/>
    <w:rPr>
      <w:b/>
      <w:bCs/>
    </w:rPr>
  </w:style>
  <w:style w:type="character" w:customStyle="1" w:styleId="cit-sep3">
    <w:name w:val="cit-sep3"/>
    <w:basedOn w:val="DefaultParagraphFont"/>
    <w:rsid w:val="00DA3A70"/>
  </w:style>
  <w:style w:type="character" w:styleId="HTMLCite">
    <w:name w:val="HTML Cite"/>
    <w:uiPriority w:val="99"/>
    <w:semiHidden/>
    <w:unhideWhenUsed/>
    <w:rsid w:val="00DA3A70"/>
    <w:rPr>
      <w:i/>
      <w:iCs/>
    </w:rPr>
  </w:style>
  <w:style w:type="character" w:customStyle="1" w:styleId="cit-title3">
    <w:name w:val="cit-title3"/>
    <w:basedOn w:val="DefaultParagraphFont"/>
    <w:rsid w:val="00DA3A70"/>
  </w:style>
  <w:style w:type="character" w:customStyle="1" w:styleId="cit-print-date">
    <w:name w:val="cit-print-date"/>
    <w:basedOn w:val="DefaultParagraphFont"/>
    <w:rsid w:val="00DA3A70"/>
  </w:style>
  <w:style w:type="character" w:customStyle="1" w:styleId="cit-vol">
    <w:name w:val="cit-vol"/>
    <w:basedOn w:val="DefaultParagraphFont"/>
    <w:rsid w:val="00DA3A70"/>
  </w:style>
  <w:style w:type="character" w:customStyle="1" w:styleId="cit-first-page">
    <w:name w:val="cit-first-page"/>
    <w:basedOn w:val="DefaultParagraphFont"/>
    <w:rsid w:val="00DA3A70"/>
  </w:style>
  <w:style w:type="character" w:customStyle="1" w:styleId="cit-last-page">
    <w:name w:val="cit-last-page"/>
    <w:basedOn w:val="DefaultParagraphFont"/>
    <w:rsid w:val="00DA3A70"/>
  </w:style>
  <w:style w:type="character" w:customStyle="1" w:styleId="search-result-highlight1">
    <w:name w:val="search-result-highlight1"/>
    <w:rsid w:val="00DA3A70"/>
    <w:rPr>
      <w:b/>
      <w:bCs/>
      <w:color w:val="CC0000"/>
    </w:rPr>
  </w:style>
  <w:style w:type="character" w:customStyle="1" w:styleId="cit-auth2">
    <w:name w:val="cit-auth2"/>
    <w:basedOn w:val="DefaultParagraphFont"/>
    <w:rsid w:val="00DA3A70"/>
  </w:style>
  <w:style w:type="character" w:customStyle="1" w:styleId="cit-sep4">
    <w:name w:val="cit-sep4"/>
    <w:basedOn w:val="DefaultParagraphFont"/>
    <w:rsid w:val="00DA3A70"/>
  </w:style>
  <w:style w:type="character" w:customStyle="1" w:styleId="cit-title9">
    <w:name w:val="cit-title9"/>
    <w:basedOn w:val="DefaultParagraphFont"/>
    <w:rsid w:val="00DA3A70"/>
  </w:style>
  <w:style w:type="character" w:customStyle="1" w:styleId="cit-subtitle">
    <w:name w:val="cit-subtitle"/>
    <w:basedOn w:val="DefaultParagraphFont"/>
    <w:rsid w:val="00DA3A70"/>
  </w:style>
  <w:style w:type="character" w:customStyle="1" w:styleId="cit-vol2">
    <w:name w:val="cit-vol2"/>
    <w:basedOn w:val="DefaultParagraphFont"/>
    <w:rsid w:val="00DA3A70"/>
  </w:style>
  <w:style w:type="character" w:customStyle="1" w:styleId="cit-issue">
    <w:name w:val="cit-issue"/>
    <w:basedOn w:val="DefaultParagraphFont"/>
    <w:rsid w:val="00DA3A70"/>
  </w:style>
  <w:style w:type="character" w:customStyle="1" w:styleId="cit-last-page2">
    <w:name w:val="cit-last-page2"/>
    <w:basedOn w:val="DefaultParagraphFont"/>
    <w:rsid w:val="00DA3A70"/>
  </w:style>
  <w:style w:type="paragraph" w:customStyle="1" w:styleId="Pa4">
    <w:name w:val="Pa4"/>
    <w:basedOn w:val="Normal"/>
    <w:next w:val="Normal"/>
    <w:uiPriority w:val="99"/>
    <w:rsid w:val="00DA3A70"/>
    <w:pPr>
      <w:autoSpaceDE w:val="0"/>
      <w:autoSpaceDN w:val="0"/>
      <w:adjustRightInd w:val="0"/>
      <w:spacing w:after="0" w:line="201" w:lineRule="atLeast"/>
    </w:pPr>
    <w:rPr>
      <w:rFonts w:ascii="Minion Pro" w:eastAsia="MS Mincho" w:hAnsi="Minion Pro"/>
      <w:sz w:val="24"/>
      <w:szCs w:val="24"/>
    </w:rPr>
  </w:style>
  <w:style w:type="character" w:customStyle="1" w:styleId="ja50-ce-author1">
    <w:name w:val="ja50-ce-author1"/>
    <w:rsid w:val="00DA3A70"/>
    <w:rPr>
      <w:color w:val="808080"/>
      <w:sz w:val="23"/>
      <w:szCs w:val="23"/>
    </w:rPr>
  </w:style>
  <w:style w:type="character" w:customStyle="1" w:styleId="ja50-ce-title2">
    <w:name w:val="ja50-ce-title2"/>
    <w:rsid w:val="00DA3A70"/>
    <w:rPr>
      <w:b/>
      <w:bCs/>
      <w:color w:val="000000"/>
      <w:sz w:val="24"/>
      <w:szCs w:val="24"/>
    </w:rPr>
  </w:style>
  <w:style w:type="paragraph" w:customStyle="1" w:styleId="Elencoacolori-Colore11">
    <w:name w:val="Elenco a colori - Colore 11"/>
    <w:basedOn w:val="Normal"/>
    <w:uiPriority w:val="34"/>
    <w:qFormat/>
    <w:rsid w:val="00DA3A70"/>
    <w:pPr>
      <w:ind w:left="720"/>
      <w:contextualSpacing/>
    </w:pPr>
  </w:style>
  <w:style w:type="paragraph" w:customStyle="1" w:styleId="Elencoacolori-Colore12">
    <w:name w:val="Elenco a colori - Colore 12"/>
    <w:basedOn w:val="Normal"/>
    <w:qFormat/>
    <w:rsid w:val="00DA3A70"/>
    <w:pPr>
      <w:ind w:left="720"/>
      <w:contextualSpacing/>
    </w:pPr>
  </w:style>
  <w:style w:type="table" w:styleId="TableGrid">
    <w:name w:val="Table Grid"/>
    <w:basedOn w:val="TableNormal"/>
    <w:uiPriority w:val="39"/>
    <w:rsid w:val="00DA3A70"/>
    <w:pPr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uiPriority w:val="60"/>
    <w:rsid w:val="00DA3A70"/>
    <w:pPr>
      <w:spacing w:after="0" w:line="240" w:lineRule="auto"/>
    </w:pPr>
    <w:rPr>
      <w:rFonts w:ascii="Tahoma" w:eastAsia="Calibri" w:hAnsi="Tahoma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TOCHeading">
    <w:name w:val="TOC Heading"/>
    <w:basedOn w:val="Heading1"/>
    <w:next w:val="Normal"/>
    <w:uiPriority w:val="39"/>
    <w:qFormat/>
    <w:rsid w:val="00DA3A70"/>
    <w:pPr>
      <w:keepLines/>
      <w:spacing w:before="240" w:after="600"/>
      <w:jc w:val="center"/>
      <w:outlineLvl w:val="9"/>
    </w:pPr>
    <w:rPr>
      <w:rFonts w:ascii="Tahoma" w:eastAsia="Times New Roman" w:hAnsi="Tahoma"/>
      <w:bCs/>
      <w:color w:val="008000"/>
      <w:sz w:val="28"/>
      <w:szCs w:val="28"/>
    </w:rPr>
  </w:style>
  <w:style w:type="paragraph" w:styleId="Title">
    <w:name w:val="Title"/>
    <w:aliases w:val="ECDC AF Title"/>
    <w:basedOn w:val="Normal"/>
    <w:next w:val="Normal"/>
    <w:link w:val="TitleChar"/>
    <w:autoRedefine/>
    <w:uiPriority w:val="10"/>
    <w:qFormat/>
    <w:rsid w:val="00DA3A70"/>
    <w:pPr>
      <w:spacing w:before="240" w:after="360" w:line="240" w:lineRule="auto"/>
      <w:jc w:val="center"/>
    </w:pPr>
    <w:rPr>
      <w:rFonts w:ascii="Tahoma" w:hAnsi="Tahoma"/>
      <w:b/>
      <w:spacing w:val="5"/>
      <w:kern w:val="28"/>
      <w:sz w:val="28"/>
      <w:szCs w:val="52"/>
    </w:rPr>
  </w:style>
  <w:style w:type="character" w:customStyle="1" w:styleId="TitleChar">
    <w:name w:val="Title Char"/>
    <w:aliases w:val="ECDC AF Title Char"/>
    <w:link w:val="Title"/>
    <w:uiPriority w:val="10"/>
    <w:rsid w:val="00DA3A70"/>
    <w:rPr>
      <w:rFonts w:ascii="Tahoma" w:eastAsia="Times New Roman" w:hAnsi="Tahoma" w:cs="Times New Roman"/>
      <w:b/>
      <w:spacing w:val="5"/>
      <w:kern w:val="28"/>
      <w:sz w:val="28"/>
      <w:szCs w:val="52"/>
    </w:rPr>
  </w:style>
  <w:style w:type="paragraph" w:customStyle="1" w:styleId="Paragrafoelenco1">
    <w:name w:val="Paragrafo elenco1"/>
    <w:aliases w:val="ECDC AF Paragraph"/>
    <w:basedOn w:val="Normal"/>
    <w:autoRedefine/>
    <w:uiPriority w:val="34"/>
    <w:qFormat/>
    <w:rsid w:val="00DA3A70"/>
    <w:pPr>
      <w:numPr>
        <w:numId w:val="7"/>
      </w:numPr>
      <w:tabs>
        <w:tab w:val="left" w:pos="567"/>
      </w:tabs>
      <w:spacing w:before="120" w:after="120" w:line="240" w:lineRule="auto"/>
      <w:ind w:left="0" w:firstLine="0"/>
      <w:jc w:val="both"/>
    </w:pPr>
    <w:rPr>
      <w:rFonts w:ascii="Tahoma" w:eastAsia="Calibri" w:hAnsi="Tahoma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A3A70"/>
    <w:pPr>
      <w:spacing w:before="120" w:after="100" w:line="240" w:lineRule="auto"/>
    </w:pPr>
    <w:rPr>
      <w:rFonts w:ascii="Tahoma" w:eastAsia="Calibri" w:hAnsi="Tahoma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A3A70"/>
    <w:pPr>
      <w:spacing w:before="120" w:after="100" w:line="240" w:lineRule="auto"/>
      <w:ind w:left="200"/>
    </w:pPr>
    <w:rPr>
      <w:rFonts w:ascii="Tahoma" w:eastAsia="Calibri" w:hAnsi="Tahom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A3A70"/>
    <w:pPr>
      <w:spacing w:before="120" w:after="100" w:line="240" w:lineRule="auto"/>
      <w:ind w:left="400"/>
    </w:pPr>
    <w:rPr>
      <w:rFonts w:ascii="Tahoma" w:eastAsia="Calibri" w:hAnsi="Tahoma"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DA3A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DA3A7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DA3A70"/>
    <w:rPr>
      <w:rFonts w:ascii="Times New Roman" w:hAnsi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DA3A70"/>
    <w:pPr>
      <w:spacing w:after="0"/>
      <w:jc w:val="center"/>
    </w:pPr>
    <w:rPr>
      <w:noProof/>
      <w:sz w:val="20"/>
    </w:rPr>
  </w:style>
  <w:style w:type="character" w:customStyle="1" w:styleId="EndNoteBibliographyTitleChar">
    <w:name w:val="EndNote Bibliography Title Char"/>
    <w:link w:val="EndNoteBibliographyTitle"/>
    <w:rsid w:val="00DA3A70"/>
    <w:rPr>
      <w:rFonts w:ascii="Calibri" w:eastAsia="Times New Roman" w:hAnsi="Calibri" w:cs="Times New Roman"/>
      <w:noProof/>
      <w:sz w:val="20"/>
      <w:lang w:val="hu-HU" w:eastAsia="hu-HU"/>
    </w:rPr>
  </w:style>
  <w:style w:type="paragraph" w:customStyle="1" w:styleId="EndNoteBibliography">
    <w:name w:val="EndNote Bibliography"/>
    <w:basedOn w:val="Normal"/>
    <w:link w:val="EndNoteBibliographyChar"/>
    <w:rsid w:val="00DA3A70"/>
    <w:pPr>
      <w:spacing w:line="240" w:lineRule="auto"/>
      <w:jc w:val="both"/>
    </w:pPr>
    <w:rPr>
      <w:noProof/>
      <w:sz w:val="20"/>
    </w:rPr>
  </w:style>
  <w:style w:type="character" w:customStyle="1" w:styleId="EndNoteBibliographyChar">
    <w:name w:val="EndNote Bibliography Char"/>
    <w:link w:val="EndNoteBibliography"/>
    <w:rsid w:val="00DA3A70"/>
    <w:rPr>
      <w:rFonts w:ascii="Calibri" w:eastAsia="Times New Roman" w:hAnsi="Calibri" w:cs="Times New Roman"/>
      <w:noProof/>
      <w:sz w:val="20"/>
      <w:lang w:val="hu-HU" w:eastAsia="hu-HU"/>
    </w:rPr>
  </w:style>
  <w:style w:type="character" w:styleId="FollowedHyperlink">
    <w:name w:val="FollowedHyperlink"/>
    <w:uiPriority w:val="99"/>
    <w:semiHidden/>
    <w:unhideWhenUsed/>
    <w:rsid w:val="00DA3A70"/>
    <w:rPr>
      <w:color w:val="954F72"/>
      <w:u w:val="single"/>
    </w:rPr>
  </w:style>
  <w:style w:type="paragraph" w:customStyle="1" w:styleId="MediumGrid21">
    <w:name w:val="Medium Grid 21"/>
    <w:uiPriority w:val="1"/>
    <w:qFormat/>
    <w:rsid w:val="00DA3A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Hyperlink0">
    <w:name w:val="Hyperlink.0"/>
    <w:rsid w:val="00DA3A70"/>
  </w:style>
  <w:style w:type="character" w:customStyle="1" w:styleId="hide1">
    <w:name w:val="hide1"/>
    <w:rsid w:val="00DA3A70"/>
    <w:rPr>
      <w:vanish/>
      <w:webHidden w:val="0"/>
      <w:specVanish w:val="0"/>
    </w:rPr>
  </w:style>
  <w:style w:type="paragraph" w:customStyle="1" w:styleId="Default">
    <w:name w:val="Default"/>
    <w:rsid w:val="00DA3A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DA3A70"/>
    <w:pPr>
      <w:ind w:left="720"/>
    </w:pPr>
  </w:style>
  <w:style w:type="table" w:customStyle="1" w:styleId="GridTable4-Accent31">
    <w:name w:val="Grid Table 4 - Accent 31"/>
    <w:basedOn w:val="TableNormal"/>
    <w:next w:val="GridTable4-Accent32"/>
    <w:uiPriority w:val="49"/>
    <w:rsid w:val="00DA3A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2">
    <w:name w:val="Grid Table 4 - Accent 32"/>
    <w:basedOn w:val="TableNormal"/>
    <w:uiPriority w:val="49"/>
    <w:rsid w:val="00DA3A7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m2344583173576020509msolistparagraph">
    <w:name w:val="m_2344583173576020509msolistparagraph"/>
    <w:basedOn w:val="Normal"/>
    <w:rsid w:val="00DA3A7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table" w:styleId="MediumShading2-Accent4">
    <w:name w:val="Medium Shading 2 Accent 4"/>
    <w:basedOn w:val="TableNormal"/>
    <w:uiPriority w:val="60"/>
    <w:rsid w:val="00DA3A70"/>
    <w:pPr>
      <w:spacing w:after="0" w:line="240" w:lineRule="auto"/>
    </w:pPr>
    <w:rPr>
      <w:rFonts w:ascii="Tahoma" w:eastAsia="Calibri" w:hAnsi="Tahoma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odyText">
    <w:name w:val="Body Text"/>
    <w:basedOn w:val="Normal"/>
    <w:link w:val="BodyTextChar"/>
    <w:uiPriority w:val="1"/>
    <w:qFormat/>
    <w:rsid w:val="00DA3A70"/>
    <w:pPr>
      <w:widowControl w:val="0"/>
      <w:spacing w:after="0" w:line="240" w:lineRule="auto"/>
    </w:pPr>
    <w:rPr>
      <w:rFonts w:eastAsia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A3A70"/>
    <w:rPr>
      <w:rFonts w:ascii="Calibri" w:eastAsia="Calibri" w:hAnsi="Calibri" w:cs="Calibri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rsid w:val="00EA1DD2"/>
    <w:rPr>
      <w:rFonts w:asciiTheme="majorHAnsi" w:eastAsiaTheme="majorEastAsia" w:hAnsiTheme="majorHAnsi" w:cstheme="majorBidi"/>
      <w:i/>
      <w:iCs/>
      <w:color w:val="2E74B5" w:themeColor="accent1" w:themeShade="BF"/>
      <w:lang w:val="hu-HU" w:eastAsia="hu-HU"/>
    </w:rPr>
  </w:style>
  <w:style w:type="character" w:customStyle="1" w:styleId="Heading5Char">
    <w:name w:val="Heading 5 Char"/>
    <w:basedOn w:val="DefaultParagraphFont"/>
    <w:link w:val="Heading5"/>
    <w:uiPriority w:val="9"/>
    <w:rsid w:val="00E93802"/>
    <w:rPr>
      <w:rFonts w:asciiTheme="majorHAnsi" w:eastAsiaTheme="majorEastAsia" w:hAnsiTheme="majorHAnsi" w:cstheme="majorBidi"/>
      <w:color w:val="2E74B5" w:themeColor="accent1" w:themeShade="BF"/>
      <w:lang w:val="hu-HU" w:eastAsia="hu-HU"/>
    </w:rPr>
  </w:style>
  <w:style w:type="paragraph" w:customStyle="1" w:styleId="EC-Title-5">
    <w:name w:val="EC-Title-5"/>
    <w:next w:val="Normal"/>
    <w:link w:val="EC-Title-5CharChar"/>
    <w:qFormat/>
    <w:rsid w:val="00E93802"/>
    <w:pPr>
      <w:autoSpaceDE w:val="0"/>
      <w:autoSpaceDN w:val="0"/>
      <w:adjustRightInd w:val="0"/>
      <w:spacing w:before="240" w:after="120" w:line="241" w:lineRule="atLeast"/>
      <w:outlineLvl w:val="1"/>
    </w:pPr>
    <w:rPr>
      <w:rFonts w:ascii="Tahoma" w:eastAsia="Batang" w:hAnsi="Tahoma" w:cs="Tahoma"/>
      <w:b/>
      <w:bCs/>
      <w:color w:val="69AE23"/>
      <w:sz w:val="30"/>
      <w:szCs w:val="30"/>
    </w:rPr>
  </w:style>
  <w:style w:type="character" w:customStyle="1" w:styleId="EC-Title-5CharChar">
    <w:name w:val="EC-Title-5 Char Char"/>
    <w:basedOn w:val="DefaultParagraphFont"/>
    <w:link w:val="EC-Title-5"/>
    <w:rsid w:val="00E93802"/>
    <w:rPr>
      <w:rFonts w:ascii="Tahoma" w:eastAsia="Batang" w:hAnsi="Tahoma" w:cs="Tahoma"/>
      <w:b/>
      <w:bCs/>
      <w:color w:val="69AE23"/>
      <w:sz w:val="30"/>
      <w:szCs w:val="30"/>
    </w:rPr>
  </w:style>
  <w:style w:type="paragraph" w:customStyle="1" w:styleId="EC-Title-6">
    <w:name w:val="EC-Title-6"/>
    <w:next w:val="Normal"/>
    <w:link w:val="EC-Title-6CharChar"/>
    <w:qFormat/>
    <w:rsid w:val="00E93802"/>
    <w:pPr>
      <w:widowControl w:val="0"/>
      <w:spacing w:before="120" w:after="120" w:line="240" w:lineRule="auto"/>
      <w:outlineLvl w:val="2"/>
    </w:pPr>
    <w:rPr>
      <w:rFonts w:ascii="Tahoma" w:eastAsia="Batang" w:hAnsi="Tahoma" w:cs="Tahoma"/>
      <w:b/>
      <w:bCs/>
      <w:color w:val="69AE23"/>
      <w:sz w:val="26"/>
      <w:szCs w:val="26"/>
    </w:rPr>
  </w:style>
  <w:style w:type="character" w:customStyle="1" w:styleId="EC-Title-6CharChar">
    <w:name w:val="EC-Title-6 Char Char"/>
    <w:link w:val="EC-Title-6"/>
    <w:rsid w:val="00E93802"/>
    <w:rPr>
      <w:rFonts w:ascii="Tahoma" w:eastAsia="Batang" w:hAnsi="Tahoma" w:cs="Tahoma"/>
      <w:b/>
      <w:bCs/>
      <w:color w:val="69AE23"/>
      <w:sz w:val="26"/>
      <w:szCs w:val="26"/>
    </w:rPr>
  </w:style>
  <w:style w:type="paragraph" w:customStyle="1" w:styleId="EC-Title-7">
    <w:name w:val="EC-Title-7"/>
    <w:next w:val="Normal"/>
    <w:link w:val="EC-Title-7Char"/>
    <w:qFormat/>
    <w:rsid w:val="00083CEE"/>
    <w:pPr>
      <w:spacing w:before="120" w:after="0" w:line="240" w:lineRule="auto"/>
      <w:outlineLvl w:val="3"/>
    </w:pPr>
    <w:rPr>
      <w:rFonts w:ascii="Tahoma" w:eastAsia="Times New Roman" w:hAnsi="Tahoma" w:cs="Tahoma"/>
      <w:b/>
      <w:bCs/>
      <w:i/>
      <w:color w:val="69AE23"/>
    </w:rPr>
  </w:style>
  <w:style w:type="character" w:customStyle="1" w:styleId="EC-Title-7Char">
    <w:name w:val="EC-Title-7 Char"/>
    <w:basedOn w:val="DefaultParagraphFont"/>
    <w:link w:val="EC-Title-7"/>
    <w:rsid w:val="00083CEE"/>
    <w:rPr>
      <w:rFonts w:ascii="Tahoma" w:eastAsia="Times New Roman" w:hAnsi="Tahoma" w:cs="Tahoma"/>
      <w:b/>
      <w:bCs/>
      <w:i/>
      <w:color w:val="69AE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dc.europa.eu/en/tuberculosi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rsnet.or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64DA-C995-4FC4-A502-3572FA97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11</Pages>
  <Words>6617</Words>
  <Characters>37718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44247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Senia Rosales-Klintz</cp:lastModifiedBy>
  <cp:revision>17</cp:revision>
  <cp:lastPrinted>2018-05-24T11:29:00Z</cp:lastPrinted>
  <dcterms:created xsi:type="dcterms:W3CDTF">2018-05-24T10:20:00Z</dcterms:created>
  <dcterms:modified xsi:type="dcterms:W3CDTF">2018-06-13T10:21:00Z</dcterms:modified>
</cp:coreProperties>
</file>