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596BF" w14:textId="3B3A6D11" w:rsidR="00DA3A70" w:rsidRPr="004109A2" w:rsidRDefault="0052485E" w:rsidP="000D0DB0">
      <w:pPr>
        <w:pStyle w:val="EC-Title-5"/>
        <w:rPr>
          <w:b w:val="0"/>
          <w:spacing w:val="-10"/>
          <w:sz w:val="24"/>
        </w:rPr>
      </w:pPr>
      <w:bookmarkStart w:id="0" w:name="_GoBack"/>
      <w:bookmarkEnd w:id="0"/>
      <w:r w:rsidRPr="004109A2">
        <w:t xml:space="preserve">Standardi Europske unije za </w:t>
      </w:r>
      <w:r w:rsidR="00EC444B">
        <w:t xml:space="preserve">sveobuhvatnu </w:t>
      </w:r>
      <w:r w:rsidRPr="004109A2">
        <w:t xml:space="preserve">zdravstvenu skrb </w:t>
      </w:r>
      <w:r w:rsidR="00EC444B">
        <w:t>nad</w:t>
      </w:r>
      <w:r w:rsidR="00DD5410">
        <w:t xml:space="preserve"> </w:t>
      </w:r>
      <w:r w:rsidR="00EC444B" w:rsidRPr="004109A2">
        <w:t>tuberkuloz</w:t>
      </w:r>
      <w:r w:rsidR="00EC444B">
        <w:t>om</w:t>
      </w:r>
      <w:r w:rsidR="00EC444B" w:rsidRPr="004109A2">
        <w:t> </w:t>
      </w:r>
      <w:r w:rsidRPr="004109A2">
        <w:t>– ažuriranje iz 2017.</w:t>
      </w:r>
    </w:p>
    <w:p w14:paraId="72751B6A" w14:textId="18841776" w:rsidR="008745B1" w:rsidRPr="004109A2" w:rsidRDefault="0052485E" w:rsidP="000D0DB0">
      <w:pPr>
        <w:autoSpaceDE w:val="0"/>
        <w:autoSpaceDN w:val="0"/>
        <w:adjustRightInd w:val="0"/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Europski centar za sprečavanje i kontrolu bolesti (ECDC) i Europsko respiratorno društvo (ERS) izradili su 21 standard usmjeren na bolesnike i namijenjen kliničarima i </w:t>
      </w:r>
      <w:r w:rsidR="00E02147">
        <w:rPr>
          <w:rFonts w:ascii="Tahoma" w:hAnsi="Tahoma"/>
          <w:sz w:val="18"/>
        </w:rPr>
        <w:t xml:space="preserve">javnozdravstvenim djelatnicima </w:t>
      </w:r>
      <w:r w:rsidRPr="004109A2">
        <w:rPr>
          <w:rFonts w:ascii="Tahoma" w:hAnsi="Tahoma"/>
          <w:sz w:val="18"/>
        </w:rPr>
        <w:t xml:space="preserve">za uporabu tijekom njihova rada kako bi se </w:t>
      </w:r>
      <w:r w:rsidR="00E02147">
        <w:rPr>
          <w:rFonts w:ascii="Tahoma" w:hAnsi="Tahoma"/>
          <w:sz w:val="18"/>
        </w:rPr>
        <w:t>osigurala</w:t>
      </w:r>
      <w:r w:rsidR="00E02147" w:rsidRPr="004109A2">
        <w:rPr>
          <w:rFonts w:ascii="Tahoma" w:hAnsi="Tahoma"/>
          <w:sz w:val="18"/>
        </w:rPr>
        <w:t xml:space="preserve"> </w:t>
      </w:r>
      <w:r w:rsidR="005E69D6">
        <w:rPr>
          <w:rFonts w:ascii="Tahoma" w:hAnsi="Tahoma"/>
          <w:sz w:val="18"/>
        </w:rPr>
        <w:t>optimalna</w:t>
      </w:r>
      <w:r w:rsidR="005E69D6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dijagno</w:t>
      </w:r>
      <w:r w:rsidR="001E1F01">
        <w:rPr>
          <w:rFonts w:ascii="Tahoma" w:hAnsi="Tahoma"/>
          <w:sz w:val="18"/>
        </w:rPr>
        <w:t>stika</w:t>
      </w:r>
      <w:r w:rsidRPr="004109A2">
        <w:rPr>
          <w:rFonts w:ascii="Tahoma" w:hAnsi="Tahoma"/>
          <w:sz w:val="18"/>
        </w:rPr>
        <w:t>, liječenje i spr</w:t>
      </w:r>
      <w:r w:rsidR="001E1F01">
        <w:rPr>
          <w:rFonts w:ascii="Tahoma" w:hAnsi="Tahoma"/>
          <w:sz w:val="18"/>
        </w:rPr>
        <w:t>j</w:t>
      </w:r>
      <w:r w:rsidRPr="004109A2">
        <w:rPr>
          <w:rFonts w:ascii="Tahoma" w:hAnsi="Tahoma"/>
          <w:sz w:val="18"/>
        </w:rPr>
        <w:t xml:space="preserve">ečavanje tuberkuloze (TB) u Europi. Standardi Europske unije za </w:t>
      </w:r>
      <w:r w:rsidR="00EC444B">
        <w:rPr>
          <w:rFonts w:ascii="Tahoma" w:hAnsi="Tahoma"/>
          <w:sz w:val="18"/>
        </w:rPr>
        <w:t xml:space="preserve">sveobuhvatnu </w:t>
      </w:r>
      <w:r w:rsidRPr="004109A2">
        <w:rPr>
          <w:rFonts w:ascii="Tahoma" w:hAnsi="Tahoma"/>
          <w:sz w:val="18"/>
        </w:rPr>
        <w:t xml:space="preserve">zdravstvenu skrb </w:t>
      </w:r>
      <w:r w:rsidR="00EC444B">
        <w:rPr>
          <w:rFonts w:ascii="Tahoma" w:hAnsi="Tahoma"/>
          <w:sz w:val="18"/>
        </w:rPr>
        <w:t>nad</w:t>
      </w:r>
      <w:r w:rsidR="00DD5410" w:rsidRPr="004109A2">
        <w:rPr>
          <w:rFonts w:ascii="Tahoma" w:hAnsi="Tahoma"/>
          <w:sz w:val="18"/>
        </w:rPr>
        <w:t xml:space="preserve"> </w:t>
      </w:r>
      <w:r w:rsidR="00EC444B" w:rsidRPr="004109A2">
        <w:rPr>
          <w:rFonts w:ascii="Tahoma" w:hAnsi="Tahoma"/>
          <w:sz w:val="18"/>
        </w:rPr>
        <w:t>tuberkuloz</w:t>
      </w:r>
      <w:r w:rsidR="00EC444B">
        <w:rPr>
          <w:rFonts w:ascii="Tahoma" w:hAnsi="Tahoma"/>
          <w:sz w:val="18"/>
        </w:rPr>
        <w:t>om</w:t>
      </w:r>
      <w:r w:rsidR="00EC444B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(ESTC) ažurirani su 2017. godine kako bi se njima obuhvatili najnoviji tehnološki napredci i međunarodne preporuke</w:t>
      </w:r>
      <w:r w:rsidR="004B37AA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za </w:t>
      </w:r>
      <w:r w:rsidR="00EC444B">
        <w:rPr>
          <w:rFonts w:ascii="Tahoma" w:hAnsi="Tahoma"/>
          <w:sz w:val="18"/>
        </w:rPr>
        <w:t>dijagnostiku</w:t>
      </w:r>
      <w:r w:rsidRPr="004109A2">
        <w:rPr>
          <w:rFonts w:ascii="Tahoma" w:hAnsi="Tahoma"/>
          <w:sz w:val="18"/>
        </w:rPr>
        <w:t xml:space="preserve">, liječenje i </w:t>
      </w:r>
      <w:r w:rsidR="00EC444B">
        <w:rPr>
          <w:rFonts w:ascii="Tahoma" w:hAnsi="Tahoma"/>
          <w:sz w:val="18"/>
        </w:rPr>
        <w:t>prevenciju</w:t>
      </w:r>
      <w:r w:rsidR="00EC444B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tuberkuloze.</w:t>
      </w:r>
    </w:p>
    <w:p w14:paraId="11A99F6E" w14:textId="56FCE64B" w:rsidR="00E93802" w:rsidRPr="004109A2" w:rsidRDefault="0052485E" w:rsidP="0028467E">
      <w:pPr>
        <w:pStyle w:val="EC-Title-6"/>
      </w:pPr>
      <w:bookmarkStart w:id="1" w:name="_Toc512588780"/>
      <w:r w:rsidRPr="004109A2">
        <w:t xml:space="preserve">Potrebni su viši standardi kako bi se ostvario napredak prema </w:t>
      </w:r>
      <w:r w:rsidR="001E1F01">
        <w:t>eliminaciji</w:t>
      </w:r>
      <w:r w:rsidR="001E1F01" w:rsidRPr="004109A2">
        <w:t xml:space="preserve"> </w:t>
      </w:r>
      <w:r w:rsidRPr="004109A2">
        <w:t>tuberkuloze u Europskoj uniji</w:t>
      </w:r>
      <w:bookmarkEnd w:id="1"/>
    </w:p>
    <w:p w14:paraId="3356046C" w14:textId="77777777" w:rsidR="00083CEE" w:rsidRPr="004109A2" w:rsidRDefault="0052485E" w:rsidP="00083CEE">
      <w:pPr>
        <w:pStyle w:val="EC-Title-7"/>
      </w:pPr>
      <w:r w:rsidRPr="004109A2">
        <w:t>Zašto je EU prilagodio standarde?</w:t>
      </w:r>
    </w:p>
    <w:p w14:paraId="05F46553" w14:textId="71BB42C5" w:rsidR="008745B1" w:rsidRPr="004109A2" w:rsidRDefault="0052485E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Međunarodni standardi za </w:t>
      </w:r>
      <w:r w:rsidR="003C2516">
        <w:rPr>
          <w:rFonts w:ascii="Tahoma" w:hAnsi="Tahoma"/>
          <w:sz w:val="18"/>
        </w:rPr>
        <w:t xml:space="preserve">sveobuhvatnu </w:t>
      </w:r>
      <w:r w:rsidR="00C967F4" w:rsidRPr="00C967F4">
        <w:rPr>
          <w:rFonts w:ascii="Tahoma" w:hAnsi="Tahoma"/>
          <w:sz w:val="18"/>
        </w:rPr>
        <w:t xml:space="preserve">zdravstvenu skrb </w:t>
      </w:r>
      <w:r w:rsidR="004E5168">
        <w:rPr>
          <w:rFonts w:ascii="Tahoma" w:hAnsi="Tahoma"/>
          <w:sz w:val="18"/>
        </w:rPr>
        <w:t>nad</w:t>
      </w:r>
      <w:r w:rsidR="00C967F4" w:rsidRPr="00C967F4">
        <w:rPr>
          <w:rFonts w:ascii="Tahoma" w:hAnsi="Tahoma"/>
          <w:sz w:val="18"/>
        </w:rPr>
        <w:t xml:space="preserve"> </w:t>
      </w:r>
      <w:r w:rsidR="004E5168" w:rsidRPr="00C967F4">
        <w:rPr>
          <w:rFonts w:ascii="Tahoma" w:hAnsi="Tahoma"/>
          <w:sz w:val="18"/>
        </w:rPr>
        <w:t>tuberkuloz</w:t>
      </w:r>
      <w:r w:rsidR="004E5168">
        <w:rPr>
          <w:rFonts w:ascii="Tahoma" w:hAnsi="Tahoma"/>
          <w:sz w:val="18"/>
        </w:rPr>
        <w:t>om</w:t>
      </w:r>
      <w:r w:rsidR="004E5168" w:rsidRPr="004109A2">
        <w:rPr>
          <w:rFonts w:ascii="Tahoma" w:hAnsi="Tahoma"/>
          <w:sz w:val="18"/>
        </w:rPr>
        <w:t> </w:t>
      </w:r>
      <w:r w:rsidRPr="004109A2">
        <w:rPr>
          <w:rFonts w:ascii="Tahoma" w:hAnsi="Tahoma"/>
          <w:sz w:val="18"/>
        </w:rPr>
        <w:t xml:space="preserve">(engl. </w:t>
      </w:r>
      <w:r w:rsidRPr="004109A2">
        <w:rPr>
          <w:rFonts w:ascii="Tahoma" w:hAnsi="Tahoma"/>
          <w:i/>
          <w:sz w:val="18"/>
        </w:rPr>
        <w:t>International Standards for Tuberculosis Care</w:t>
      </w:r>
      <w:r w:rsidRPr="004109A2">
        <w:rPr>
          <w:rFonts w:ascii="Tahoma" w:hAnsi="Tahoma"/>
          <w:sz w:val="18"/>
        </w:rPr>
        <w:t xml:space="preserve">, ISTC) prvi su put objavljeni 2006., a </w:t>
      </w:r>
      <w:r w:rsidR="00DD5410">
        <w:rPr>
          <w:rFonts w:ascii="Tahoma" w:hAnsi="Tahoma"/>
          <w:sz w:val="18"/>
        </w:rPr>
        <w:t>potom</w:t>
      </w:r>
      <w:r w:rsidRPr="004109A2">
        <w:rPr>
          <w:rFonts w:ascii="Tahoma" w:hAnsi="Tahoma"/>
          <w:sz w:val="18"/>
        </w:rPr>
        <w:t xml:space="preserve"> ažurirani 2009. i 2014. godine. U njima je opisana široko</w:t>
      </w:r>
      <w:r w:rsidR="001E1F01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prihvaćena razina zdravstvene </w:t>
      </w:r>
      <w:r w:rsidR="00A21D38">
        <w:rPr>
          <w:rFonts w:ascii="Tahoma" w:hAnsi="Tahoma"/>
          <w:sz w:val="18"/>
        </w:rPr>
        <w:t>skrbi nad</w:t>
      </w:r>
      <w:r w:rsidRPr="004109A2">
        <w:rPr>
          <w:rFonts w:ascii="Tahoma" w:hAnsi="Tahoma"/>
          <w:sz w:val="18"/>
        </w:rPr>
        <w:t xml:space="preserve"> tuberkuloz</w:t>
      </w:r>
      <w:r w:rsidR="00A21D38">
        <w:rPr>
          <w:rFonts w:ascii="Tahoma" w:hAnsi="Tahoma"/>
          <w:sz w:val="18"/>
        </w:rPr>
        <w:t>om</w:t>
      </w:r>
      <w:r w:rsidRPr="004109A2">
        <w:rPr>
          <w:rFonts w:ascii="Tahoma" w:hAnsi="Tahoma"/>
          <w:sz w:val="18"/>
        </w:rPr>
        <w:t xml:space="preserve">, </w:t>
      </w:r>
      <w:r w:rsidR="00A21D38">
        <w:rPr>
          <w:rFonts w:ascii="Tahoma" w:hAnsi="Tahoma"/>
          <w:sz w:val="18"/>
        </w:rPr>
        <w:t>međutim</w:t>
      </w:r>
      <w:r w:rsidR="00A21D38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usmjereni su na sredine s</w:t>
      </w:r>
      <w:r w:rsidR="00A21D38">
        <w:rPr>
          <w:rFonts w:ascii="Tahoma" w:hAnsi="Tahoma"/>
          <w:sz w:val="18"/>
        </w:rPr>
        <w:t xml:space="preserve"> visokom incidencijom bolesti i</w:t>
      </w:r>
      <w:r w:rsidRPr="004109A2">
        <w:rPr>
          <w:rFonts w:ascii="Tahoma" w:hAnsi="Tahoma"/>
          <w:sz w:val="18"/>
        </w:rPr>
        <w:t xml:space="preserve"> malim prihodima.</w:t>
      </w:r>
    </w:p>
    <w:p w14:paraId="0BDFDC93" w14:textId="6CCEBC7C" w:rsidR="008745B1" w:rsidRPr="004109A2" w:rsidRDefault="0052485E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Iako se države</w:t>
      </w:r>
      <w:r w:rsidRPr="004109A2">
        <w:rPr>
          <w:rFonts w:ascii="Tahoma" w:hAnsi="Tahoma"/>
          <w:sz w:val="18"/>
        </w:rPr>
        <w:t xml:space="preserve"> Europsk</w:t>
      </w:r>
      <w:r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 xml:space="preserve"> unij</w:t>
      </w:r>
      <w:r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>/Europsko</w:t>
      </w:r>
      <w:r>
        <w:rPr>
          <w:rFonts w:ascii="Tahoma" w:hAnsi="Tahoma"/>
          <w:sz w:val="18"/>
        </w:rPr>
        <w:t>g</w:t>
      </w:r>
      <w:r w:rsidRPr="004109A2">
        <w:rPr>
          <w:rFonts w:ascii="Tahoma" w:hAnsi="Tahoma"/>
          <w:sz w:val="18"/>
        </w:rPr>
        <w:t xml:space="preserve"> gospodarsko</w:t>
      </w:r>
      <w:r>
        <w:rPr>
          <w:rFonts w:ascii="Tahoma" w:hAnsi="Tahoma"/>
          <w:sz w:val="18"/>
        </w:rPr>
        <w:t>g</w:t>
      </w:r>
      <w:r w:rsidRPr="004109A2">
        <w:rPr>
          <w:rFonts w:ascii="Tahoma" w:hAnsi="Tahoma"/>
          <w:sz w:val="18"/>
        </w:rPr>
        <w:t xml:space="preserve"> prostor</w:t>
      </w:r>
      <w:r>
        <w:rPr>
          <w:rFonts w:ascii="Tahoma" w:hAnsi="Tahoma"/>
          <w:sz w:val="18"/>
        </w:rPr>
        <w:t>a</w:t>
      </w:r>
      <w:r w:rsidRPr="004109A2">
        <w:rPr>
          <w:rFonts w:ascii="Tahoma" w:hAnsi="Tahoma"/>
          <w:sz w:val="18"/>
        </w:rPr>
        <w:t xml:space="preserve"> </w:t>
      </w:r>
      <w:r>
        <w:rPr>
          <w:rFonts w:ascii="Tahoma" w:hAnsi="Tahoma"/>
          <w:sz w:val="18"/>
        </w:rPr>
        <w:t>(</w:t>
      </w:r>
      <w:r w:rsidRPr="004109A2">
        <w:rPr>
          <w:rFonts w:ascii="Tahoma" w:hAnsi="Tahoma"/>
          <w:sz w:val="18"/>
        </w:rPr>
        <w:t>EU/EGP</w:t>
      </w:r>
      <w:r>
        <w:rPr>
          <w:rFonts w:ascii="Tahoma" w:hAnsi="Tahoma"/>
          <w:sz w:val="18"/>
        </w:rPr>
        <w:t>) međusobno razlikuju u e</w:t>
      </w:r>
      <w:r w:rsidR="00190101" w:rsidRPr="004109A2">
        <w:rPr>
          <w:rFonts w:ascii="Tahoma" w:hAnsi="Tahoma"/>
          <w:sz w:val="18"/>
        </w:rPr>
        <w:t>pidemiološk</w:t>
      </w:r>
      <w:r>
        <w:rPr>
          <w:rFonts w:ascii="Tahoma" w:hAnsi="Tahoma"/>
          <w:sz w:val="18"/>
        </w:rPr>
        <w:t>om</w:t>
      </w:r>
      <w:r w:rsidR="00190101" w:rsidRPr="004109A2">
        <w:rPr>
          <w:rFonts w:ascii="Tahoma" w:hAnsi="Tahoma"/>
          <w:sz w:val="18"/>
        </w:rPr>
        <w:t xml:space="preserve"> kontekst</w:t>
      </w:r>
      <w:r>
        <w:rPr>
          <w:rFonts w:ascii="Tahoma" w:hAnsi="Tahoma"/>
          <w:sz w:val="18"/>
        </w:rPr>
        <w:t>u</w:t>
      </w:r>
      <w:r w:rsidR="00190101" w:rsidRPr="004109A2">
        <w:rPr>
          <w:rFonts w:ascii="Tahoma" w:hAnsi="Tahoma"/>
          <w:sz w:val="18"/>
        </w:rPr>
        <w:t xml:space="preserve"> i dostupnost</w:t>
      </w:r>
      <w:r>
        <w:rPr>
          <w:rFonts w:ascii="Tahoma" w:hAnsi="Tahoma"/>
          <w:sz w:val="18"/>
        </w:rPr>
        <w:t>i</w:t>
      </w:r>
      <w:r w:rsidR="00190101" w:rsidRPr="004109A2">
        <w:rPr>
          <w:rFonts w:ascii="Tahoma" w:hAnsi="Tahoma"/>
          <w:sz w:val="18"/>
        </w:rPr>
        <w:t xml:space="preserve"> financijskih sredstava</w:t>
      </w:r>
      <w:r>
        <w:rPr>
          <w:rFonts w:ascii="Tahoma" w:hAnsi="Tahoma"/>
          <w:sz w:val="18"/>
        </w:rPr>
        <w:t>, postoje određene zajedničke specifičnosti</w:t>
      </w:r>
      <w:r w:rsidR="00190101" w:rsidRPr="004109A2">
        <w:rPr>
          <w:rFonts w:ascii="Tahoma" w:hAnsi="Tahoma"/>
          <w:sz w:val="18"/>
        </w:rPr>
        <w:t>:</w:t>
      </w:r>
    </w:p>
    <w:p w14:paraId="261DA874" w14:textId="329B9573" w:rsidR="00DF397F" w:rsidRDefault="0052485E" w:rsidP="000C63A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u većini država</w:t>
      </w:r>
      <w:r w:rsidRPr="002E7EE0">
        <w:rPr>
          <w:rFonts w:ascii="Tahoma" w:hAnsi="Tahoma"/>
          <w:sz w:val="18"/>
        </w:rPr>
        <w:t xml:space="preserve"> </w:t>
      </w:r>
      <w:r w:rsidR="000C63A3">
        <w:rPr>
          <w:rFonts w:ascii="Tahoma" w:hAnsi="Tahoma"/>
          <w:sz w:val="18"/>
        </w:rPr>
        <w:t xml:space="preserve">EU-a/EGP-a </w:t>
      </w:r>
      <w:r w:rsidR="00207E50">
        <w:rPr>
          <w:rFonts w:ascii="Tahoma" w:hAnsi="Tahoma"/>
          <w:sz w:val="18"/>
        </w:rPr>
        <w:t xml:space="preserve">incidencija tuberkuloze </w:t>
      </w:r>
      <w:r>
        <w:rPr>
          <w:rFonts w:ascii="Tahoma" w:hAnsi="Tahoma"/>
          <w:sz w:val="18"/>
        </w:rPr>
        <w:t xml:space="preserve">je </w:t>
      </w:r>
      <w:r w:rsidR="00207E50" w:rsidRPr="00085C5F">
        <w:rPr>
          <w:rFonts w:ascii="Tahoma" w:hAnsi="Tahoma"/>
          <w:sz w:val="18"/>
        </w:rPr>
        <w:t>niska</w:t>
      </w:r>
      <w:r>
        <w:rPr>
          <w:rFonts w:ascii="Tahoma" w:hAnsi="Tahoma"/>
          <w:sz w:val="18"/>
        </w:rPr>
        <w:t xml:space="preserve"> ili umjerena;</w:t>
      </w:r>
      <w:r w:rsidR="00207E50" w:rsidRPr="00085C5F">
        <w:rPr>
          <w:rFonts w:ascii="Tahoma" w:hAnsi="Tahoma"/>
          <w:sz w:val="18"/>
        </w:rPr>
        <w:t xml:space="preserve"> </w:t>
      </w:r>
    </w:p>
    <w:p w14:paraId="5AD434B1" w14:textId="3FB75D38" w:rsidR="008745B1" w:rsidRPr="004109A2" w:rsidRDefault="0052485E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 xml:space="preserve">u svim državama članicama </w:t>
      </w:r>
      <w:r w:rsidR="00190101" w:rsidRPr="004109A2">
        <w:rPr>
          <w:rFonts w:ascii="Tahoma" w:hAnsi="Tahoma"/>
          <w:sz w:val="18"/>
        </w:rPr>
        <w:t xml:space="preserve">postoji dugogodišnja tradicija </w:t>
      </w:r>
      <w:r>
        <w:rPr>
          <w:rFonts w:ascii="Tahoma" w:hAnsi="Tahoma"/>
          <w:sz w:val="18"/>
        </w:rPr>
        <w:t xml:space="preserve">nadzora, </w:t>
      </w:r>
      <w:r w:rsidR="00190101" w:rsidRPr="004109A2">
        <w:rPr>
          <w:rFonts w:ascii="Tahoma" w:hAnsi="Tahoma"/>
          <w:sz w:val="18"/>
        </w:rPr>
        <w:t>spr</w:t>
      </w:r>
      <w:r w:rsidR="00FE0694">
        <w:rPr>
          <w:rFonts w:ascii="Tahoma" w:hAnsi="Tahoma"/>
          <w:sz w:val="18"/>
        </w:rPr>
        <w:t>j</w:t>
      </w:r>
      <w:r w:rsidR="00190101" w:rsidRPr="004109A2">
        <w:rPr>
          <w:rFonts w:ascii="Tahoma" w:hAnsi="Tahoma"/>
          <w:sz w:val="18"/>
        </w:rPr>
        <w:t xml:space="preserve">ečavanja i </w:t>
      </w:r>
      <w:r w:rsidR="00FE0694">
        <w:rPr>
          <w:rFonts w:ascii="Tahoma" w:hAnsi="Tahoma"/>
          <w:sz w:val="18"/>
        </w:rPr>
        <w:t>suzbijanja</w:t>
      </w:r>
      <w:r w:rsidR="00FE0694" w:rsidRPr="004109A2">
        <w:rPr>
          <w:rFonts w:ascii="Tahoma" w:hAnsi="Tahoma"/>
          <w:sz w:val="18"/>
        </w:rPr>
        <w:t xml:space="preserve"> </w:t>
      </w:r>
      <w:r w:rsidR="00190101" w:rsidRPr="004109A2">
        <w:rPr>
          <w:rFonts w:ascii="Tahoma" w:hAnsi="Tahoma"/>
          <w:sz w:val="18"/>
        </w:rPr>
        <w:t>tuberkuloze;</w:t>
      </w:r>
    </w:p>
    <w:p w14:paraId="19F6603E" w14:textId="77777777" w:rsidR="008745B1" w:rsidRPr="004109A2" w:rsidRDefault="0052485E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>postoje dostupna sredstva;</w:t>
      </w:r>
    </w:p>
    <w:p w14:paraId="1BD6DA41" w14:textId="2C2DDF8B" w:rsidR="008745B1" w:rsidRPr="004109A2" w:rsidRDefault="0052485E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potrebno je </w:t>
      </w:r>
      <w:r w:rsidR="001F2685">
        <w:rPr>
          <w:rFonts w:ascii="Tahoma" w:hAnsi="Tahoma"/>
          <w:sz w:val="18"/>
        </w:rPr>
        <w:t>osigurati</w:t>
      </w:r>
      <w:r w:rsidR="001F2685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najbolju moguću upotrebu tih sredstava;</w:t>
      </w:r>
    </w:p>
    <w:p w14:paraId="1C7FBE24" w14:textId="77777777" w:rsidR="008745B1" w:rsidRPr="004109A2" w:rsidRDefault="0052485E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>usluge povezane s tuberkulozom dio su zdravstvenog sustava;</w:t>
      </w:r>
    </w:p>
    <w:p w14:paraId="6BAE2C57" w14:textId="77777777" w:rsidR="008745B1" w:rsidRPr="004109A2" w:rsidRDefault="0052485E" w:rsidP="000D0DB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>svaki bolesnik ima pravo na pristup najboljoj mogućoj zdravstvenoj skrbi.</w:t>
      </w:r>
    </w:p>
    <w:p w14:paraId="13E7E777" w14:textId="3B5BC152" w:rsidR="008745B1" w:rsidRPr="004109A2" w:rsidRDefault="0052485E" w:rsidP="0028467E">
      <w:pPr>
        <w:pStyle w:val="EC-Title-6"/>
        <w:rPr>
          <w:sz w:val="30"/>
          <w:szCs w:val="30"/>
        </w:rPr>
      </w:pPr>
      <w:r w:rsidRPr="004109A2">
        <w:rPr>
          <w:sz w:val="30"/>
        </w:rPr>
        <w:t xml:space="preserve">Standardi EU-a za </w:t>
      </w:r>
      <w:r w:rsidR="00EC444B">
        <w:rPr>
          <w:sz w:val="30"/>
        </w:rPr>
        <w:t xml:space="preserve">sveobuhvatnu </w:t>
      </w:r>
      <w:r w:rsidRPr="004109A2">
        <w:rPr>
          <w:sz w:val="30"/>
        </w:rPr>
        <w:t xml:space="preserve">zdravstvenu skrb </w:t>
      </w:r>
      <w:r w:rsidR="00EC444B">
        <w:rPr>
          <w:sz w:val="30"/>
        </w:rPr>
        <w:t>nad</w:t>
      </w:r>
      <w:r w:rsidRPr="004109A2">
        <w:rPr>
          <w:sz w:val="30"/>
        </w:rPr>
        <w:t xml:space="preserve"> </w:t>
      </w:r>
      <w:r w:rsidR="00EC444B" w:rsidRPr="004109A2">
        <w:rPr>
          <w:sz w:val="30"/>
        </w:rPr>
        <w:t>tuberkuloz</w:t>
      </w:r>
      <w:r w:rsidR="00EC444B">
        <w:rPr>
          <w:sz w:val="30"/>
        </w:rPr>
        <w:t>om</w:t>
      </w:r>
      <w:r w:rsidR="00EC444B" w:rsidRPr="004109A2">
        <w:rPr>
          <w:sz w:val="30"/>
        </w:rPr>
        <w:t xml:space="preserve"> </w:t>
      </w:r>
      <w:r w:rsidRPr="004109A2">
        <w:rPr>
          <w:sz w:val="30"/>
        </w:rPr>
        <w:t xml:space="preserve">usmjereni su na bolesnike i namijenjeni kliničarima i </w:t>
      </w:r>
      <w:r w:rsidR="00EC2F4D">
        <w:rPr>
          <w:sz w:val="30"/>
        </w:rPr>
        <w:t xml:space="preserve">javnozdravstvenim </w:t>
      </w:r>
      <w:r w:rsidR="00FE0694">
        <w:rPr>
          <w:sz w:val="30"/>
        </w:rPr>
        <w:t>djelatnicima</w:t>
      </w:r>
      <w:r w:rsidR="00FE0694" w:rsidRPr="004109A2">
        <w:rPr>
          <w:sz w:val="30"/>
        </w:rPr>
        <w:t xml:space="preserve"> </w:t>
      </w:r>
    </w:p>
    <w:p w14:paraId="42A77C66" w14:textId="32A39068" w:rsidR="008745B1" w:rsidRPr="004109A2" w:rsidRDefault="0052485E" w:rsidP="0028467E">
      <w:pPr>
        <w:pStyle w:val="EC-Title-7"/>
        <w:rPr>
          <w:rFonts w:eastAsia="Batang"/>
        </w:rPr>
      </w:pPr>
      <w:r w:rsidRPr="004109A2">
        <w:t xml:space="preserve">Na koji su način </w:t>
      </w:r>
      <w:r w:rsidR="00EC2F4D" w:rsidRPr="004109A2">
        <w:t>izrađeni i ažurirani</w:t>
      </w:r>
      <w:r w:rsidR="00EC2F4D">
        <w:t xml:space="preserve"> </w:t>
      </w:r>
      <w:r w:rsidRPr="004109A2">
        <w:t xml:space="preserve">standardi EU-a za </w:t>
      </w:r>
      <w:r w:rsidR="00EC444B">
        <w:t xml:space="preserve">sveobuhvatnu </w:t>
      </w:r>
      <w:r w:rsidRPr="004109A2">
        <w:t xml:space="preserve">zdravstvenu skrb </w:t>
      </w:r>
      <w:r w:rsidR="00C967F4" w:rsidRPr="0008382C">
        <w:t>nad</w:t>
      </w:r>
      <w:r w:rsidRPr="004109A2">
        <w:t xml:space="preserve"> </w:t>
      </w:r>
      <w:r w:rsidR="00EC2F4D" w:rsidRPr="004109A2">
        <w:t>tuberkuloz</w:t>
      </w:r>
      <w:r w:rsidR="00EC2F4D">
        <w:t>om</w:t>
      </w:r>
      <w:r w:rsidR="00EC2F4D" w:rsidRPr="004109A2">
        <w:t>?</w:t>
      </w:r>
    </w:p>
    <w:p w14:paraId="2E5C296D" w14:textId="378B4F68" w:rsidR="008745B1" w:rsidRPr="004109A2" w:rsidRDefault="0052485E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U okviru zajedničkih nastojanja ERS je preuzeo vodeću ulogu u izradi i ažuriranju standarda </w:t>
      </w:r>
      <w:r w:rsidR="00EC2F4D">
        <w:rPr>
          <w:rFonts w:ascii="Tahoma" w:hAnsi="Tahoma"/>
          <w:sz w:val="18"/>
        </w:rPr>
        <w:t>vezanih za klinički dio</w:t>
      </w:r>
      <w:r w:rsidRPr="004109A2">
        <w:rPr>
          <w:rFonts w:ascii="Tahoma" w:hAnsi="Tahoma"/>
          <w:sz w:val="18"/>
        </w:rPr>
        <w:t xml:space="preserve">, </w:t>
      </w:r>
      <w:r w:rsidR="00EC2F4D">
        <w:rPr>
          <w:rFonts w:ascii="Tahoma" w:hAnsi="Tahoma"/>
          <w:sz w:val="18"/>
        </w:rPr>
        <w:t>dok je javnozdravstvene standarde</w:t>
      </w:r>
      <w:r w:rsidR="00EC2F4D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izradio i ažurirao </w:t>
      </w:r>
      <w:r w:rsidR="00085C5F" w:rsidRPr="004109A2">
        <w:rPr>
          <w:rFonts w:ascii="Tahoma" w:hAnsi="Tahoma"/>
          <w:sz w:val="18"/>
        </w:rPr>
        <w:t>ECDC</w:t>
      </w:r>
      <w:r w:rsidRPr="004109A2">
        <w:rPr>
          <w:rFonts w:ascii="Tahoma" w:hAnsi="Tahoma"/>
          <w:sz w:val="18"/>
        </w:rPr>
        <w:t xml:space="preserve">. Izradu i ažuriranje vodila je radna skupina međunarodnih stručnjaka iz različitih stručnih područja te predstavnika organizacija i bolesnika oboljelih od tuberkuloze. </w:t>
      </w:r>
      <w:r w:rsidR="00085C5F">
        <w:rPr>
          <w:rFonts w:ascii="Tahoma" w:hAnsi="Tahoma"/>
          <w:sz w:val="18"/>
        </w:rPr>
        <w:t>Nove spoznaje i d</w:t>
      </w:r>
      <w:r w:rsidRPr="004109A2">
        <w:rPr>
          <w:rFonts w:ascii="Tahoma" w:hAnsi="Tahoma"/>
          <w:sz w:val="18"/>
        </w:rPr>
        <w:t xml:space="preserve">okazi </w:t>
      </w:r>
      <w:r w:rsidR="00085C5F">
        <w:rPr>
          <w:rFonts w:ascii="Tahoma" w:hAnsi="Tahoma"/>
          <w:sz w:val="18"/>
        </w:rPr>
        <w:t xml:space="preserve">korišteni u izradi i ažuriranju ovih standarda dobiveni su ciljanim pregledom postojeće stručne i znanstvene literature </w:t>
      </w:r>
      <w:r w:rsidRPr="004109A2">
        <w:rPr>
          <w:rFonts w:ascii="Tahoma" w:hAnsi="Tahoma"/>
          <w:sz w:val="18"/>
        </w:rPr>
        <w:t xml:space="preserve">u skladu s objavljenim međunarodnim smjernicama. Odbor za pisanje pripremio je nacrt dokumenta koji je radna skupina zatim pregledala i odobrila. Standardi EU-a za zdravstvenu skrb </w:t>
      </w:r>
      <w:r w:rsidR="00E84567">
        <w:rPr>
          <w:rFonts w:ascii="Tahoma" w:hAnsi="Tahoma"/>
          <w:sz w:val="18"/>
        </w:rPr>
        <w:t>nad</w:t>
      </w:r>
      <w:r w:rsidRPr="004109A2">
        <w:rPr>
          <w:rFonts w:ascii="Tahoma" w:hAnsi="Tahoma"/>
          <w:sz w:val="18"/>
        </w:rPr>
        <w:t xml:space="preserve"> </w:t>
      </w:r>
      <w:r w:rsidR="00E84567" w:rsidRPr="004109A2">
        <w:rPr>
          <w:rFonts w:ascii="Tahoma" w:hAnsi="Tahoma"/>
          <w:sz w:val="18"/>
        </w:rPr>
        <w:t>tuberkuloz</w:t>
      </w:r>
      <w:r w:rsidR="00CA57FC">
        <w:rPr>
          <w:rFonts w:ascii="Tahoma" w:hAnsi="Tahoma"/>
          <w:sz w:val="18"/>
        </w:rPr>
        <w:t>om</w:t>
      </w:r>
      <w:r w:rsidR="00E84567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izrađeni su i ažurirani kako bi se njima nadopunili Međunarodni standardi za zdravstvenu skrb </w:t>
      </w:r>
      <w:r w:rsidR="00085C5F">
        <w:rPr>
          <w:rFonts w:ascii="Tahoma" w:hAnsi="Tahoma"/>
          <w:sz w:val="18"/>
        </w:rPr>
        <w:t>nad</w:t>
      </w:r>
      <w:r w:rsidRPr="004109A2">
        <w:rPr>
          <w:rFonts w:ascii="Tahoma" w:hAnsi="Tahoma"/>
          <w:sz w:val="18"/>
        </w:rPr>
        <w:t xml:space="preserve"> </w:t>
      </w:r>
      <w:r w:rsidR="00085C5F" w:rsidRPr="004109A2">
        <w:rPr>
          <w:rFonts w:ascii="Tahoma" w:hAnsi="Tahoma"/>
          <w:sz w:val="18"/>
        </w:rPr>
        <w:t>tuberkuloz</w:t>
      </w:r>
      <w:r w:rsidR="00085C5F">
        <w:rPr>
          <w:rFonts w:ascii="Tahoma" w:hAnsi="Tahoma"/>
          <w:sz w:val="18"/>
        </w:rPr>
        <w:t>om</w:t>
      </w:r>
      <w:r w:rsidR="00085C5F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 druge postojeće smjernice. </w:t>
      </w:r>
    </w:p>
    <w:p w14:paraId="20AE024E" w14:textId="11179CEC" w:rsidR="008745B1" w:rsidRPr="004109A2" w:rsidRDefault="0052485E" w:rsidP="000D0DB0">
      <w:pPr>
        <w:pStyle w:val="EC-Title-5"/>
        <w:spacing w:before="120"/>
        <w:rPr>
          <w:b w:val="0"/>
        </w:rPr>
      </w:pPr>
      <w:r w:rsidRPr="004109A2">
        <w:t xml:space="preserve">Izvor kojim se lako koristiti kako bi se zajamčila najbolja </w:t>
      </w:r>
      <w:r w:rsidR="00FE0694" w:rsidRPr="004109A2">
        <w:t>dijagno</w:t>
      </w:r>
      <w:r w:rsidR="00FE0694">
        <w:t>stik</w:t>
      </w:r>
      <w:r w:rsidR="00FE0694" w:rsidRPr="004109A2">
        <w:t>a</w:t>
      </w:r>
      <w:r w:rsidRPr="004109A2">
        <w:t xml:space="preserve">, liječenje i </w:t>
      </w:r>
      <w:r w:rsidR="004E5168">
        <w:t>prevencija</w:t>
      </w:r>
      <w:r w:rsidR="004E5168" w:rsidRPr="004109A2">
        <w:t xml:space="preserve"> </w:t>
      </w:r>
      <w:r w:rsidRPr="004109A2">
        <w:t>tuberkuloze</w:t>
      </w:r>
    </w:p>
    <w:p w14:paraId="4E9B3DA8" w14:textId="46B6F13F" w:rsidR="008745B1" w:rsidRPr="004109A2" w:rsidRDefault="0052485E" w:rsidP="000D0DB0">
      <w:pPr>
        <w:pStyle w:val="EC-Title-6"/>
        <w:spacing w:after="0"/>
        <w:rPr>
          <w:b w:val="0"/>
        </w:rPr>
      </w:pPr>
      <w:r w:rsidRPr="004109A2">
        <w:t xml:space="preserve">Obrazloženje standarda EU-a za </w:t>
      </w:r>
      <w:r w:rsidR="00EC444B">
        <w:t xml:space="preserve">sveobuhvatnu </w:t>
      </w:r>
      <w:r w:rsidRPr="004109A2">
        <w:t xml:space="preserve">zdravstvenu skrb </w:t>
      </w:r>
      <w:r w:rsidR="008C0AAF">
        <w:t>nad</w:t>
      </w:r>
      <w:r w:rsidRPr="004109A2">
        <w:t xml:space="preserve"> </w:t>
      </w:r>
      <w:r w:rsidR="008C0AAF" w:rsidRPr="004109A2">
        <w:t>tuberkuloz</w:t>
      </w:r>
      <w:r w:rsidR="008C0AAF">
        <w:t>om</w:t>
      </w:r>
    </w:p>
    <w:p w14:paraId="34992F46" w14:textId="116D45A4" w:rsidR="008745B1" w:rsidRPr="004109A2" w:rsidRDefault="0052485E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Standardima Europske unije za </w:t>
      </w:r>
      <w:r w:rsidR="00EC444B">
        <w:rPr>
          <w:rFonts w:ascii="Tahoma" w:hAnsi="Tahoma"/>
          <w:sz w:val="18"/>
        </w:rPr>
        <w:t xml:space="preserve">sveobuhvatnu </w:t>
      </w:r>
      <w:r w:rsidRPr="004109A2">
        <w:rPr>
          <w:rFonts w:ascii="Tahoma" w:hAnsi="Tahoma"/>
          <w:sz w:val="18"/>
        </w:rPr>
        <w:t xml:space="preserve">zdravstvenu skrb </w:t>
      </w:r>
      <w:r w:rsidR="00C967F4" w:rsidRPr="0008382C">
        <w:rPr>
          <w:rFonts w:ascii="Tahoma" w:hAnsi="Tahoma"/>
          <w:sz w:val="18"/>
        </w:rPr>
        <w:t>nad</w:t>
      </w:r>
      <w:r w:rsidRPr="004109A2">
        <w:rPr>
          <w:rFonts w:ascii="Tahoma" w:hAnsi="Tahoma"/>
          <w:sz w:val="18"/>
        </w:rPr>
        <w:t xml:space="preserve"> </w:t>
      </w:r>
      <w:r w:rsidR="008C0AAF" w:rsidRPr="004109A2">
        <w:rPr>
          <w:rFonts w:ascii="Tahoma" w:hAnsi="Tahoma"/>
          <w:sz w:val="18"/>
        </w:rPr>
        <w:t>tuberkuloz</w:t>
      </w:r>
      <w:r w:rsidR="008C0AAF">
        <w:rPr>
          <w:rFonts w:ascii="Tahoma" w:hAnsi="Tahoma"/>
          <w:sz w:val="18"/>
        </w:rPr>
        <w:t>om</w:t>
      </w:r>
      <w:r w:rsidR="008C0AAF" w:rsidRPr="004109A2">
        <w:rPr>
          <w:rFonts w:ascii="Tahoma" w:hAnsi="Tahoma"/>
          <w:sz w:val="18"/>
        </w:rPr>
        <w:t> </w:t>
      </w:r>
      <w:r w:rsidRPr="004109A2">
        <w:rPr>
          <w:rFonts w:ascii="Tahoma" w:hAnsi="Tahoma"/>
          <w:sz w:val="18"/>
        </w:rPr>
        <w:t xml:space="preserve">(ESTC) nastoje se premostiti </w:t>
      </w:r>
      <w:r w:rsidR="00DF75B9">
        <w:rPr>
          <w:rFonts w:ascii="Tahoma" w:hAnsi="Tahoma"/>
          <w:sz w:val="18"/>
        </w:rPr>
        <w:t xml:space="preserve">postojeće </w:t>
      </w:r>
      <w:r w:rsidRPr="004109A2">
        <w:rPr>
          <w:rFonts w:ascii="Tahoma" w:hAnsi="Tahoma"/>
          <w:sz w:val="18"/>
        </w:rPr>
        <w:t xml:space="preserve">razlike u </w:t>
      </w:r>
      <w:r w:rsidR="008C0AAF">
        <w:rPr>
          <w:rFonts w:ascii="Tahoma" w:hAnsi="Tahoma"/>
          <w:sz w:val="18"/>
        </w:rPr>
        <w:t xml:space="preserve">zbrinjavanju oboljelih s </w:t>
      </w:r>
      <w:r w:rsidRPr="004109A2">
        <w:rPr>
          <w:rFonts w:ascii="Tahoma" w:hAnsi="Tahoma"/>
          <w:sz w:val="18"/>
        </w:rPr>
        <w:t>tuberkuloz</w:t>
      </w:r>
      <w:r w:rsidR="008C0AAF">
        <w:rPr>
          <w:rFonts w:ascii="Tahoma" w:hAnsi="Tahoma"/>
          <w:sz w:val="18"/>
        </w:rPr>
        <w:t>om</w:t>
      </w:r>
      <w:r w:rsidRPr="004109A2">
        <w:rPr>
          <w:rFonts w:ascii="Tahoma" w:hAnsi="Tahoma"/>
          <w:sz w:val="18"/>
        </w:rPr>
        <w:t xml:space="preserve"> u Europskoj uniji / Europskom gospodarskom prostoru (EU/EGP). </w:t>
      </w:r>
    </w:p>
    <w:p w14:paraId="73B750B7" w14:textId="28155D9A" w:rsidR="008745B1" w:rsidRPr="004109A2" w:rsidRDefault="0052485E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Tim se standardima </w:t>
      </w:r>
      <w:r w:rsidR="008C0AAF">
        <w:rPr>
          <w:rFonts w:ascii="Tahoma" w:hAnsi="Tahoma"/>
          <w:sz w:val="18"/>
        </w:rPr>
        <w:t xml:space="preserve">javnozdravstvenim </w:t>
      </w:r>
      <w:r w:rsidRPr="004109A2">
        <w:rPr>
          <w:rFonts w:ascii="Tahoma" w:hAnsi="Tahoma"/>
          <w:sz w:val="18"/>
        </w:rPr>
        <w:t>stručnjacima, kliničarima i programima zdravstvene zaštite nastoji pružiti strukturirani niz standarda utemeljenih na dokazima u kojima su opisani minimalni zahtjevi za jamčenje najboljeg liječenja, spr</w:t>
      </w:r>
      <w:r w:rsidR="00DF75B9">
        <w:rPr>
          <w:rFonts w:ascii="Tahoma" w:hAnsi="Tahoma"/>
          <w:sz w:val="18"/>
        </w:rPr>
        <w:t>j</w:t>
      </w:r>
      <w:r w:rsidRPr="004109A2">
        <w:rPr>
          <w:rFonts w:ascii="Tahoma" w:hAnsi="Tahoma"/>
          <w:sz w:val="18"/>
        </w:rPr>
        <w:t>ečavanja i kontrole tuberkuloze.</w:t>
      </w:r>
    </w:p>
    <w:p w14:paraId="5AA076D6" w14:textId="77777777" w:rsidR="008745B1" w:rsidRPr="004109A2" w:rsidRDefault="0052485E" w:rsidP="000D0DB0">
      <w:pPr>
        <w:pStyle w:val="EC-Title-5"/>
        <w:spacing w:before="120"/>
        <w:rPr>
          <w:b w:val="0"/>
        </w:rPr>
      </w:pPr>
      <w:r w:rsidRPr="004109A2">
        <w:t>Više informacija</w:t>
      </w:r>
    </w:p>
    <w:p w14:paraId="58FBE168" w14:textId="7AFC12E0" w:rsidR="008745B1" w:rsidRPr="004109A2" w:rsidRDefault="0052485E" w:rsidP="000D0DB0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lastRenderedPageBreak/>
        <w:t xml:space="preserve">ECDC </w:t>
      </w:r>
      <w:r w:rsidR="00DF75B9" w:rsidRPr="004109A2">
        <w:rPr>
          <w:rFonts w:ascii="Tahoma" w:hAnsi="Tahoma"/>
          <w:sz w:val="18"/>
        </w:rPr>
        <w:t>je</w:t>
      </w:r>
      <w:r w:rsidR="00DF75B9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agencija EU-a kojoj je povjereno utvrđivanje i procjenjivanje prijetnji koje zarazne bolesti predstavljaju za zdravlje ljudi, kao i obavješćivanje o njima. ECDC pruža potporu radu </w:t>
      </w:r>
      <w:r w:rsidR="008C0AAF" w:rsidRPr="004109A2">
        <w:rPr>
          <w:rFonts w:ascii="Tahoma" w:hAnsi="Tahoma"/>
          <w:sz w:val="18"/>
        </w:rPr>
        <w:t xml:space="preserve">nadležnih </w:t>
      </w:r>
      <w:r w:rsidR="008C0AAF">
        <w:rPr>
          <w:rFonts w:ascii="Tahoma" w:hAnsi="Tahoma"/>
          <w:sz w:val="18"/>
        </w:rPr>
        <w:t xml:space="preserve">javnozdravstvenih </w:t>
      </w:r>
      <w:r w:rsidRPr="004109A2">
        <w:rPr>
          <w:rFonts w:ascii="Tahoma" w:hAnsi="Tahoma"/>
          <w:sz w:val="18"/>
        </w:rPr>
        <w:t>tijela u državama članicama EU-a/EGP-a.</w:t>
      </w:r>
    </w:p>
    <w:p w14:paraId="520341AD" w14:textId="77777777" w:rsidR="008745B1" w:rsidRPr="004109A2" w:rsidRDefault="00B00B12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hyperlink r:id="rId8" w:history="1">
        <w:r w:rsidR="0081147A" w:rsidRPr="004109A2">
          <w:rPr>
            <w:rStyle w:val="Hyperlink"/>
            <w:rFonts w:ascii="Tahoma" w:hAnsi="Tahoma"/>
            <w:sz w:val="18"/>
          </w:rPr>
          <w:t>www.ecdc.europa.eu/en/tuberculosis</w:t>
        </w:r>
      </w:hyperlink>
    </w:p>
    <w:p w14:paraId="61FB5D17" w14:textId="77777777" w:rsidR="008745B1" w:rsidRPr="004109A2" w:rsidRDefault="0052485E" w:rsidP="000D0DB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>ERS vodeća je profesionalna organizacija u svojemu području u Europi. Ima više od 30 000 članova u više od 160 zemalja. Istraživanjem, širenjem znanja te medicinskim i javnim edukacijama ERS nastoji ublažiti patnje nastale zbog bolesti dišnog sustava i promicati zdravlje pluća.</w:t>
      </w:r>
    </w:p>
    <w:p w14:paraId="032F33FE" w14:textId="77777777" w:rsidR="008745B1" w:rsidRPr="004109A2" w:rsidRDefault="00B00B12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hyperlink r:id="rId9" w:history="1">
        <w:r w:rsidR="0081147A" w:rsidRPr="004109A2">
          <w:rPr>
            <w:rStyle w:val="Hyperlink"/>
            <w:rFonts w:ascii="Tahoma" w:hAnsi="Tahoma"/>
            <w:sz w:val="18"/>
          </w:rPr>
          <w:t>www.ersnet.org</w:t>
        </w:r>
      </w:hyperlink>
    </w:p>
    <w:p w14:paraId="44EA5BAF" w14:textId="77777777" w:rsidR="008745B1" w:rsidRPr="004109A2" w:rsidRDefault="0052485E" w:rsidP="008745B1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Cjelokupno ažuriranje ESTC-a objavljeno je u časopisu </w:t>
      </w:r>
      <w:r w:rsidRPr="004109A2">
        <w:rPr>
          <w:rFonts w:ascii="Tahoma" w:hAnsi="Tahoma"/>
          <w:i/>
          <w:sz w:val="18"/>
        </w:rPr>
        <w:t>European Respiratory Journal (ERJ)</w:t>
      </w:r>
      <w:r w:rsidRPr="004109A2">
        <w:rPr>
          <w:rFonts w:ascii="Tahoma" w:hAnsi="Tahoma"/>
          <w:sz w:val="18"/>
        </w:rPr>
        <w:t xml:space="preserve"> u svibnju 2018. godine (DOI: 10.1183/13993003.02678-2017)</w:t>
      </w:r>
    </w:p>
    <w:p w14:paraId="6DCC1C32" w14:textId="77777777" w:rsidR="00792C6D" w:rsidRPr="004109A2" w:rsidRDefault="0052485E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109A2">
        <w:br w:type="page"/>
      </w:r>
    </w:p>
    <w:p w14:paraId="4A628FEB" w14:textId="77777777" w:rsidR="00CC0F38" w:rsidRPr="004109A2" w:rsidRDefault="0052485E" w:rsidP="0028467E">
      <w:pPr>
        <w:pStyle w:val="EC-Title-5"/>
        <w:spacing w:after="240"/>
      </w:pPr>
      <w:r w:rsidRPr="004109A2">
        <w:t>Standardi za dijagnozu tuberkuloze</w:t>
      </w:r>
    </w:p>
    <w:p w14:paraId="4237F79F" w14:textId="77777777" w:rsidR="00DA3A70" w:rsidRPr="004109A2" w:rsidRDefault="0052485E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4109A2">
        <w:rPr>
          <w:rFonts w:ascii="Tahoma" w:hAnsi="Tahoma"/>
          <w:b/>
          <w:sz w:val="24"/>
        </w:rPr>
        <w:t>1. standard</w:t>
      </w:r>
    </w:p>
    <w:p w14:paraId="78237303" w14:textId="336D156F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Sve osobe sa znakovima, simptomima, poviješću ili čimbenicima rizika koji odgovaraju tuberkulozi treba </w:t>
      </w:r>
      <w:r w:rsidR="007D724D">
        <w:rPr>
          <w:rFonts w:ascii="Tahoma" w:hAnsi="Tahoma"/>
          <w:sz w:val="18"/>
        </w:rPr>
        <w:t>obraditi</w:t>
      </w:r>
      <w:r w:rsidRPr="004109A2">
        <w:rPr>
          <w:rFonts w:ascii="Tahoma" w:hAnsi="Tahoma"/>
          <w:sz w:val="18"/>
        </w:rPr>
        <w:t xml:space="preserve"> </w:t>
      </w:r>
      <w:r w:rsidR="007D724D" w:rsidRPr="004109A2">
        <w:rPr>
          <w:rFonts w:ascii="Tahoma" w:hAnsi="Tahoma"/>
          <w:sz w:val="18"/>
        </w:rPr>
        <w:t>pod</w:t>
      </w:r>
      <w:r w:rsidR="008970C1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sumnjom na plućnu i/ili izvanplućnu tuberkulozu.</w:t>
      </w:r>
    </w:p>
    <w:p w14:paraId="03003BA5" w14:textId="77777777" w:rsidR="00DA3A70" w:rsidRPr="004109A2" w:rsidRDefault="0052485E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4109A2">
        <w:rPr>
          <w:rFonts w:ascii="Tahoma" w:hAnsi="Tahoma"/>
          <w:b/>
          <w:sz w:val="24"/>
        </w:rPr>
        <w:t>2. standard</w:t>
      </w:r>
    </w:p>
    <w:p w14:paraId="3AFCDEAA" w14:textId="46E08294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Svi bolesnici (odrasli, adolescenti i djeca </w:t>
      </w:r>
      <w:r w:rsidR="004E5168" w:rsidRPr="004109A2">
        <w:rPr>
          <w:rFonts w:ascii="Tahoma" w:hAnsi="Tahoma"/>
          <w:sz w:val="18"/>
        </w:rPr>
        <w:t>koj</w:t>
      </w:r>
      <w:r w:rsidR="004E5168">
        <w:rPr>
          <w:rFonts w:ascii="Tahoma" w:hAnsi="Tahoma"/>
          <w:sz w:val="18"/>
        </w:rPr>
        <w:t>a</w:t>
      </w:r>
      <w:r w:rsidR="004E5168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mogu </w:t>
      </w:r>
      <w:r w:rsidR="00D856B6" w:rsidRPr="002F6C23">
        <w:rPr>
          <w:rFonts w:ascii="Tahoma" w:hAnsi="Tahoma"/>
          <w:sz w:val="18"/>
        </w:rPr>
        <w:t>dati</w:t>
      </w:r>
      <w:r w:rsidR="00D856B6" w:rsidRPr="008970C1">
        <w:rPr>
          <w:rFonts w:ascii="Tahoma" w:hAnsi="Tahoma"/>
          <w:sz w:val="18"/>
        </w:rPr>
        <w:t xml:space="preserve"> </w:t>
      </w:r>
      <w:r w:rsidRPr="008970C1">
        <w:rPr>
          <w:rFonts w:ascii="Tahoma" w:hAnsi="Tahoma"/>
          <w:sz w:val="18"/>
        </w:rPr>
        <w:t>sputum</w:t>
      </w:r>
      <w:r w:rsidRPr="004109A2">
        <w:rPr>
          <w:rFonts w:ascii="Tahoma" w:hAnsi="Tahoma"/>
          <w:sz w:val="18"/>
        </w:rPr>
        <w:t xml:space="preserve">) kod kojih se sumnja na plućnu tuberkulozu trebaju predati najmanje dva uzorka sputuma na mikroskopsku analizu te jedan za brzo testiranje radi utvrđivanja tuberkuloze i otpornosti na lijekove pomoću (brzog) molekularnog testa </w:t>
      </w:r>
      <w:r w:rsidR="004E5168">
        <w:rPr>
          <w:rFonts w:ascii="Tahoma" w:hAnsi="Tahoma"/>
          <w:sz w:val="18"/>
        </w:rPr>
        <w:t>sukladno</w:t>
      </w:r>
      <w:r w:rsidRPr="004109A2">
        <w:rPr>
          <w:rFonts w:ascii="Tahoma" w:hAnsi="Tahoma"/>
          <w:sz w:val="18"/>
        </w:rPr>
        <w:t xml:space="preserve"> </w:t>
      </w:r>
      <w:r w:rsidR="004E5168" w:rsidRPr="004109A2">
        <w:rPr>
          <w:rFonts w:ascii="Tahoma" w:hAnsi="Tahoma"/>
          <w:sz w:val="18"/>
        </w:rPr>
        <w:t>međunarodn</w:t>
      </w:r>
      <w:r w:rsidR="004E5168">
        <w:rPr>
          <w:rFonts w:ascii="Tahoma" w:hAnsi="Tahoma"/>
          <w:sz w:val="18"/>
        </w:rPr>
        <w:t>im preporukama</w:t>
      </w:r>
      <w:r w:rsidRPr="004109A2">
        <w:rPr>
          <w:rFonts w:ascii="Tahoma" w:hAnsi="Tahoma"/>
          <w:sz w:val="18"/>
        </w:rPr>
        <w:t xml:space="preserve">. Potrebno je napraviti provjeru kulture na tekućoj podlozi i, ako je nalaz pozitivan, u </w:t>
      </w:r>
      <w:r w:rsidR="008970C1">
        <w:rPr>
          <w:rFonts w:ascii="Tahoma" w:hAnsi="Tahoma"/>
          <w:sz w:val="18"/>
        </w:rPr>
        <w:t xml:space="preserve">akreditiranom </w:t>
      </w:r>
      <w:r w:rsidRPr="004109A2">
        <w:rPr>
          <w:rFonts w:ascii="Tahoma" w:hAnsi="Tahoma"/>
          <w:sz w:val="18"/>
        </w:rPr>
        <w:t xml:space="preserve">laboratoriju testirati osjetljivost na </w:t>
      </w:r>
      <w:r w:rsidR="00DF75B9">
        <w:rPr>
          <w:rFonts w:ascii="Tahoma" w:hAnsi="Tahoma"/>
          <w:sz w:val="18"/>
        </w:rPr>
        <w:t xml:space="preserve">antituberkulozne </w:t>
      </w:r>
      <w:r w:rsidRPr="004109A2">
        <w:rPr>
          <w:rFonts w:ascii="Tahoma" w:hAnsi="Tahoma"/>
          <w:sz w:val="18"/>
        </w:rPr>
        <w:t>lijekove</w:t>
      </w:r>
      <w:r w:rsidR="00CA57FC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na temelju kulture. Ako je moguće, treba</w:t>
      </w:r>
      <w:r w:rsidR="00740B81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uzeti barem jedan ranojutarnji uzorak. Može se koristiti i </w:t>
      </w:r>
      <w:r w:rsidR="008970C1" w:rsidRPr="004109A2">
        <w:rPr>
          <w:rFonts w:ascii="Tahoma" w:hAnsi="Tahoma"/>
          <w:sz w:val="18"/>
        </w:rPr>
        <w:t>radiografij</w:t>
      </w:r>
      <w:r w:rsidR="008970C1">
        <w:rPr>
          <w:rFonts w:ascii="Tahoma" w:hAnsi="Tahoma"/>
          <w:sz w:val="18"/>
        </w:rPr>
        <w:t>a</w:t>
      </w:r>
      <w:r w:rsidR="008970C1" w:rsidRPr="004109A2">
        <w:rPr>
          <w:rFonts w:ascii="Tahoma" w:hAnsi="Tahoma"/>
          <w:sz w:val="18"/>
        </w:rPr>
        <w:t xml:space="preserve"> </w:t>
      </w:r>
      <w:r w:rsidR="00740B81">
        <w:rPr>
          <w:rFonts w:ascii="Tahoma" w:hAnsi="Tahoma"/>
          <w:sz w:val="18"/>
        </w:rPr>
        <w:t>prsnog koša</w:t>
      </w:r>
      <w:r w:rsidRPr="004109A2">
        <w:rPr>
          <w:rFonts w:ascii="Tahoma" w:hAnsi="Tahoma"/>
          <w:sz w:val="18"/>
        </w:rPr>
        <w:t>.</w:t>
      </w:r>
    </w:p>
    <w:p w14:paraId="11F702AB" w14:textId="77777777" w:rsidR="00DA3A70" w:rsidRPr="004109A2" w:rsidRDefault="0052485E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4109A2">
        <w:rPr>
          <w:rFonts w:ascii="Tahoma" w:hAnsi="Tahoma"/>
          <w:b/>
          <w:sz w:val="24"/>
        </w:rPr>
        <w:t>3. standard</w:t>
      </w:r>
    </w:p>
    <w:p w14:paraId="4C2E1B9C" w14:textId="36A74020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Svim bolesnicima (odrasli, adolescenti i djeca) kod kojih se sumnja na izvanplućnu tuberkulozu treba uzeti </w:t>
      </w:r>
      <w:r w:rsidR="00740B81" w:rsidRPr="004109A2">
        <w:rPr>
          <w:rFonts w:ascii="Tahoma" w:hAnsi="Tahoma"/>
          <w:sz w:val="18"/>
        </w:rPr>
        <w:t>odgovarajuć</w:t>
      </w:r>
      <w:r w:rsidR="00740B81">
        <w:rPr>
          <w:rFonts w:ascii="Tahoma" w:hAnsi="Tahoma"/>
          <w:sz w:val="18"/>
        </w:rPr>
        <w:t>e</w:t>
      </w:r>
      <w:r w:rsidR="00740B81" w:rsidRPr="004109A2">
        <w:rPr>
          <w:rFonts w:ascii="Tahoma" w:hAnsi="Tahoma"/>
          <w:sz w:val="18"/>
        </w:rPr>
        <w:t xml:space="preserve"> uzor</w:t>
      </w:r>
      <w:r w:rsidR="00740B81">
        <w:rPr>
          <w:rFonts w:ascii="Tahoma" w:hAnsi="Tahoma"/>
          <w:sz w:val="18"/>
        </w:rPr>
        <w:t>ke</w:t>
      </w:r>
      <w:r w:rsidR="00740B81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iz sumnjivih sijela radi mikrobiološkog testiranja (mikroskopija, brzi molekularni testovi, </w:t>
      </w:r>
      <w:r w:rsidR="00AF5DD4" w:rsidRPr="004109A2">
        <w:rPr>
          <w:rFonts w:ascii="Tahoma" w:hAnsi="Tahoma"/>
          <w:sz w:val="18"/>
        </w:rPr>
        <w:t>kult</w:t>
      </w:r>
      <w:r w:rsidR="00AF5DD4">
        <w:rPr>
          <w:rFonts w:ascii="Tahoma" w:hAnsi="Tahoma"/>
          <w:sz w:val="18"/>
        </w:rPr>
        <w:t>ivacija</w:t>
      </w:r>
      <w:r w:rsidRPr="004109A2">
        <w:rPr>
          <w:rFonts w:ascii="Tahoma" w:hAnsi="Tahoma"/>
          <w:sz w:val="18"/>
        </w:rPr>
        <w:t xml:space="preserve">, </w:t>
      </w:r>
      <w:r w:rsidR="008970C1">
        <w:rPr>
          <w:rFonts w:ascii="Tahoma" w:hAnsi="Tahoma"/>
          <w:sz w:val="18"/>
        </w:rPr>
        <w:t xml:space="preserve">izolacija </w:t>
      </w:r>
      <w:r w:rsidR="00AF5DD4">
        <w:rPr>
          <w:rFonts w:ascii="Tahoma" w:hAnsi="Tahoma"/>
          <w:sz w:val="18"/>
        </w:rPr>
        <w:t>uzročnika</w:t>
      </w:r>
      <w:r w:rsidRPr="004109A2">
        <w:rPr>
          <w:rFonts w:ascii="Tahoma" w:hAnsi="Tahoma"/>
          <w:sz w:val="18"/>
        </w:rPr>
        <w:t xml:space="preserve">, testiranje osjetljivosti na lijekove pomoću brzih molekularnih testova i tehnika utemeljenih na kulturama) i </w:t>
      </w:r>
      <w:r w:rsidR="00740B81">
        <w:rPr>
          <w:rFonts w:ascii="Tahoma" w:hAnsi="Tahoma"/>
          <w:sz w:val="18"/>
        </w:rPr>
        <w:t>pato</w:t>
      </w:r>
      <w:r w:rsidRPr="004109A2">
        <w:rPr>
          <w:rFonts w:ascii="Tahoma" w:hAnsi="Tahoma"/>
          <w:sz w:val="18"/>
        </w:rPr>
        <w:t xml:space="preserve">histološkog ispitivanja u </w:t>
      </w:r>
      <w:r w:rsidR="00AF5DD4">
        <w:rPr>
          <w:rFonts w:ascii="Tahoma" w:hAnsi="Tahoma"/>
          <w:sz w:val="18"/>
        </w:rPr>
        <w:t xml:space="preserve">akreditiranim </w:t>
      </w:r>
      <w:r w:rsidRPr="004109A2">
        <w:rPr>
          <w:rFonts w:ascii="Tahoma" w:hAnsi="Tahoma"/>
          <w:sz w:val="18"/>
        </w:rPr>
        <w:t xml:space="preserve">laboratorijima. </w:t>
      </w:r>
    </w:p>
    <w:p w14:paraId="1FE60012" w14:textId="77777777" w:rsidR="00CC0F38" w:rsidRPr="004109A2" w:rsidRDefault="0052485E" w:rsidP="00CC0F38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4109A2">
        <w:rPr>
          <w:rFonts w:ascii="Tahoma" w:hAnsi="Tahoma"/>
          <w:b/>
          <w:sz w:val="24"/>
        </w:rPr>
        <w:t>4. standard</w:t>
      </w:r>
    </w:p>
    <w:p w14:paraId="559D888E" w14:textId="16B34C8F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Sve osobe kod kojih radiografski nalazi </w:t>
      </w:r>
      <w:r w:rsidR="00740B81">
        <w:rPr>
          <w:rFonts w:ascii="Tahoma" w:hAnsi="Tahoma"/>
          <w:sz w:val="18"/>
        </w:rPr>
        <w:t xml:space="preserve">prsnog koša </w:t>
      </w:r>
      <w:r w:rsidRPr="004109A2">
        <w:rPr>
          <w:rFonts w:ascii="Tahoma" w:hAnsi="Tahoma"/>
          <w:sz w:val="18"/>
        </w:rPr>
        <w:t xml:space="preserve">upućuju na plućnu tuberkulozu trebaju predati uzorak sputuma radi mikroskopskog pregleda, provođenja brzih molekularnih testova, </w:t>
      </w:r>
      <w:r w:rsidR="00AF5DD4" w:rsidRPr="004109A2">
        <w:rPr>
          <w:rFonts w:ascii="Tahoma" w:hAnsi="Tahoma"/>
          <w:sz w:val="18"/>
        </w:rPr>
        <w:t>kult</w:t>
      </w:r>
      <w:r w:rsidR="00AF5DD4">
        <w:rPr>
          <w:rFonts w:ascii="Tahoma" w:hAnsi="Tahoma"/>
          <w:sz w:val="18"/>
        </w:rPr>
        <w:t>ivacije</w:t>
      </w:r>
      <w:r w:rsidRPr="004109A2">
        <w:rPr>
          <w:rFonts w:ascii="Tahoma" w:hAnsi="Tahoma"/>
          <w:sz w:val="18"/>
        </w:rPr>
        <w:t xml:space="preserve">, </w:t>
      </w:r>
      <w:r w:rsidR="006E56E3">
        <w:rPr>
          <w:rFonts w:ascii="Tahoma" w:hAnsi="Tahoma"/>
          <w:sz w:val="18"/>
        </w:rPr>
        <w:t>izolacije</w:t>
      </w:r>
      <w:r w:rsidR="00AF5DD4">
        <w:rPr>
          <w:rFonts w:ascii="Tahoma" w:hAnsi="Tahoma"/>
          <w:sz w:val="18"/>
        </w:rPr>
        <w:t xml:space="preserve"> uzročnika</w:t>
      </w:r>
      <w:r w:rsidRPr="004109A2">
        <w:rPr>
          <w:rFonts w:ascii="Tahoma" w:hAnsi="Tahoma"/>
          <w:sz w:val="18"/>
        </w:rPr>
        <w:t xml:space="preserve"> i testiranja osjetljivosti na lijekove pomoću brzih molekularnih testova i tehnika utemeljenih na kulturama u </w:t>
      </w:r>
      <w:r w:rsidR="00AF5DD4">
        <w:rPr>
          <w:rFonts w:ascii="Tahoma" w:hAnsi="Tahoma"/>
          <w:sz w:val="18"/>
        </w:rPr>
        <w:t xml:space="preserve">akreditiranim </w:t>
      </w:r>
      <w:r w:rsidRPr="004109A2">
        <w:rPr>
          <w:rFonts w:ascii="Tahoma" w:hAnsi="Tahoma"/>
          <w:sz w:val="18"/>
        </w:rPr>
        <w:t>laboratorijima.</w:t>
      </w:r>
    </w:p>
    <w:p w14:paraId="178C9D82" w14:textId="77777777" w:rsidR="00DA3A70" w:rsidRPr="004109A2" w:rsidRDefault="0052485E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5. standard</w:t>
      </w:r>
    </w:p>
    <w:p w14:paraId="0883499D" w14:textId="1163A99E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Dijagnoza plućne tuberkuloze s </w:t>
      </w:r>
      <w:r w:rsidR="00AF5DD4" w:rsidRPr="004109A2">
        <w:rPr>
          <w:rFonts w:ascii="Tahoma" w:hAnsi="Tahoma"/>
          <w:sz w:val="18"/>
        </w:rPr>
        <w:t>negativn</w:t>
      </w:r>
      <w:r w:rsidR="00AF5DD4">
        <w:rPr>
          <w:rFonts w:ascii="Tahoma" w:hAnsi="Tahoma"/>
          <w:sz w:val="18"/>
        </w:rPr>
        <w:t>i</w:t>
      </w:r>
      <w:r w:rsidR="00AF5DD4" w:rsidRPr="004109A2">
        <w:rPr>
          <w:rFonts w:ascii="Tahoma" w:hAnsi="Tahoma"/>
          <w:sz w:val="18"/>
        </w:rPr>
        <w:t xml:space="preserve">m </w:t>
      </w:r>
      <w:r w:rsidR="00AF5DD4">
        <w:rPr>
          <w:rFonts w:ascii="Tahoma" w:hAnsi="Tahoma"/>
          <w:sz w:val="18"/>
        </w:rPr>
        <w:t xml:space="preserve">nalazom </w:t>
      </w:r>
      <w:r w:rsidR="00AF5DD4" w:rsidRPr="004109A2">
        <w:rPr>
          <w:rFonts w:ascii="Tahoma" w:hAnsi="Tahoma"/>
          <w:sz w:val="18"/>
        </w:rPr>
        <w:t>kultur</w:t>
      </w:r>
      <w:r w:rsidR="00AF5DD4">
        <w:rPr>
          <w:rFonts w:ascii="Tahoma" w:hAnsi="Tahoma"/>
          <w:sz w:val="18"/>
        </w:rPr>
        <w:t>e</w:t>
      </w:r>
      <w:r w:rsidR="00AF5DD4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treba se temeljiti na sljedećim kriterijima: svi su bakteriološki testovi negativni (uključujući </w:t>
      </w:r>
      <w:r w:rsidR="00AF5DD4">
        <w:rPr>
          <w:rFonts w:ascii="Tahoma" w:hAnsi="Tahoma"/>
          <w:sz w:val="18"/>
        </w:rPr>
        <w:t>direktnu mikroskopiju</w:t>
      </w:r>
      <w:r w:rsidRPr="004109A2">
        <w:rPr>
          <w:rFonts w:ascii="Tahoma" w:hAnsi="Tahoma"/>
          <w:sz w:val="18"/>
        </w:rPr>
        <w:t xml:space="preserve"> razmaza sputuma, </w:t>
      </w:r>
      <w:r w:rsidR="00AF5DD4" w:rsidRPr="004109A2">
        <w:rPr>
          <w:rFonts w:ascii="Tahoma" w:hAnsi="Tahoma"/>
          <w:sz w:val="18"/>
        </w:rPr>
        <w:t>kult</w:t>
      </w:r>
      <w:r w:rsidR="00AF5DD4">
        <w:rPr>
          <w:rFonts w:ascii="Tahoma" w:hAnsi="Tahoma"/>
          <w:sz w:val="18"/>
        </w:rPr>
        <w:t>ivaciju</w:t>
      </w:r>
      <w:r w:rsidR="00AF5DD4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 brzo molekularno testiranje), radiografski nalazi </w:t>
      </w:r>
      <w:r w:rsidR="00C65C59">
        <w:rPr>
          <w:rFonts w:ascii="Tahoma" w:hAnsi="Tahoma"/>
          <w:sz w:val="18"/>
        </w:rPr>
        <w:t>prsnog koša</w:t>
      </w:r>
      <w:r w:rsidR="00C65C59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odgovaraju tuberkulozi te izostaje odgovor na pokušaj liječenja antimikrobnim </w:t>
      </w:r>
      <w:r w:rsidR="00AF5DD4">
        <w:rPr>
          <w:rFonts w:ascii="Tahoma" w:hAnsi="Tahoma"/>
          <w:sz w:val="18"/>
        </w:rPr>
        <w:t>lijekovima</w:t>
      </w:r>
      <w:r w:rsidR="00AF5DD4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širokog spektra (napomena: treba izbjegavati upotrebu fluorokinolona </w:t>
      </w:r>
      <w:r w:rsidR="006E56E3">
        <w:rPr>
          <w:rFonts w:ascii="Tahoma" w:hAnsi="Tahoma"/>
          <w:sz w:val="18"/>
        </w:rPr>
        <w:t xml:space="preserve">jer </w:t>
      </w:r>
      <w:r w:rsidR="00C967F4" w:rsidRPr="00266EAE">
        <w:rPr>
          <w:rFonts w:ascii="Tahoma" w:hAnsi="Tahoma"/>
          <w:sz w:val="18"/>
        </w:rPr>
        <w:t xml:space="preserve">zbog </w:t>
      </w:r>
      <w:r w:rsidR="006E56E3" w:rsidRPr="00266EAE">
        <w:rPr>
          <w:rFonts w:ascii="Tahoma" w:hAnsi="Tahoma"/>
          <w:sz w:val="18"/>
        </w:rPr>
        <w:t>svojeg</w:t>
      </w:r>
      <w:r w:rsidR="00C967F4" w:rsidRPr="00266EAE">
        <w:rPr>
          <w:rFonts w:ascii="Tahoma" w:hAnsi="Tahoma"/>
          <w:sz w:val="18"/>
        </w:rPr>
        <w:t xml:space="preserve"> djelovanja </w:t>
      </w:r>
      <w:r w:rsidR="006E56E3" w:rsidRPr="00266EAE">
        <w:rPr>
          <w:rFonts w:ascii="Tahoma" w:hAnsi="Tahoma"/>
          <w:sz w:val="18"/>
        </w:rPr>
        <w:t>na</w:t>
      </w:r>
      <w:r w:rsidR="00C967F4" w:rsidRPr="00266EAE">
        <w:rPr>
          <w:rFonts w:ascii="Tahoma" w:hAnsi="Tahoma"/>
          <w:sz w:val="18"/>
        </w:rPr>
        <w:t xml:space="preserve"> kompleks</w:t>
      </w:r>
      <w:r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i/>
          <w:sz w:val="18"/>
        </w:rPr>
        <w:t>M. </w:t>
      </w:r>
      <w:r w:rsidR="00AA2B6F" w:rsidRPr="004109A2">
        <w:rPr>
          <w:rFonts w:ascii="Tahoma" w:hAnsi="Tahoma"/>
          <w:i/>
          <w:sz w:val="18"/>
        </w:rPr>
        <w:t>tuberc</w:t>
      </w:r>
      <w:r w:rsidR="00AA2B6F">
        <w:rPr>
          <w:rFonts w:ascii="Tahoma" w:hAnsi="Tahoma"/>
          <w:i/>
          <w:sz w:val="18"/>
        </w:rPr>
        <w:t>u</w:t>
      </w:r>
      <w:r w:rsidR="00AA2B6F" w:rsidRPr="004109A2">
        <w:rPr>
          <w:rFonts w:ascii="Tahoma" w:hAnsi="Tahoma"/>
          <w:i/>
          <w:sz w:val="18"/>
        </w:rPr>
        <w:t>losis</w:t>
      </w:r>
      <w:r w:rsidR="00AA2B6F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mogu prouzročiti privremeno poboljšanje u osoba koje boluju od tuberkuloze). </w:t>
      </w:r>
      <w:r w:rsidR="002C331F">
        <w:rPr>
          <w:rFonts w:ascii="Tahoma" w:hAnsi="Tahoma"/>
          <w:sz w:val="18"/>
        </w:rPr>
        <w:t>U</w:t>
      </w:r>
      <w:r w:rsidR="002C331F" w:rsidRPr="004109A2">
        <w:rPr>
          <w:rFonts w:ascii="Tahoma" w:hAnsi="Tahoma"/>
          <w:sz w:val="18"/>
        </w:rPr>
        <w:t xml:space="preserve"> teško oboljelih osoba ili osoba za koje se zna ili </w:t>
      </w:r>
      <w:r w:rsidR="00312CFB">
        <w:rPr>
          <w:rFonts w:ascii="Tahoma" w:hAnsi="Tahoma"/>
          <w:sz w:val="18"/>
        </w:rPr>
        <w:t xml:space="preserve">se </w:t>
      </w:r>
      <w:r w:rsidR="002C331F" w:rsidRPr="004109A2">
        <w:rPr>
          <w:rFonts w:ascii="Tahoma" w:hAnsi="Tahoma"/>
          <w:sz w:val="18"/>
        </w:rPr>
        <w:t xml:space="preserve">sumnja da su zaražene virusom humane imunodeficijencije (HIV) ili im je imunitet na bilo koji </w:t>
      </w:r>
      <w:r w:rsidR="002C331F">
        <w:rPr>
          <w:rFonts w:ascii="Tahoma" w:hAnsi="Tahoma"/>
          <w:sz w:val="18"/>
        </w:rPr>
        <w:t xml:space="preserve">drugi </w:t>
      </w:r>
      <w:r w:rsidR="002C331F" w:rsidRPr="004109A2">
        <w:rPr>
          <w:rFonts w:ascii="Tahoma" w:hAnsi="Tahoma"/>
          <w:sz w:val="18"/>
        </w:rPr>
        <w:t>način ugrožen</w:t>
      </w:r>
      <w:r w:rsidR="002C331F">
        <w:rPr>
          <w:rFonts w:ascii="Tahoma" w:hAnsi="Tahoma"/>
          <w:sz w:val="18"/>
        </w:rPr>
        <w:t>,</w:t>
      </w:r>
      <w:r w:rsidR="00740B81">
        <w:rPr>
          <w:rFonts w:ascii="Tahoma" w:hAnsi="Tahoma"/>
          <w:sz w:val="18"/>
        </w:rPr>
        <w:t xml:space="preserve"> </w:t>
      </w:r>
      <w:r w:rsidR="002C331F">
        <w:rPr>
          <w:rFonts w:ascii="Tahoma" w:hAnsi="Tahoma"/>
          <w:sz w:val="18"/>
        </w:rPr>
        <w:t>p</w:t>
      </w:r>
      <w:r w:rsidRPr="004109A2">
        <w:rPr>
          <w:rFonts w:ascii="Tahoma" w:hAnsi="Tahoma"/>
          <w:sz w:val="18"/>
        </w:rPr>
        <w:t xml:space="preserve">otrebno je ubrzati dijagnostičku procjenu, </w:t>
      </w:r>
      <w:r w:rsidR="002C331F">
        <w:rPr>
          <w:rFonts w:ascii="Tahoma" w:hAnsi="Tahoma"/>
          <w:sz w:val="18"/>
        </w:rPr>
        <w:t xml:space="preserve">te </w:t>
      </w:r>
      <w:r w:rsidRPr="004109A2">
        <w:rPr>
          <w:rFonts w:ascii="Tahoma" w:hAnsi="Tahoma"/>
          <w:sz w:val="18"/>
        </w:rPr>
        <w:t xml:space="preserve">ako klinički dokazi </w:t>
      </w:r>
      <w:r w:rsidR="002C331F">
        <w:rPr>
          <w:rFonts w:ascii="Tahoma" w:hAnsi="Tahoma"/>
          <w:sz w:val="18"/>
        </w:rPr>
        <w:t>snažno</w:t>
      </w:r>
      <w:r w:rsidR="002C331F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upućuju na tuberkulozu, započeti </w:t>
      </w:r>
      <w:r w:rsidR="002C331F">
        <w:rPr>
          <w:rFonts w:ascii="Tahoma" w:hAnsi="Tahoma"/>
          <w:sz w:val="18"/>
        </w:rPr>
        <w:t xml:space="preserve">antituberkulotsko </w:t>
      </w:r>
      <w:r w:rsidR="002C331F" w:rsidRPr="004109A2">
        <w:rPr>
          <w:rFonts w:ascii="Tahoma" w:hAnsi="Tahoma"/>
          <w:sz w:val="18"/>
        </w:rPr>
        <w:t>lije</w:t>
      </w:r>
      <w:r w:rsidR="002C331F">
        <w:rPr>
          <w:rFonts w:ascii="Tahoma" w:hAnsi="Tahoma"/>
          <w:sz w:val="18"/>
        </w:rPr>
        <w:t>čenje</w:t>
      </w:r>
      <w:r w:rsidRPr="004109A2">
        <w:rPr>
          <w:rFonts w:ascii="Tahoma" w:hAnsi="Tahoma"/>
          <w:sz w:val="18"/>
        </w:rPr>
        <w:t xml:space="preserve">. </w:t>
      </w:r>
    </w:p>
    <w:p w14:paraId="2FABC728" w14:textId="77777777" w:rsidR="00E23086" w:rsidRPr="004109A2" w:rsidRDefault="0052485E" w:rsidP="000D0DB0">
      <w:pPr>
        <w:pStyle w:val="EC-Title-6"/>
      </w:pPr>
      <w:r w:rsidRPr="004109A2">
        <w:t>Zahtjevi specifični za EU</w:t>
      </w:r>
    </w:p>
    <w:p w14:paraId="6C040911" w14:textId="6C38F71C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Kako bi se </w:t>
      </w:r>
      <w:r w:rsidR="00B7389A">
        <w:rPr>
          <w:rFonts w:ascii="Tahoma" w:hAnsi="Tahoma"/>
          <w:sz w:val="18"/>
        </w:rPr>
        <w:t>osigurala</w:t>
      </w:r>
      <w:r w:rsidR="00B7389A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kvalitetna </w:t>
      </w:r>
      <w:r w:rsidR="00AF5DD4" w:rsidRPr="004109A2">
        <w:rPr>
          <w:rFonts w:ascii="Tahoma" w:hAnsi="Tahoma"/>
          <w:sz w:val="18"/>
        </w:rPr>
        <w:t>dijagno</w:t>
      </w:r>
      <w:r w:rsidR="00AF5DD4">
        <w:rPr>
          <w:rFonts w:ascii="Tahoma" w:hAnsi="Tahoma"/>
          <w:sz w:val="18"/>
        </w:rPr>
        <w:t>stika</w:t>
      </w:r>
      <w:r w:rsidR="00AF5DD4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plućne i izvanplućne tuberkuloze, potrebno je uzeti odgovarajuće uzorke za bakteriološko ispitivanje. </w:t>
      </w:r>
      <w:r w:rsidR="00740B81">
        <w:rPr>
          <w:rFonts w:ascii="Tahoma" w:hAnsi="Tahoma"/>
          <w:sz w:val="18"/>
        </w:rPr>
        <w:t>Po potrebi treba napraviti i</w:t>
      </w:r>
      <w:r w:rsidR="00B7389A">
        <w:rPr>
          <w:rFonts w:ascii="Tahoma" w:hAnsi="Tahoma"/>
          <w:sz w:val="18"/>
        </w:rPr>
        <w:t>ndukciju</w:t>
      </w:r>
      <w:r w:rsidRPr="004109A2">
        <w:rPr>
          <w:rFonts w:ascii="Tahoma" w:hAnsi="Tahoma"/>
          <w:sz w:val="18"/>
        </w:rPr>
        <w:t xml:space="preserve"> sputuma, </w:t>
      </w:r>
      <w:r w:rsidR="00AF5DD4" w:rsidRPr="004109A2">
        <w:rPr>
          <w:rFonts w:ascii="Tahoma" w:hAnsi="Tahoma"/>
          <w:sz w:val="18"/>
        </w:rPr>
        <w:t>bronhoskopij</w:t>
      </w:r>
      <w:r w:rsidR="00AF5DD4">
        <w:rPr>
          <w:rFonts w:ascii="Tahoma" w:hAnsi="Tahoma"/>
          <w:sz w:val="18"/>
        </w:rPr>
        <w:t>u</w:t>
      </w:r>
      <w:r w:rsidR="00AF5DD4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 bronhoalveolarno ispiranje, ispiranje želuca, </w:t>
      </w:r>
      <w:r w:rsidR="00B13E55" w:rsidRPr="004109A2">
        <w:rPr>
          <w:rFonts w:ascii="Tahoma" w:hAnsi="Tahoma"/>
          <w:sz w:val="18"/>
        </w:rPr>
        <w:t>biopsij</w:t>
      </w:r>
      <w:r w:rsidR="00B13E55">
        <w:rPr>
          <w:rFonts w:ascii="Tahoma" w:hAnsi="Tahoma"/>
          <w:sz w:val="18"/>
        </w:rPr>
        <w:t>u</w:t>
      </w:r>
      <w:r w:rsidR="00B13E55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ili </w:t>
      </w:r>
      <w:r w:rsidR="00B13E55" w:rsidRPr="004109A2">
        <w:rPr>
          <w:rFonts w:ascii="Tahoma" w:hAnsi="Tahoma"/>
          <w:sz w:val="18"/>
        </w:rPr>
        <w:t>tankoiglen</w:t>
      </w:r>
      <w:r w:rsidR="00B13E55">
        <w:rPr>
          <w:rFonts w:ascii="Tahoma" w:hAnsi="Tahoma"/>
          <w:sz w:val="18"/>
        </w:rPr>
        <w:t>u</w:t>
      </w:r>
      <w:r w:rsidR="00B13E55" w:rsidRPr="004109A2">
        <w:rPr>
          <w:rFonts w:ascii="Tahoma" w:hAnsi="Tahoma"/>
          <w:sz w:val="18"/>
        </w:rPr>
        <w:t xml:space="preserve"> aspiracij</w:t>
      </w:r>
      <w:r w:rsidR="00B13E55">
        <w:rPr>
          <w:rFonts w:ascii="Tahoma" w:hAnsi="Tahoma"/>
          <w:sz w:val="18"/>
        </w:rPr>
        <w:t>u</w:t>
      </w:r>
      <w:r w:rsidRPr="004109A2">
        <w:rPr>
          <w:rFonts w:ascii="Tahoma" w:hAnsi="Tahoma"/>
          <w:sz w:val="18"/>
        </w:rPr>
        <w:t xml:space="preserve"> [1]. </w:t>
      </w:r>
      <w:r w:rsidR="00D447B0" w:rsidRPr="004109A2">
        <w:rPr>
          <w:rFonts w:ascii="Tahoma" w:hAnsi="Tahoma"/>
          <w:sz w:val="18"/>
        </w:rPr>
        <w:t>Uzor</w:t>
      </w:r>
      <w:r w:rsidR="00D447B0">
        <w:rPr>
          <w:rFonts w:ascii="Tahoma" w:hAnsi="Tahoma"/>
          <w:sz w:val="18"/>
        </w:rPr>
        <w:t>ke</w:t>
      </w:r>
      <w:r w:rsidR="00D447B0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treba obraditi pomoću dostupnih dijagnostičkih alata (2) i nadopuniti snimanjem (radiološko, ultrazvučno, kompjuterizirana tomografija, magnetska rezonancija, pozitronska emisijska tomografija – kompjuterizirana tomografija) i drugim potrebnim ispitivanjima koja se provode u skladu sa smjernicama utemeljenima na dokazima (2 – 4). </w:t>
      </w:r>
    </w:p>
    <w:p w14:paraId="71DCD293" w14:textId="78EB25F4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Brzo molekularno testiranje (5), </w:t>
      </w:r>
      <w:r w:rsidR="00341005" w:rsidRPr="004109A2">
        <w:rPr>
          <w:rFonts w:ascii="Tahoma" w:hAnsi="Tahoma"/>
          <w:sz w:val="18"/>
        </w:rPr>
        <w:t>kult</w:t>
      </w:r>
      <w:r w:rsidR="00341005">
        <w:rPr>
          <w:rFonts w:ascii="Tahoma" w:hAnsi="Tahoma"/>
          <w:sz w:val="18"/>
        </w:rPr>
        <w:t>ivacija</w:t>
      </w:r>
      <w:r w:rsidR="00341005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i testiranje osjetljivosti na lijekove</w:t>
      </w:r>
      <w:r w:rsidR="00EB713B">
        <w:rPr>
          <w:rFonts w:ascii="Tahoma" w:hAnsi="Tahoma"/>
          <w:sz w:val="18"/>
        </w:rPr>
        <w:t>, u skladu s preporukama</w:t>
      </w:r>
      <w:r w:rsidRPr="004109A2">
        <w:rPr>
          <w:rFonts w:ascii="Tahoma" w:hAnsi="Tahoma"/>
          <w:sz w:val="18"/>
        </w:rPr>
        <w:t xml:space="preserve"> SZO</w:t>
      </w:r>
      <w:r w:rsidR="00EB713B">
        <w:rPr>
          <w:rFonts w:ascii="Tahoma" w:hAnsi="Tahoma"/>
          <w:sz w:val="18"/>
        </w:rPr>
        <w:t>-a</w:t>
      </w:r>
      <w:r w:rsidR="00740B81">
        <w:rPr>
          <w:rFonts w:ascii="Tahoma" w:hAnsi="Tahoma"/>
          <w:sz w:val="18"/>
        </w:rPr>
        <w:t>,</w:t>
      </w:r>
      <w:r w:rsidRPr="004109A2">
        <w:rPr>
          <w:rFonts w:ascii="Tahoma" w:hAnsi="Tahoma"/>
          <w:sz w:val="18"/>
        </w:rPr>
        <w:t xml:space="preserve"> treba provoditi na svakom uzorku dobivenom od bolesnika kod kojih se sumnja na plućnu i izvanplućnu tuberkulozu, uključujući uzorke dobivene tijekom kirurških zahvata ili drugih invazivnih postupaka koji se uobičajeno šalju na </w:t>
      </w:r>
      <w:r w:rsidR="00341005">
        <w:rPr>
          <w:rFonts w:ascii="Tahoma" w:hAnsi="Tahoma"/>
          <w:sz w:val="18"/>
        </w:rPr>
        <w:t>pato</w:t>
      </w:r>
      <w:r w:rsidRPr="004109A2">
        <w:rPr>
          <w:rFonts w:ascii="Tahoma" w:hAnsi="Tahoma"/>
          <w:sz w:val="18"/>
        </w:rPr>
        <w:t>histološko ispitivanje. Kirurzima stoga treba savjetovati da biološke uzorke za mikrobiološka i molekularna ispitivanja čuvaju u običnoj fiziološkoj otopini, a biološke uzorke za histopatološka ispitivanja u formalinu.</w:t>
      </w:r>
    </w:p>
    <w:p w14:paraId="3F8745EB" w14:textId="77777777" w:rsidR="00DA3A70" w:rsidRPr="004109A2" w:rsidRDefault="0052485E" w:rsidP="008A39C9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4109A2">
        <w:rPr>
          <w:rFonts w:ascii="Tahoma" w:hAnsi="Tahoma"/>
          <w:b/>
          <w:sz w:val="24"/>
        </w:rPr>
        <w:t>6. standard</w:t>
      </w:r>
    </w:p>
    <w:p w14:paraId="43920D3B" w14:textId="66D4D38C" w:rsidR="00D830C5" w:rsidRPr="004109A2" w:rsidRDefault="0052485E" w:rsidP="000D0DB0">
      <w:pPr>
        <w:spacing w:after="120"/>
        <w:rPr>
          <w:rFonts w:ascii="Tahoma" w:hAnsi="Tahoma" w:cs="Tahoma"/>
          <w:spacing w:val="-4"/>
          <w:sz w:val="18"/>
          <w:szCs w:val="18"/>
        </w:rPr>
      </w:pPr>
      <w:r w:rsidRPr="004109A2">
        <w:rPr>
          <w:rFonts w:ascii="Tahoma" w:hAnsi="Tahoma"/>
          <w:spacing w:val="-4"/>
          <w:sz w:val="18"/>
        </w:rPr>
        <w:t xml:space="preserve">U sve djece kod koje se sumnja na intratorakalnu tuberkulozu (tj. plućnu, pleuralnu i medijastinalnu tuberkulozu ili tuberkulozu hilusnih limfnih čvorova) potrebna je bakteriološka potvrda koja se dobiva ispitivanjem odgovarajućih bioloških uzoraka (iskašljavanje ili induciranje sputuma, </w:t>
      </w:r>
      <w:r w:rsidR="00EB713B" w:rsidRPr="00EB713B">
        <w:rPr>
          <w:rFonts w:ascii="Tahoma" w:hAnsi="Tahoma"/>
          <w:spacing w:val="-4"/>
          <w:sz w:val="18"/>
        </w:rPr>
        <w:t>bronh</w:t>
      </w:r>
      <w:r w:rsidR="00EB713B">
        <w:rPr>
          <w:rFonts w:ascii="Tahoma" w:hAnsi="Tahoma"/>
          <w:spacing w:val="-4"/>
          <w:sz w:val="18"/>
        </w:rPr>
        <w:t>alni sekret</w:t>
      </w:r>
      <w:r w:rsidRPr="004109A2">
        <w:rPr>
          <w:rFonts w:ascii="Tahoma" w:hAnsi="Tahoma"/>
          <w:spacing w:val="-4"/>
          <w:sz w:val="18"/>
        </w:rPr>
        <w:t xml:space="preserve">, pleuralna tekućina, ispiranja želuca ili endoskopska biopsija pod kontrolom ultrazvuka) mikroskopijom razmaza, brzim molekularnim testovima, </w:t>
      </w:r>
      <w:r w:rsidR="00CC66F3">
        <w:rPr>
          <w:rFonts w:ascii="Tahoma" w:hAnsi="Tahoma"/>
          <w:spacing w:val="-4"/>
          <w:sz w:val="18"/>
        </w:rPr>
        <w:t>izolacijom uzročnika</w:t>
      </w:r>
      <w:r w:rsidRPr="004109A2">
        <w:rPr>
          <w:rFonts w:ascii="Tahoma" w:hAnsi="Tahoma"/>
          <w:spacing w:val="-4"/>
          <w:sz w:val="18"/>
        </w:rPr>
        <w:t xml:space="preserve"> i testiranjem osjetljivosti na lijekove u </w:t>
      </w:r>
      <w:r w:rsidR="00CC66F3">
        <w:rPr>
          <w:rFonts w:ascii="Tahoma" w:hAnsi="Tahoma"/>
          <w:spacing w:val="-4"/>
          <w:sz w:val="18"/>
        </w:rPr>
        <w:t xml:space="preserve">akreditiranim </w:t>
      </w:r>
      <w:r w:rsidRPr="004109A2">
        <w:rPr>
          <w:rFonts w:ascii="Tahoma" w:hAnsi="Tahoma"/>
          <w:spacing w:val="-4"/>
          <w:sz w:val="18"/>
        </w:rPr>
        <w:t>laboratorijima pomoću tehnika temeljenih na kulturama (3, 5 – 9). U slučaju negativnih bakterioloških rezultata</w:t>
      </w:r>
      <w:r w:rsidR="00CC66F3">
        <w:rPr>
          <w:rFonts w:ascii="Tahoma" w:hAnsi="Tahoma"/>
          <w:spacing w:val="-4"/>
          <w:sz w:val="18"/>
        </w:rPr>
        <w:t>,</w:t>
      </w:r>
      <w:r w:rsidRPr="004109A2">
        <w:rPr>
          <w:rFonts w:ascii="Tahoma" w:hAnsi="Tahoma"/>
          <w:spacing w:val="-4"/>
          <w:sz w:val="18"/>
        </w:rPr>
        <w:t xml:space="preserve"> </w:t>
      </w:r>
      <w:r w:rsidR="002B2477" w:rsidRPr="004109A2">
        <w:rPr>
          <w:rFonts w:ascii="Tahoma" w:hAnsi="Tahoma"/>
          <w:spacing w:val="-4"/>
          <w:sz w:val="18"/>
        </w:rPr>
        <w:t>dijagnoz</w:t>
      </w:r>
      <w:r w:rsidR="002B2477">
        <w:rPr>
          <w:rFonts w:ascii="Tahoma" w:hAnsi="Tahoma"/>
          <w:spacing w:val="-4"/>
          <w:sz w:val="18"/>
        </w:rPr>
        <w:t>u</w:t>
      </w:r>
      <w:r w:rsidR="002B2477" w:rsidRPr="004109A2">
        <w:rPr>
          <w:rFonts w:ascii="Tahoma" w:hAnsi="Tahoma"/>
          <w:spacing w:val="-4"/>
          <w:sz w:val="18"/>
        </w:rPr>
        <w:t xml:space="preserve"> </w:t>
      </w:r>
      <w:r w:rsidRPr="004109A2">
        <w:rPr>
          <w:rFonts w:ascii="Tahoma" w:hAnsi="Tahoma"/>
          <w:spacing w:val="-4"/>
          <w:sz w:val="18"/>
        </w:rPr>
        <w:t xml:space="preserve">tuberkuloze treba temeljiti na </w:t>
      </w:r>
      <w:r w:rsidR="00CC66F3">
        <w:rPr>
          <w:rFonts w:ascii="Tahoma" w:hAnsi="Tahoma"/>
          <w:spacing w:val="-4"/>
          <w:sz w:val="18"/>
        </w:rPr>
        <w:t xml:space="preserve">rendgenskom nalazu prsnog koša koji </w:t>
      </w:r>
      <w:r w:rsidR="00FA297F">
        <w:rPr>
          <w:rFonts w:ascii="Tahoma" w:hAnsi="Tahoma"/>
          <w:spacing w:val="-4"/>
          <w:sz w:val="18"/>
        </w:rPr>
        <w:t xml:space="preserve">upućuje </w:t>
      </w:r>
      <w:r w:rsidR="00CC66F3">
        <w:rPr>
          <w:rFonts w:ascii="Tahoma" w:hAnsi="Tahoma"/>
          <w:spacing w:val="-4"/>
          <w:sz w:val="18"/>
        </w:rPr>
        <w:t>na</w:t>
      </w:r>
      <w:r w:rsidR="00CC66F3" w:rsidRPr="004109A2">
        <w:rPr>
          <w:rFonts w:ascii="Tahoma" w:hAnsi="Tahoma"/>
          <w:spacing w:val="-4"/>
          <w:sz w:val="18"/>
        </w:rPr>
        <w:t xml:space="preserve"> tuberkuloz</w:t>
      </w:r>
      <w:r w:rsidR="00CC66F3">
        <w:rPr>
          <w:rFonts w:ascii="Tahoma" w:hAnsi="Tahoma"/>
          <w:spacing w:val="-4"/>
          <w:sz w:val="18"/>
        </w:rPr>
        <w:t xml:space="preserve">u </w:t>
      </w:r>
      <w:r w:rsidRPr="004109A2">
        <w:rPr>
          <w:rFonts w:ascii="Tahoma" w:hAnsi="Tahoma"/>
          <w:spacing w:val="-4"/>
          <w:sz w:val="18"/>
        </w:rPr>
        <w:t xml:space="preserve">ili drugim </w:t>
      </w:r>
      <w:r w:rsidR="00CC66F3">
        <w:rPr>
          <w:rFonts w:ascii="Tahoma" w:hAnsi="Tahoma"/>
          <w:spacing w:val="-4"/>
          <w:sz w:val="18"/>
        </w:rPr>
        <w:t>slikovnim prikazima</w:t>
      </w:r>
      <w:r w:rsidRPr="004109A2">
        <w:rPr>
          <w:rFonts w:ascii="Tahoma" w:hAnsi="Tahoma"/>
          <w:spacing w:val="-4"/>
          <w:sz w:val="18"/>
        </w:rPr>
        <w:t xml:space="preserve">, povijesti </w:t>
      </w:r>
      <w:r w:rsidR="005A002F">
        <w:rPr>
          <w:rFonts w:ascii="Tahoma" w:hAnsi="Tahoma"/>
          <w:spacing w:val="-4"/>
          <w:sz w:val="18"/>
        </w:rPr>
        <w:t>kontakta s tuberkuloznim bolesnikom kao izvorom zaraze</w:t>
      </w:r>
      <w:r w:rsidRPr="004109A2">
        <w:rPr>
          <w:rFonts w:ascii="Tahoma" w:hAnsi="Tahoma"/>
          <w:spacing w:val="-4"/>
          <w:sz w:val="18"/>
        </w:rPr>
        <w:t xml:space="preserve">, dokazima </w:t>
      </w:r>
      <w:r w:rsidR="005A002F">
        <w:rPr>
          <w:rFonts w:ascii="Tahoma" w:hAnsi="Tahoma"/>
          <w:spacing w:val="-4"/>
          <w:sz w:val="18"/>
        </w:rPr>
        <w:t>infekcije bacilom</w:t>
      </w:r>
      <w:r w:rsidR="005A002F" w:rsidRPr="004109A2">
        <w:rPr>
          <w:rFonts w:ascii="Tahoma" w:hAnsi="Tahoma"/>
          <w:spacing w:val="-4"/>
          <w:sz w:val="18"/>
        </w:rPr>
        <w:t xml:space="preserve"> tuberkuloz</w:t>
      </w:r>
      <w:r w:rsidR="005A002F">
        <w:rPr>
          <w:rFonts w:ascii="Tahoma" w:hAnsi="Tahoma"/>
          <w:spacing w:val="-4"/>
          <w:sz w:val="18"/>
        </w:rPr>
        <w:t>e</w:t>
      </w:r>
      <w:r w:rsidR="005A002F" w:rsidRPr="004109A2">
        <w:rPr>
          <w:rFonts w:ascii="Tahoma" w:hAnsi="Tahoma"/>
          <w:spacing w:val="-4"/>
          <w:sz w:val="18"/>
        </w:rPr>
        <w:t xml:space="preserve"> </w:t>
      </w:r>
      <w:r w:rsidRPr="004109A2">
        <w:rPr>
          <w:rFonts w:ascii="Tahoma" w:hAnsi="Tahoma"/>
          <w:spacing w:val="-4"/>
          <w:sz w:val="18"/>
        </w:rPr>
        <w:t>(pozitivan tuberkulinski kožni test (</w:t>
      </w:r>
      <w:r w:rsidR="00000B03">
        <w:rPr>
          <w:rFonts w:ascii="Tahoma" w:hAnsi="Tahoma"/>
          <w:spacing w:val="-4"/>
          <w:sz w:val="18"/>
        </w:rPr>
        <w:t>PPD</w:t>
      </w:r>
      <w:r w:rsidRPr="004109A2">
        <w:rPr>
          <w:rFonts w:ascii="Tahoma" w:hAnsi="Tahoma"/>
          <w:spacing w:val="-4"/>
          <w:sz w:val="18"/>
        </w:rPr>
        <w:t xml:space="preserve">) i/ili pozitivan test otpuštanja interferona gama (IGRA)) (5, 10 – 13) i/ili kliničkim nalazima koji upućuju na tuberkulozu (3). U djece kod koje se sumnja na izvanplućnu tuberkulozu treba uzeti odgovarajuće uzorke iz sumnjivih sijela radi ispitivanja mikroskopijom, preporučenih brzih molekularnih testova, </w:t>
      </w:r>
      <w:r w:rsidR="005A002F">
        <w:rPr>
          <w:rFonts w:ascii="Tahoma" w:hAnsi="Tahoma"/>
          <w:spacing w:val="-4"/>
          <w:sz w:val="18"/>
        </w:rPr>
        <w:t>izolacije uzročnika</w:t>
      </w:r>
      <w:r w:rsidRPr="004109A2">
        <w:rPr>
          <w:rFonts w:ascii="Tahoma" w:hAnsi="Tahoma"/>
          <w:spacing w:val="-4"/>
          <w:sz w:val="18"/>
        </w:rPr>
        <w:t xml:space="preserve"> i testiranja osjetljivosti na lijekove pomoću tehnika utemeljenih na kulturama te histopatološkog ispitivanja (5, 14, 15). </w:t>
      </w:r>
    </w:p>
    <w:p w14:paraId="55126780" w14:textId="77777777" w:rsidR="00D830C5" w:rsidRPr="004109A2" w:rsidRDefault="0052485E" w:rsidP="0028467E">
      <w:pPr>
        <w:pStyle w:val="EC-Title-5"/>
        <w:spacing w:before="120" w:after="240"/>
      </w:pPr>
      <w:r w:rsidRPr="004109A2">
        <w:t>Standardi za liječenje tuberkuloze</w:t>
      </w:r>
    </w:p>
    <w:p w14:paraId="3E1975E3" w14:textId="77777777" w:rsidR="00DA3A70" w:rsidRPr="004109A2" w:rsidRDefault="0052485E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4109A2">
        <w:rPr>
          <w:rFonts w:ascii="Tahoma" w:hAnsi="Tahoma"/>
          <w:b/>
          <w:sz w:val="24"/>
        </w:rPr>
        <w:t>7. standard</w:t>
      </w:r>
    </w:p>
    <w:p w14:paraId="71CC5DE1" w14:textId="25247DC9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Svaki liječnik koji liječi </w:t>
      </w:r>
      <w:r w:rsidR="002B2477" w:rsidRPr="004109A2">
        <w:rPr>
          <w:rFonts w:ascii="Tahoma" w:hAnsi="Tahoma"/>
          <w:sz w:val="18"/>
        </w:rPr>
        <w:t>tuberkuloz</w:t>
      </w:r>
      <w:r w:rsidR="002B2477">
        <w:rPr>
          <w:rFonts w:ascii="Tahoma" w:hAnsi="Tahoma"/>
          <w:sz w:val="18"/>
        </w:rPr>
        <w:t>nog</w:t>
      </w:r>
      <w:r w:rsidR="002B2477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bolesnika preuzima važnu javnozdravstvenu odgovornost za spr</w:t>
      </w:r>
      <w:r w:rsidR="00000B03">
        <w:rPr>
          <w:rFonts w:ascii="Tahoma" w:hAnsi="Tahoma"/>
          <w:sz w:val="18"/>
        </w:rPr>
        <w:t>j</w:t>
      </w:r>
      <w:r w:rsidRPr="004109A2">
        <w:rPr>
          <w:rFonts w:ascii="Tahoma" w:hAnsi="Tahoma"/>
          <w:sz w:val="18"/>
        </w:rPr>
        <w:t xml:space="preserve">ečavanje daljnjeg prijenosa </w:t>
      </w:r>
      <w:r w:rsidR="002B2477">
        <w:rPr>
          <w:rFonts w:ascii="Tahoma" w:hAnsi="Tahoma"/>
          <w:sz w:val="18"/>
        </w:rPr>
        <w:t>infekcije</w:t>
      </w:r>
      <w:r w:rsidR="002B2477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 razvijanja otpornosti na lijekove. Kako bi ispunio tu odgovornost, liječnik u suradnji s </w:t>
      </w:r>
      <w:r w:rsidR="002B2477" w:rsidRPr="004109A2">
        <w:rPr>
          <w:rFonts w:ascii="Tahoma" w:hAnsi="Tahoma"/>
          <w:sz w:val="18"/>
        </w:rPr>
        <w:t>nadležnim</w:t>
      </w:r>
      <w:r w:rsidR="002B2477">
        <w:rPr>
          <w:rFonts w:ascii="Tahoma" w:hAnsi="Tahoma"/>
          <w:sz w:val="18"/>
        </w:rPr>
        <w:t xml:space="preserve"> javnozdravstvenim </w:t>
      </w:r>
      <w:r w:rsidRPr="004109A2">
        <w:rPr>
          <w:rFonts w:ascii="Tahoma" w:hAnsi="Tahoma"/>
          <w:sz w:val="18"/>
        </w:rPr>
        <w:t xml:space="preserve">tijelima mora: 1) propisati odgovarajući režim </w:t>
      </w:r>
      <w:r w:rsidR="00000B03">
        <w:rPr>
          <w:rFonts w:ascii="Tahoma" w:hAnsi="Tahoma"/>
          <w:sz w:val="18"/>
        </w:rPr>
        <w:t xml:space="preserve">liječenja </w:t>
      </w:r>
      <w:r w:rsidRPr="004109A2">
        <w:rPr>
          <w:rFonts w:ascii="Tahoma" w:hAnsi="Tahoma"/>
          <w:sz w:val="18"/>
        </w:rPr>
        <w:t>(na temelju rezultata genotipskog i/ili fenotipskog testiranja otpornosti na lijekove); 2) provesti</w:t>
      </w:r>
      <w:r w:rsidR="002B2477">
        <w:rPr>
          <w:rFonts w:ascii="Tahoma" w:hAnsi="Tahoma"/>
          <w:sz w:val="18"/>
        </w:rPr>
        <w:t xml:space="preserve"> nadzor nad osobama koje su bile u kontaktu s tuberkuloznim bolesnikom</w:t>
      </w:r>
      <w:r w:rsidRPr="004109A2">
        <w:rPr>
          <w:rFonts w:ascii="Tahoma" w:hAnsi="Tahoma"/>
          <w:sz w:val="18"/>
        </w:rPr>
        <w:t>; 3) u suradnji s članovima obitelji, lokalnim javn</w:t>
      </w:r>
      <w:r w:rsidR="00000B03">
        <w:rPr>
          <w:rFonts w:ascii="Tahoma" w:hAnsi="Tahoma"/>
          <w:sz w:val="18"/>
        </w:rPr>
        <w:t>o</w:t>
      </w:r>
      <w:r w:rsidRPr="004109A2">
        <w:rPr>
          <w:rFonts w:ascii="Tahoma" w:hAnsi="Tahoma"/>
          <w:sz w:val="18"/>
        </w:rPr>
        <w:t xml:space="preserve">zdravstvenim službama i/ili zdravstvenim službama zajednice te organizacijama civilnog društva procijeniti i poticati bolesnika </w:t>
      </w:r>
      <w:r w:rsidR="002B2477">
        <w:rPr>
          <w:rFonts w:ascii="Tahoma" w:hAnsi="Tahoma"/>
          <w:sz w:val="18"/>
        </w:rPr>
        <w:t>na pridržavanje</w:t>
      </w:r>
      <w:r w:rsidRPr="004109A2">
        <w:rPr>
          <w:rFonts w:ascii="Tahoma" w:hAnsi="Tahoma"/>
          <w:sz w:val="18"/>
        </w:rPr>
        <w:t xml:space="preserve"> propisanog liječenja koristeći se pristupom usmjerenim na bolesnika i 4) pratiti ishode liječenja (2, 16, 17). </w:t>
      </w:r>
    </w:p>
    <w:p w14:paraId="483A6777" w14:textId="77777777" w:rsidR="00DA3A70" w:rsidRPr="004109A2" w:rsidRDefault="0052485E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8. standard</w:t>
      </w:r>
    </w:p>
    <w:p w14:paraId="03A01B46" w14:textId="5A4670CE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>Svi bolesnici (uključujući bolesnike istovremeno zaražene HIV-om) koji prethodno nisu bili liječeni i koji nisu otporni na lijekove (</w:t>
      </w:r>
      <w:r w:rsidR="00000B03">
        <w:rPr>
          <w:rFonts w:ascii="Tahoma" w:hAnsi="Tahoma"/>
          <w:sz w:val="18"/>
        </w:rPr>
        <w:t>utvrđeno</w:t>
      </w:r>
      <w:r w:rsidR="00000B03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odgovarajućim testovima) </w:t>
      </w:r>
      <w:r w:rsidR="00C967F4" w:rsidRPr="00B75BF9">
        <w:rPr>
          <w:rFonts w:ascii="Tahoma" w:hAnsi="Tahoma"/>
          <w:sz w:val="18"/>
        </w:rPr>
        <w:t>trebaju primati me</w:t>
      </w:r>
      <w:r w:rsidR="00C967F4" w:rsidRPr="00B75BF9">
        <w:rPr>
          <w:rFonts w:ascii="Tahoma" w:hAnsi="Tahoma" w:hint="eastAsia"/>
          <w:sz w:val="18"/>
        </w:rPr>
        <w:t>đ</w:t>
      </w:r>
      <w:r w:rsidR="00C967F4" w:rsidRPr="00B75BF9">
        <w:rPr>
          <w:rFonts w:ascii="Tahoma" w:hAnsi="Tahoma"/>
          <w:sz w:val="18"/>
        </w:rPr>
        <w:t>unarodno prihva</w:t>
      </w:r>
      <w:r w:rsidR="00C967F4" w:rsidRPr="00B75BF9">
        <w:rPr>
          <w:rFonts w:ascii="Tahoma" w:hAnsi="Tahoma" w:hint="eastAsia"/>
          <w:sz w:val="18"/>
        </w:rPr>
        <w:t>ć</w:t>
      </w:r>
      <w:r w:rsidR="00C967F4" w:rsidRPr="00B75BF9">
        <w:rPr>
          <w:rFonts w:ascii="Tahoma" w:hAnsi="Tahoma"/>
          <w:sz w:val="18"/>
        </w:rPr>
        <w:t xml:space="preserve">en režim </w:t>
      </w:r>
      <w:r w:rsidR="00B75BF9" w:rsidRPr="00B75BF9">
        <w:rPr>
          <w:rFonts w:ascii="Tahoma" w:hAnsi="Tahoma"/>
          <w:sz w:val="18"/>
        </w:rPr>
        <w:t>lije</w:t>
      </w:r>
      <w:r w:rsidR="00B75BF9" w:rsidRPr="00B75BF9">
        <w:rPr>
          <w:rFonts w:ascii="Tahoma" w:hAnsi="Tahoma" w:hint="eastAsia"/>
          <w:sz w:val="18"/>
        </w:rPr>
        <w:t>č</w:t>
      </w:r>
      <w:r w:rsidR="00B75BF9" w:rsidRPr="00B75BF9">
        <w:rPr>
          <w:rFonts w:ascii="Tahoma" w:hAnsi="Tahoma"/>
          <w:sz w:val="18"/>
        </w:rPr>
        <w:t xml:space="preserve">enja </w:t>
      </w:r>
      <w:r w:rsidR="00B75BF9">
        <w:rPr>
          <w:rFonts w:ascii="Tahoma" w:hAnsi="Tahoma"/>
          <w:sz w:val="18"/>
        </w:rPr>
        <w:t xml:space="preserve">antituberkuloticima </w:t>
      </w:r>
      <w:r w:rsidR="00C967F4" w:rsidRPr="00B75BF9">
        <w:rPr>
          <w:rFonts w:ascii="Tahoma" w:hAnsi="Tahoma"/>
          <w:sz w:val="18"/>
        </w:rPr>
        <w:t>prv</w:t>
      </w:r>
      <w:r w:rsidR="00B75BF9">
        <w:rPr>
          <w:rFonts w:ascii="Tahoma" w:hAnsi="Tahoma"/>
          <w:sz w:val="18"/>
        </w:rPr>
        <w:t>og reda</w:t>
      </w:r>
      <w:r w:rsidR="00C967F4" w:rsidRPr="00B75BF9">
        <w:rPr>
          <w:rFonts w:ascii="Tahoma" w:hAnsi="Tahoma"/>
          <w:sz w:val="18"/>
        </w:rPr>
        <w:t xml:space="preserve"> poznate bioraspoloživosti</w:t>
      </w:r>
      <w:r w:rsidRPr="004109A2">
        <w:rPr>
          <w:rFonts w:ascii="Tahoma" w:hAnsi="Tahoma"/>
          <w:sz w:val="18"/>
        </w:rPr>
        <w:t xml:space="preserve">. Početna faza </w:t>
      </w:r>
      <w:r w:rsidR="00000B03">
        <w:rPr>
          <w:rFonts w:ascii="Tahoma" w:hAnsi="Tahoma"/>
          <w:sz w:val="18"/>
        </w:rPr>
        <w:t xml:space="preserve">liječenja </w:t>
      </w:r>
      <w:r w:rsidRPr="004109A2">
        <w:rPr>
          <w:rFonts w:ascii="Tahoma" w:hAnsi="Tahoma"/>
          <w:sz w:val="18"/>
        </w:rPr>
        <w:t xml:space="preserve">treba se sastojati od dva mjeseca primjene izoniazida (H), rifampicina (R), pirazinamida (Z) i etambutola (E). Faza kontinuiranog liječenja treba se sastojati od izoniazida i rifampicina koji se primjenjuju tijekom četiri mjeseca (2HRZE/4HR). Doze </w:t>
      </w:r>
      <w:r w:rsidR="00B75BF9">
        <w:rPr>
          <w:rFonts w:ascii="Tahoma" w:hAnsi="Tahoma"/>
          <w:sz w:val="18"/>
        </w:rPr>
        <w:t xml:space="preserve">antituberkulotskih </w:t>
      </w:r>
      <w:r w:rsidRPr="004109A2">
        <w:rPr>
          <w:rFonts w:ascii="Tahoma" w:hAnsi="Tahoma"/>
          <w:sz w:val="18"/>
        </w:rPr>
        <w:t xml:space="preserve">lijekova koji se </w:t>
      </w:r>
      <w:r w:rsidR="00B75BF9">
        <w:rPr>
          <w:rFonts w:ascii="Tahoma" w:hAnsi="Tahoma"/>
          <w:sz w:val="18"/>
        </w:rPr>
        <w:t xml:space="preserve">primjenjuju </w:t>
      </w:r>
      <w:r w:rsidRPr="004109A2">
        <w:rPr>
          <w:rFonts w:ascii="Tahoma" w:hAnsi="Tahoma"/>
          <w:sz w:val="18"/>
        </w:rPr>
        <w:t>trebaju biti usklađene s međunarodnim preporukama. Kombinacije fiksnih doza dvaju (izoniazid i rifampicin)</w:t>
      </w:r>
      <w:r w:rsidR="00000B03">
        <w:rPr>
          <w:rFonts w:ascii="Tahoma" w:hAnsi="Tahoma"/>
          <w:sz w:val="18"/>
        </w:rPr>
        <w:t>,</w:t>
      </w:r>
      <w:r w:rsidRPr="004109A2">
        <w:rPr>
          <w:rFonts w:ascii="Tahoma" w:hAnsi="Tahoma"/>
          <w:sz w:val="18"/>
        </w:rPr>
        <w:t xml:space="preserve"> triju (izoniazid, rifampicin i pirazinamid) i četiriju (izoniazid, rifampicin, pirazinamid i etambutol) lijekova mogu se pokazati kao pogodniji oblici primjene lijekova. </w:t>
      </w:r>
    </w:p>
    <w:p w14:paraId="3042F425" w14:textId="77777777" w:rsidR="00DA3A70" w:rsidRPr="004109A2" w:rsidRDefault="0052485E" w:rsidP="00037B0F">
      <w:pPr>
        <w:keepNext/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4109A2">
        <w:rPr>
          <w:rFonts w:ascii="Tahoma" w:hAnsi="Tahoma"/>
          <w:b/>
          <w:sz w:val="24"/>
        </w:rPr>
        <w:t>9. standard</w:t>
      </w:r>
    </w:p>
    <w:p w14:paraId="139CED43" w14:textId="047E9E87" w:rsidR="00DA3A70" w:rsidRPr="004109A2" w:rsidRDefault="0052485E" w:rsidP="0028467E">
      <w:pPr>
        <w:spacing w:after="120"/>
        <w:rPr>
          <w:rFonts w:ascii="Tahoma" w:hAnsi="Tahoma" w:cs="Tahoma"/>
          <w:szCs w:val="24"/>
        </w:rPr>
      </w:pPr>
      <w:r w:rsidRPr="004109A2">
        <w:rPr>
          <w:rFonts w:ascii="Tahoma" w:hAnsi="Tahoma"/>
          <w:sz w:val="18"/>
        </w:rPr>
        <w:t xml:space="preserve">Svakom bolesniku treba </w:t>
      </w:r>
      <w:r w:rsidR="00FB63EA" w:rsidRPr="004109A2">
        <w:rPr>
          <w:rFonts w:ascii="Tahoma" w:hAnsi="Tahoma"/>
          <w:sz w:val="18"/>
        </w:rPr>
        <w:t>omoguć</w:t>
      </w:r>
      <w:r w:rsidR="00FB63EA">
        <w:rPr>
          <w:rFonts w:ascii="Tahoma" w:hAnsi="Tahoma"/>
          <w:sz w:val="18"/>
        </w:rPr>
        <w:t>iti</w:t>
      </w:r>
      <w:r w:rsidR="00FB63EA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pristup liječenju koje je usmjereno na bolesnika i koje se temelji na njegovim potrebama te </w:t>
      </w:r>
      <w:r w:rsidR="00FB63EA">
        <w:rPr>
          <w:rFonts w:ascii="Tahoma" w:hAnsi="Tahoma"/>
          <w:sz w:val="18"/>
        </w:rPr>
        <w:t xml:space="preserve">na </w:t>
      </w:r>
      <w:r w:rsidRPr="004109A2">
        <w:rPr>
          <w:rFonts w:ascii="Tahoma" w:hAnsi="Tahoma"/>
          <w:sz w:val="18"/>
        </w:rPr>
        <w:t>međusobnom poštovanju bolesnika i pružatelja skrbi.</w:t>
      </w:r>
    </w:p>
    <w:p w14:paraId="0646D133" w14:textId="77777777" w:rsidR="00DA3A70" w:rsidRPr="004109A2" w:rsidRDefault="0052485E" w:rsidP="00A82B43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109A2">
        <w:rPr>
          <w:rFonts w:ascii="Tahoma" w:hAnsi="Tahoma"/>
          <w:b/>
          <w:sz w:val="24"/>
        </w:rPr>
        <w:t>10. standard</w:t>
      </w:r>
    </w:p>
    <w:p w14:paraId="65D44B4C" w14:textId="0BCB5A51" w:rsidR="00DA3A70" w:rsidRPr="004109A2" w:rsidRDefault="0052485E" w:rsidP="000D0DB0">
      <w:pPr>
        <w:spacing w:after="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Odgovor na terapiju u bolesnika s plućnom tuberkulozom treba pratiti pomoću naknadne mikroskopije razmaza i kulture barem nakon završetka početne faze liječenja (dva mjeseca u slučaju tuberkuloze osjetljive na lijekove). Ako su razmaz sputuma i/ili kultura pozitivni nakon završetka početne faze, treba odmah obaviti molekularne i druge testove otpornosti na lijekove. U bolesnika s izvanplućnom tuberkulozom i u djece koja ne mogu proizvesti sputum </w:t>
      </w:r>
      <w:r w:rsidR="00C62C01" w:rsidRPr="004109A2">
        <w:rPr>
          <w:rFonts w:ascii="Tahoma" w:hAnsi="Tahoma"/>
          <w:sz w:val="18"/>
        </w:rPr>
        <w:t xml:space="preserve">objektivno se procjenjuje </w:t>
      </w:r>
      <w:r w:rsidRPr="004109A2">
        <w:rPr>
          <w:rFonts w:ascii="Tahoma" w:hAnsi="Tahoma"/>
          <w:sz w:val="18"/>
        </w:rPr>
        <w:t xml:space="preserve">klinički odgovor na liječenje (težina, upalni markeri i ponovljena snimanja). </w:t>
      </w:r>
    </w:p>
    <w:p w14:paraId="1C597E2D" w14:textId="77777777" w:rsidR="003663F5" w:rsidRPr="004109A2" w:rsidRDefault="0052485E" w:rsidP="003663F5">
      <w:pPr>
        <w:pStyle w:val="EC-Title-6"/>
      </w:pPr>
      <w:r w:rsidRPr="004109A2">
        <w:t>Zahtjevi specifični za EU</w:t>
      </w:r>
    </w:p>
    <w:p w14:paraId="304A367A" w14:textId="198571B1" w:rsidR="00DA3A70" w:rsidRPr="004109A2" w:rsidRDefault="0052485E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4109A2">
        <w:rPr>
          <w:rFonts w:ascii="Tahoma" w:hAnsi="Tahoma"/>
          <w:spacing w:val="-2"/>
          <w:sz w:val="18"/>
        </w:rPr>
        <w:t xml:space="preserve">Liječenje treba pratiti u skladu s međunarodnim smjernicama (2, 3, 6 – 8, 18 – 20). U EU-u zemlje imaju resurse za </w:t>
      </w:r>
      <w:r w:rsidR="00B52136" w:rsidRPr="004109A2">
        <w:rPr>
          <w:rFonts w:ascii="Tahoma" w:hAnsi="Tahoma"/>
          <w:spacing w:val="-2"/>
          <w:sz w:val="18"/>
        </w:rPr>
        <w:t>praćenj</w:t>
      </w:r>
      <w:r w:rsidR="00B52136">
        <w:rPr>
          <w:rFonts w:ascii="Tahoma" w:hAnsi="Tahoma"/>
          <w:spacing w:val="-2"/>
          <w:sz w:val="18"/>
        </w:rPr>
        <w:t>e</w:t>
      </w:r>
      <w:r w:rsidR="00B52136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liječenja na mjesečnoj osnovi. Kad je riječ o slučajevima </w:t>
      </w:r>
      <w:r w:rsidR="00C62C01">
        <w:rPr>
          <w:rFonts w:ascii="Tahoma" w:hAnsi="Tahoma"/>
          <w:spacing w:val="-2"/>
          <w:sz w:val="18"/>
        </w:rPr>
        <w:t xml:space="preserve">multirezistentne </w:t>
      </w:r>
      <w:r w:rsidRPr="004109A2">
        <w:rPr>
          <w:rFonts w:ascii="Tahoma" w:hAnsi="Tahoma"/>
          <w:spacing w:val="-2"/>
          <w:sz w:val="18"/>
        </w:rPr>
        <w:t>tuberkuloze (MDR-TB), mjesečno praćenje treba provoditi na temelju razmaza sputuma i kulture (21, 22).</w:t>
      </w:r>
    </w:p>
    <w:p w14:paraId="2A18ADA7" w14:textId="77777777" w:rsidR="00DA3A70" w:rsidRPr="004109A2" w:rsidRDefault="0052485E" w:rsidP="00BE259C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11. standard</w:t>
      </w:r>
    </w:p>
    <w:p w14:paraId="0FCAB683" w14:textId="00730A1B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P</w:t>
      </w:r>
      <w:r w:rsidRPr="004109A2">
        <w:rPr>
          <w:rFonts w:ascii="Tahoma" w:hAnsi="Tahoma"/>
          <w:sz w:val="18"/>
        </w:rPr>
        <w:t xml:space="preserve">rocjenu </w:t>
      </w:r>
      <w:r w:rsidR="00DE2656" w:rsidRPr="004109A2">
        <w:rPr>
          <w:rFonts w:ascii="Tahoma" w:hAnsi="Tahoma"/>
          <w:sz w:val="18"/>
        </w:rPr>
        <w:t xml:space="preserve">vjerojatnosti otpornosti na lijekove </w:t>
      </w:r>
      <w:r>
        <w:rPr>
          <w:rFonts w:ascii="Tahoma" w:hAnsi="Tahoma"/>
          <w:sz w:val="18"/>
        </w:rPr>
        <w:t>t</w:t>
      </w:r>
      <w:r w:rsidRPr="004109A2">
        <w:rPr>
          <w:rFonts w:ascii="Tahoma" w:hAnsi="Tahoma"/>
          <w:sz w:val="18"/>
        </w:rPr>
        <w:t xml:space="preserve">reba provesti </w:t>
      </w:r>
      <w:r w:rsidR="00DE2656" w:rsidRPr="004109A2">
        <w:rPr>
          <w:rFonts w:ascii="Tahoma" w:hAnsi="Tahoma"/>
          <w:sz w:val="18"/>
        </w:rPr>
        <w:t xml:space="preserve">na temelju povijesti prethodnog liječenja, izloženosti mogućem </w:t>
      </w:r>
      <w:r>
        <w:rPr>
          <w:rFonts w:ascii="Tahoma" w:hAnsi="Tahoma"/>
          <w:sz w:val="18"/>
        </w:rPr>
        <w:t>indeksnom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slučaju tuberkuloze otporne na lijekove i učestalosti otpornosti na lijekove u zajednici, posebice </w:t>
      </w:r>
      <w:r w:rsidR="00F13C33">
        <w:rPr>
          <w:rFonts w:ascii="Tahoma" w:hAnsi="Tahoma"/>
          <w:sz w:val="18"/>
        </w:rPr>
        <w:t>kod</w:t>
      </w:r>
      <w:r w:rsidR="00F13C33" w:rsidRPr="004109A2">
        <w:rPr>
          <w:rFonts w:ascii="Tahoma" w:hAnsi="Tahoma"/>
          <w:sz w:val="18"/>
        </w:rPr>
        <w:t xml:space="preserve"> bolesnik</w:t>
      </w:r>
      <w:r w:rsidR="00F13C33">
        <w:rPr>
          <w:rFonts w:ascii="Tahoma" w:hAnsi="Tahoma"/>
          <w:sz w:val="18"/>
        </w:rPr>
        <w:t>a</w:t>
      </w:r>
      <w:r w:rsidR="00F13C33"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za koje ne postoji bakteriološka potvrda ili čija se osjetljivost na lijekove ne može testirati. Kako je utvrđeno u 2. – 4. standardu i 8. standardu, </w:t>
      </w:r>
      <w:r w:rsidR="00F13C33">
        <w:rPr>
          <w:rFonts w:ascii="Tahoma" w:hAnsi="Tahoma"/>
          <w:sz w:val="18"/>
        </w:rPr>
        <w:t>kod</w:t>
      </w:r>
      <w:r w:rsidR="00F13C33" w:rsidRPr="004109A2">
        <w:rPr>
          <w:rFonts w:ascii="Tahoma" w:hAnsi="Tahoma"/>
          <w:sz w:val="18"/>
        </w:rPr>
        <w:t xml:space="preserve"> sv</w:t>
      </w:r>
      <w:r w:rsidR="00F13C33">
        <w:rPr>
          <w:rFonts w:ascii="Tahoma" w:hAnsi="Tahoma"/>
          <w:sz w:val="18"/>
        </w:rPr>
        <w:t>ih</w:t>
      </w:r>
      <w:r w:rsidR="00F13C33" w:rsidRPr="004109A2">
        <w:rPr>
          <w:rFonts w:ascii="Tahoma" w:hAnsi="Tahoma"/>
          <w:sz w:val="18"/>
        </w:rPr>
        <w:t xml:space="preserve"> bolesnik</w:t>
      </w:r>
      <w:r w:rsidR="00F13C33">
        <w:rPr>
          <w:rFonts w:ascii="Tahoma" w:hAnsi="Tahoma"/>
          <w:sz w:val="18"/>
        </w:rPr>
        <w:t>a</w:t>
      </w:r>
      <w:r w:rsidR="00F13C33"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treba provesti brzo testiranje (genotipsko testiranje otpornosti na rifampicin i izoniazid te genotipsko/fenotipsko testiranje otpornosti na lijekove drugog </w:t>
      </w:r>
      <w:r w:rsidR="00D856B6">
        <w:rPr>
          <w:rFonts w:ascii="Tahoma" w:hAnsi="Tahoma"/>
          <w:sz w:val="18"/>
        </w:rPr>
        <w:t>reda</w:t>
      </w:r>
      <w:r w:rsidR="00DE2656" w:rsidRPr="004109A2">
        <w:rPr>
          <w:rFonts w:ascii="Tahoma" w:hAnsi="Tahoma"/>
          <w:sz w:val="18"/>
        </w:rPr>
        <w:t xml:space="preserve"> u bolesnika koji su otporni na rifampicin ili koji imaju MDR-TB). Nadalje, savjetovanje i </w:t>
      </w:r>
      <w:r w:rsidR="005C1F7D" w:rsidRPr="004109A2">
        <w:rPr>
          <w:rFonts w:ascii="Tahoma" w:hAnsi="Tahoma"/>
          <w:sz w:val="18"/>
        </w:rPr>
        <w:t>edukacij</w:t>
      </w:r>
      <w:r w:rsidR="005C1F7D">
        <w:rPr>
          <w:rFonts w:ascii="Tahoma" w:hAnsi="Tahoma"/>
          <w:sz w:val="18"/>
        </w:rPr>
        <w:t>u</w:t>
      </w:r>
      <w:r w:rsidR="005C1F7D"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svih bolesnika oboljelih od tuberkuloze treba započeti odmah kako bi se mogućnost prijenosa svela na najnižu moguću razinu. Mjere kontrole </w:t>
      </w:r>
      <w:r>
        <w:rPr>
          <w:rFonts w:ascii="Tahoma" w:hAnsi="Tahoma"/>
          <w:sz w:val="18"/>
        </w:rPr>
        <w:t>infekcije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koje odgovaraju određenom slučaju treba primjenjivati u skladu s preporukama iznesenima u 20. standardu ESTC-a koji se odnosi na </w:t>
      </w:r>
      <w:r w:rsidR="00C967F4" w:rsidRPr="00B52136">
        <w:rPr>
          <w:rFonts w:ascii="Tahoma" w:hAnsi="Tahoma"/>
          <w:sz w:val="18"/>
        </w:rPr>
        <w:t>javno zdravlje.</w:t>
      </w:r>
    </w:p>
    <w:p w14:paraId="6EC88712" w14:textId="77777777" w:rsidR="00DA3A70" w:rsidRPr="004109A2" w:rsidRDefault="0052485E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 xml:space="preserve">12. standard </w:t>
      </w:r>
    </w:p>
    <w:p w14:paraId="1DF2A252" w14:textId="4953DAF9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>Bolesnici</w:t>
      </w:r>
      <w:r w:rsidR="00AA23A4">
        <w:rPr>
          <w:rFonts w:ascii="Tahoma" w:hAnsi="Tahoma"/>
          <w:sz w:val="18"/>
        </w:rPr>
        <w:t>ma</w:t>
      </w:r>
      <w:r w:rsidRPr="004109A2">
        <w:rPr>
          <w:rFonts w:ascii="Tahoma" w:hAnsi="Tahoma"/>
          <w:sz w:val="18"/>
        </w:rPr>
        <w:t xml:space="preserve"> koji imaju ili je</w:t>
      </w:r>
      <w:r w:rsidR="00C62275">
        <w:rPr>
          <w:rFonts w:ascii="Tahoma" w:hAnsi="Tahoma"/>
          <w:sz w:val="18"/>
        </w:rPr>
        <w:t xml:space="preserve"> </w:t>
      </w:r>
      <w:r w:rsidR="00B52136">
        <w:rPr>
          <w:rFonts w:ascii="Tahoma" w:hAnsi="Tahoma"/>
          <w:sz w:val="18"/>
        </w:rPr>
        <w:t>vrlo</w:t>
      </w:r>
      <w:r w:rsidRPr="004109A2">
        <w:rPr>
          <w:rFonts w:ascii="Tahoma" w:hAnsi="Tahoma"/>
          <w:sz w:val="18"/>
        </w:rPr>
        <w:t xml:space="preserve"> vjerojatno da</w:t>
      </w:r>
      <w:r w:rsidR="00C62275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imaju tuberkulozu prouzročenu </w:t>
      </w:r>
      <w:r w:rsidR="00B52136">
        <w:rPr>
          <w:rFonts w:ascii="Tahoma" w:hAnsi="Tahoma"/>
          <w:sz w:val="18"/>
        </w:rPr>
        <w:t>mikro</w:t>
      </w:r>
      <w:r w:rsidRPr="004109A2">
        <w:rPr>
          <w:rFonts w:ascii="Tahoma" w:hAnsi="Tahoma"/>
          <w:sz w:val="18"/>
        </w:rPr>
        <w:t xml:space="preserve">organizmima otpornima na lijekove </w:t>
      </w:r>
      <w:r w:rsidR="00C967F4" w:rsidRPr="00AA23A4">
        <w:rPr>
          <w:rFonts w:ascii="Tahoma" w:hAnsi="Tahoma"/>
          <w:sz w:val="18"/>
        </w:rPr>
        <w:t>(posebice otpornima na rifampicin</w:t>
      </w:r>
      <w:r w:rsidR="00B52136" w:rsidRPr="00AA23A4">
        <w:rPr>
          <w:rFonts w:ascii="Tahoma" w:hAnsi="Tahoma"/>
          <w:sz w:val="18"/>
        </w:rPr>
        <w:t>/</w:t>
      </w:r>
      <w:r w:rsidR="00C967F4" w:rsidRPr="00AA23A4">
        <w:rPr>
          <w:rFonts w:ascii="Tahoma" w:hAnsi="Tahoma"/>
          <w:sz w:val="18"/>
        </w:rPr>
        <w:t>MDR</w:t>
      </w:r>
      <w:r w:rsidR="001B37CB">
        <w:rPr>
          <w:rFonts w:ascii="Tahoma" w:hAnsi="Tahoma"/>
          <w:sz w:val="18"/>
        </w:rPr>
        <w:t>/</w:t>
      </w:r>
      <w:r w:rsidR="00C967F4" w:rsidRPr="00AA23A4">
        <w:rPr>
          <w:rFonts w:ascii="Tahoma" w:hAnsi="Tahoma"/>
          <w:sz w:val="18"/>
        </w:rPr>
        <w:t>XDR</w:t>
      </w:r>
      <w:r w:rsidRPr="004109A2">
        <w:rPr>
          <w:rFonts w:ascii="Tahoma" w:hAnsi="Tahoma"/>
          <w:sz w:val="18"/>
        </w:rPr>
        <w:t>) treba</w:t>
      </w:r>
      <w:r w:rsidR="00AA23A4">
        <w:rPr>
          <w:rFonts w:ascii="Tahoma" w:hAnsi="Tahoma"/>
          <w:sz w:val="18"/>
        </w:rPr>
        <w:t xml:space="preserve"> osigurati</w:t>
      </w:r>
      <w:r w:rsidRPr="004109A2">
        <w:rPr>
          <w:rFonts w:ascii="Tahoma" w:hAnsi="Tahoma"/>
          <w:sz w:val="18"/>
        </w:rPr>
        <w:t xml:space="preserve"> </w:t>
      </w:r>
      <w:r w:rsidR="00AA23A4">
        <w:rPr>
          <w:rFonts w:ascii="Tahoma" w:hAnsi="Tahoma"/>
          <w:sz w:val="18"/>
        </w:rPr>
        <w:t xml:space="preserve">individualno prilagođene </w:t>
      </w:r>
      <w:r w:rsidR="00AA23A4" w:rsidRPr="004109A2">
        <w:rPr>
          <w:rFonts w:ascii="Tahoma" w:hAnsi="Tahoma"/>
          <w:sz w:val="18"/>
        </w:rPr>
        <w:t>režim</w:t>
      </w:r>
      <w:r w:rsidR="00AA23A4">
        <w:rPr>
          <w:rFonts w:ascii="Tahoma" w:hAnsi="Tahoma"/>
          <w:sz w:val="18"/>
        </w:rPr>
        <w:t>e</w:t>
      </w:r>
      <w:r w:rsidR="00AA23A4" w:rsidRPr="004109A2">
        <w:rPr>
          <w:rFonts w:ascii="Tahoma" w:hAnsi="Tahoma"/>
          <w:sz w:val="18"/>
        </w:rPr>
        <w:t xml:space="preserve"> </w:t>
      </w:r>
      <w:r w:rsidR="00AA23A4">
        <w:rPr>
          <w:rFonts w:ascii="Tahoma" w:hAnsi="Tahoma"/>
          <w:sz w:val="18"/>
        </w:rPr>
        <w:t>liječenja</w:t>
      </w:r>
      <w:r w:rsidRPr="004109A2">
        <w:rPr>
          <w:rFonts w:ascii="Tahoma" w:hAnsi="Tahoma"/>
          <w:sz w:val="18"/>
        </w:rPr>
        <w:t xml:space="preserve"> koji uključuju </w:t>
      </w:r>
      <w:r w:rsidR="001B37CB">
        <w:rPr>
          <w:rFonts w:ascii="Tahoma" w:hAnsi="Tahoma"/>
          <w:sz w:val="18"/>
        </w:rPr>
        <w:t xml:space="preserve">antituberkulotske </w:t>
      </w:r>
      <w:r w:rsidRPr="004109A2">
        <w:rPr>
          <w:rFonts w:ascii="Tahoma" w:hAnsi="Tahoma"/>
          <w:sz w:val="18"/>
        </w:rPr>
        <w:t xml:space="preserve">lijekove drugog </w:t>
      </w:r>
      <w:r w:rsidR="00DA6377">
        <w:rPr>
          <w:rFonts w:ascii="Tahoma" w:hAnsi="Tahoma"/>
          <w:sz w:val="18"/>
        </w:rPr>
        <w:t>red</w:t>
      </w:r>
      <w:r w:rsidR="00DA6377" w:rsidRPr="004109A2">
        <w:rPr>
          <w:rFonts w:ascii="Tahoma" w:hAnsi="Tahoma"/>
          <w:sz w:val="18"/>
        </w:rPr>
        <w:t xml:space="preserve">a </w:t>
      </w:r>
      <w:r w:rsidRPr="004109A2">
        <w:rPr>
          <w:rFonts w:ascii="Tahoma" w:hAnsi="Tahoma"/>
          <w:sz w:val="18"/>
        </w:rPr>
        <w:t xml:space="preserve">i dodatne </w:t>
      </w:r>
      <w:r w:rsidR="00B52136">
        <w:rPr>
          <w:rFonts w:ascii="Tahoma" w:hAnsi="Tahoma"/>
          <w:sz w:val="18"/>
        </w:rPr>
        <w:t xml:space="preserve">antituberkulotske </w:t>
      </w:r>
      <w:r w:rsidRPr="004109A2">
        <w:rPr>
          <w:rFonts w:ascii="Tahoma" w:hAnsi="Tahoma"/>
          <w:sz w:val="18"/>
        </w:rPr>
        <w:t xml:space="preserve">lijekove. Odabrani režim treba se temeljiti na </w:t>
      </w:r>
      <w:r w:rsidR="00AA23A4" w:rsidRPr="00AA23A4">
        <w:rPr>
          <w:rFonts w:ascii="Tahoma" w:hAnsi="Tahoma"/>
          <w:sz w:val="18"/>
        </w:rPr>
        <w:t>utvr</w:t>
      </w:r>
      <w:r w:rsidR="00AA23A4" w:rsidRPr="00AA23A4">
        <w:rPr>
          <w:rFonts w:ascii="Tahoma" w:hAnsi="Tahoma" w:hint="eastAsia"/>
          <w:sz w:val="18"/>
        </w:rPr>
        <w:t>đ</w:t>
      </w:r>
      <w:r w:rsidR="00AA23A4" w:rsidRPr="00AA23A4">
        <w:rPr>
          <w:rFonts w:ascii="Tahoma" w:hAnsi="Tahoma"/>
          <w:sz w:val="18"/>
        </w:rPr>
        <w:t xml:space="preserve">enom obrascu </w:t>
      </w:r>
      <w:r w:rsidR="00C967F4" w:rsidRPr="00AA23A4">
        <w:rPr>
          <w:rFonts w:ascii="Tahoma" w:hAnsi="Tahoma"/>
          <w:sz w:val="18"/>
        </w:rPr>
        <w:t>osjetljivosti</w:t>
      </w:r>
      <w:r w:rsidRPr="004109A2">
        <w:rPr>
          <w:rFonts w:ascii="Tahoma" w:hAnsi="Tahoma"/>
          <w:sz w:val="18"/>
        </w:rPr>
        <w:t xml:space="preserve"> na lijekove. Empirijski režimi mogu prouzročiti daljnju otpornost te se ne preporučuju, osim u slučaju tuberkuloze s negativnom kulturom.</w:t>
      </w:r>
    </w:p>
    <w:p w14:paraId="0049E31C" w14:textId="318FBE31" w:rsidR="00083CEE" w:rsidRPr="004109A2" w:rsidRDefault="0052485E" w:rsidP="00083CE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Ovisno o </w:t>
      </w:r>
      <w:r w:rsidR="00AA23A4">
        <w:rPr>
          <w:rFonts w:ascii="Tahoma" w:hAnsi="Tahoma"/>
          <w:sz w:val="18"/>
        </w:rPr>
        <w:t>obrascu</w:t>
      </w:r>
      <w:r w:rsidR="00AA23A4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osjetljivosti na lijekove, treba primjenjivati liječenje s najmanje pet djelotvornih </w:t>
      </w:r>
      <w:r w:rsidR="00AA23A4">
        <w:rPr>
          <w:rFonts w:ascii="Tahoma" w:hAnsi="Tahoma"/>
          <w:sz w:val="18"/>
        </w:rPr>
        <w:t xml:space="preserve">antituberkulotskih </w:t>
      </w:r>
      <w:r w:rsidRPr="004109A2">
        <w:rPr>
          <w:rFonts w:ascii="Tahoma" w:hAnsi="Tahoma"/>
          <w:sz w:val="18"/>
        </w:rPr>
        <w:t xml:space="preserve">lijekova u razdoblju od najmanje 20 mjeseci (5). </w:t>
      </w:r>
      <w:r w:rsidR="00AA23A4">
        <w:rPr>
          <w:rFonts w:ascii="Tahoma" w:hAnsi="Tahoma"/>
          <w:sz w:val="18"/>
        </w:rPr>
        <w:t>S</w:t>
      </w:r>
      <w:r w:rsidR="00AA23A4" w:rsidRPr="004109A2">
        <w:rPr>
          <w:rFonts w:ascii="Tahoma" w:hAnsi="Tahoma"/>
          <w:sz w:val="18"/>
        </w:rPr>
        <w:t xml:space="preserve">tandardni </w:t>
      </w:r>
      <w:r w:rsidRPr="004109A2">
        <w:rPr>
          <w:rFonts w:ascii="Tahoma" w:hAnsi="Tahoma"/>
          <w:sz w:val="18"/>
        </w:rPr>
        <w:t xml:space="preserve">kraći režim </w:t>
      </w:r>
      <w:r w:rsidR="00AA23A4">
        <w:rPr>
          <w:rFonts w:ascii="Tahoma" w:hAnsi="Tahoma"/>
          <w:sz w:val="18"/>
        </w:rPr>
        <w:t xml:space="preserve">liječenja </w:t>
      </w:r>
      <w:r w:rsidRPr="004109A2">
        <w:rPr>
          <w:rFonts w:ascii="Tahoma" w:hAnsi="Tahoma"/>
          <w:sz w:val="18"/>
        </w:rPr>
        <w:t>MDR-TB-a (9 – 11 mjeseci)</w:t>
      </w:r>
      <w:r w:rsidR="00AA23A4">
        <w:rPr>
          <w:rFonts w:ascii="Tahoma" w:hAnsi="Tahoma"/>
          <w:sz w:val="18"/>
        </w:rPr>
        <w:t xml:space="preserve"> može se primijeniti ako bolesnik ispunjava potrebne kriterije</w:t>
      </w:r>
      <w:r w:rsidRPr="004109A2">
        <w:rPr>
          <w:rFonts w:ascii="Tahoma" w:hAnsi="Tahoma"/>
          <w:sz w:val="18"/>
        </w:rPr>
        <w:t xml:space="preserve">. </w:t>
      </w:r>
    </w:p>
    <w:p w14:paraId="2D9A48F1" w14:textId="77777777" w:rsidR="00083CEE" w:rsidRPr="004109A2" w:rsidRDefault="0052485E" w:rsidP="0028467E">
      <w:r w:rsidRPr="004109A2">
        <w:br w:type="page"/>
      </w:r>
    </w:p>
    <w:p w14:paraId="12ED1FFE" w14:textId="77777777" w:rsidR="00835340" w:rsidRPr="004109A2" w:rsidRDefault="0052485E" w:rsidP="00835340">
      <w:pPr>
        <w:pStyle w:val="EC-Title-6"/>
      </w:pPr>
      <w:r w:rsidRPr="004109A2">
        <w:t>Zahtjevi specifični za EU</w:t>
      </w:r>
    </w:p>
    <w:p w14:paraId="2DF11E5A" w14:textId="62789851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 obzirom na to da je liječenje MDR/XDR-TB-a često posljednja mogućnost za </w:t>
      </w:r>
      <w:r w:rsidR="00234B85" w:rsidRPr="004109A2">
        <w:rPr>
          <w:rFonts w:ascii="Tahoma" w:hAnsi="Tahoma"/>
          <w:sz w:val="18"/>
        </w:rPr>
        <w:t>izlječenj</w:t>
      </w:r>
      <w:r w:rsidR="00234B85">
        <w:rPr>
          <w:rFonts w:ascii="Tahoma" w:hAnsi="Tahoma"/>
          <w:sz w:val="18"/>
        </w:rPr>
        <w:t>e</w:t>
      </w:r>
      <w:r w:rsidR="00234B85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 </w:t>
      </w:r>
      <w:r w:rsidR="00234B85" w:rsidRPr="004109A2">
        <w:rPr>
          <w:rFonts w:ascii="Tahoma" w:hAnsi="Tahoma"/>
          <w:sz w:val="18"/>
        </w:rPr>
        <w:t>preživljenj</w:t>
      </w:r>
      <w:r w:rsidR="00234B85">
        <w:rPr>
          <w:rFonts w:ascii="Tahoma" w:hAnsi="Tahoma"/>
          <w:sz w:val="18"/>
        </w:rPr>
        <w:t>e</w:t>
      </w:r>
      <w:r w:rsidR="00234B85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bolesnika, potreban je čitav niz mjera usmjerenih na bolesnika, uključujući savjetovanje, pra</w:t>
      </w:r>
      <w:r w:rsidR="00234B85">
        <w:rPr>
          <w:rFonts w:ascii="Tahoma" w:hAnsi="Tahoma"/>
          <w:sz w:val="18"/>
        </w:rPr>
        <w:t>će</w:t>
      </w:r>
      <w:r w:rsidRPr="004109A2">
        <w:rPr>
          <w:rFonts w:ascii="Tahoma" w:hAnsi="Tahoma"/>
          <w:sz w:val="18"/>
        </w:rPr>
        <w:t xml:space="preserve">nje i podršku liječenju, kao i psihosocijalnu podršku kako bi se </w:t>
      </w:r>
      <w:r w:rsidR="00234B85">
        <w:rPr>
          <w:rFonts w:ascii="Tahoma" w:hAnsi="Tahoma"/>
          <w:sz w:val="18"/>
        </w:rPr>
        <w:t>osigura</w:t>
      </w:r>
      <w:r w:rsidR="00234B85" w:rsidRPr="004109A2">
        <w:rPr>
          <w:rFonts w:ascii="Tahoma" w:hAnsi="Tahoma"/>
          <w:sz w:val="18"/>
        </w:rPr>
        <w:t xml:space="preserve">lo </w:t>
      </w:r>
      <w:r w:rsidRPr="004109A2">
        <w:rPr>
          <w:rFonts w:ascii="Tahoma" w:hAnsi="Tahoma"/>
          <w:sz w:val="18"/>
        </w:rPr>
        <w:t xml:space="preserve">pridržavanje terapije (5, 23 – 25). To je posebno važno s obzirom na to da ti bolesnici često pripadaju skupinama </w:t>
      </w:r>
      <w:r w:rsidR="00C967F4" w:rsidRPr="00234B85">
        <w:rPr>
          <w:rFonts w:ascii="Tahoma" w:hAnsi="Tahoma"/>
          <w:sz w:val="18"/>
        </w:rPr>
        <w:t xml:space="preserve">u nepovoljnom društvenom i </w:t>
      </w:r>
      <w:r w:rsidR="002E4F4E">
        <w:rPr>
          <w:rFonts w:ascii="Tahoma" w:hAnsi="Tahoma"/>
          <w:sz w:val="18"/>
        </w:rPr>
        <w:t xml:space="preserve">ekonomskom </w:t>
      </w:r>
      <w:r w:rsidR="00C967F4" w:rsidRPr="00234B85">
        <w:rPr>
          <w:rFonts w:ascii="Tahoma" w:hAnsi="Tahoma"/>
          <w:sz w:val="18"/>
        </w:rPr>
        <w:t>položaju.</w:t>
      </w:r>
    </w:p>
    <w:p w14:paraId="16263CB0" w14:textId="13A30C84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U slučaju liječenja MDR-TB-a, bolesniku s dokumentiranom otpornošću (utvrđenom pomoću molekularnog ili fenotipskog testiranja na osjetljivost na lijekove) ne smije se dati nikakav lijek. Stoga treba provesti testiranje osjetljivosti na lijekove drugog </w:t>
      </w:r>
      <w:r w:rsidR="00DA6377">
        <w:rPr>
          <w:rFonts w:ascii="Tahoma" w:hAnsi="Tahoma"/>
          <w:sz w:val="18"/>
        </w:rPr>
        <w:t>red</w:t>
      </w:r>
      <w:r w:rsidR="00DA6377" w:rsidRPr="004109A2">
        <w:rPr>
          <w:rFonts w:ascii="Tahoma" w:hAnsi="Tahoma"/>
          <w:sz w:val="18"/>
        </w:rPr>
        <w:t xml:space="preserve">a </w:t>
      </w:r>
      <w:r w:rsidRPr="004109A2">
        <w:rPr>
          <w:rFonts w:ascii="Tahoma" w:hAnsi="Tahoma"/>
          <w:sz w:val="18"/>
        </w:rPr>
        <w:t xml:space="preserve">kako bi se </w:t>
      </w:r>
      <w:r w:rsidR="00234B85">
        <w:rPr>
          <w:rFonts w:ascii="Tahoma" w:hAnsi="Tahoma"/>
          <w:sz w:val="18"/>
        </w:rPr>
        <w:t>u</w:t>
      </w:r>
      <w:r w:rsidR="00234B85" w:rsidRPr="004109A2">
        <w:rPr>
          <w:rFonts w:ascii="Tahoma" w:hAnsi="Tahoma"/>
          <w:sz w:val="18"/>
        </w:rPr>
        <w:t xml:space="preserve">tvrdio </w:t>
      </w:r>
      <w:r w:rsidR="00234B85" w:rsidRPr="00CD48E9">
        <w:rPr>
          <w:rFonts w:ascii="Tahoma" w:hAnsi="Tahoma"/>
          <w:sz w:val="18"/>
        </w:rPr>
        <w:t>obrazac</w:t>
      </w:r>
      <w:r w:rsidR="00234B85" w:rsidRPr="00516913">
        <w:rPr>
          <w:rFonts w:ascii="Tahoma" w:hAnsi="Tahoma"/>
          <w:sz w:val="18"/>
        </w:rPr>
        <w:t xml:space="preserve"> </w:t>
      </w:r>
      <w:r w:rsidR="00C967F4" w:rsidRPr="00516913">
        <w:rPr>
          <w:rFonts w:ascii="Tahoma" w:hAnsi="Tahoma"/>
          <w:sz w:val="18"/>
        </w:rPr>
        <w:t>otpornosti na lijekove</w:t>
      </w:r>
      <w:r w:rsidRPr="004109A2">
        <w:rPr>
          <w:rFonts w:ascii="Tahoma" w:hAnsi="Tahoma"/>
          <w:sz w:val="18"/>
        </w:rPr>
        <w:t xml:space="preserve">, ali i </w:t>
      </w:r>
      <w:r w:rsidR="002E4F4E">
        <w:rPr>
          <w:rFonts w:ascii="Tahoma" w:hAnsi="Tahoma"/>
          <w:sz w:val="18"/>
        </w:rPr>
        <w:t>omogućio</w:t>
      </w:r>
      <w:r w:rsidR="003B753E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pravi izbor liječenja.</w:t>
      </w:r>
    </w:p>
    <w:p w14:paraId="53F2E52F" w14:textId="7ED6EEEC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U EU-u/EGP-u testiranje osjetljivosti na lijek etambutol smatra se pouzdanim ako se provodi u </w:t>
      </w:r>
      <w:r w:rsidR="003B753E">
        <w:rPr>
          <w:rFonts w:ascii="Tahoma" w:hAnsi="Tahoma"/>
          <w:sz w:val="18"/>
        </w:rPr>
        <w:t xml:space="preserve">akreditiranim </w:t>
      </w:r>
      <w:r w:rsidRPr="004109A2">
        <w:rPr>
          <w:rFonts w:ascii="Tahoma" w:hAnsi="Tahoma"/>
          <w:sz w:val="18"/>
        </w:rPr>
        <w:t xml:space="preserve">laboratorijima (26). Testiranje na pirazinamid može se provesti pomoću genotipskog (otkrivanje mutacija </w:t>
      </w:r>
      <w:r w:rsidRPr="004109A2">
        <w:rPr>
          <w:rFonts w:ascii="Tahoma" w:hAnsi="Tahoma"/>
          <w:i/>
          <w:sz w:val="18"/>
        </w:rPr>
        <w:t>pncA</w:t>
      </w:r>
      <w:r w:rsidRPr="004109A2">
        <w:rPr>
          <w:rFonts w:ascii="Tahoma" w:hAnsi="Tahoma"/>
          <w:sz w:val="18"/>
        </w:rPr>
        <w:t>) ili fenotipskog testa (tj. automatiziranih metoda koje se temelje na porastu broja bakterija (tekuća podloga)).</w:t>
      </w:r>
    </w:p>
    <w:p w14:paraId="284F0D39" w14:textId="376ED28A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Individualno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>prilagođenim režim</w:t>
      </w:r>
      <w:r w:rsidR="002E4F4E">
        <w:rPr>
          <w:rFonts w:ascii="Tahoma" w:hAnsi="Tahoma"/>
          <w:sz w:val="18"/>
        </w:rPr>
        <w:t>om liječenja</w:t>
      </w:r>
      <w:r w:rsidR="00DE2656" w:rsidRPr="004109A2">
        <w:rPr>
          <w:rFonts w:ascii="Tahoma" w:hAnsi="Tahoma"/>
          <w:sz w:val="18"/>
        </w:rPr>
        <w:t xml:space="preserve"> treba obuhvatiti najmanje pet djelotvornih </w:t>
      </w:r>
      <w:r w:rsidR="00AF60E8">
        <w:rPr>
          <w:rFonts w:ascii="Tahoma" w:hAnsi="Tahoma"/>
          <w:sz w:val="18"/>
        </w:rPr>
        <w:t xml:space="preserve">antituberkulotskih </w:t>
      </w:r>
      <w:r w:rsidR="00DE2656" w:rsidRPr="004109A2">
        <w:rPr>
          <w:rFonts w:ascii="Tahoma" w:hAnsi="Tahoma"/>
          <w:sz w:val="18"/>
        </w:rPr>
        <w:t xml:space="preserve">lijekova tijekom intenzivne faze, uključujući pirazinamid i četiri glavna </w:t>
      </w:r>
      <w:r w:rsidR="00AF60E8">
        <w:rPr>
          <w:rFonts w:ascii="Tahoma" w:hAnsi="Tahoma"/>
          <w:sz w:val="18"/>
        </w:rPr>
        <w:t xml:space="preserve">antituberkulotska </w:t>
      </w:r>
      <w:r w:rsidR="00DE2656" w:rsidRPr="004109A2">
        <w:rPr>
          <w:rFonts w:ascii="Tahoma" w:hAnsi="Tahoma"/>
          <w:sz w:val="18"/>
        </w:rPr>
        <w:t xml:space="preserve">lijeka drugog </w:t>
      </w:r>
      <w:r w:rsidR="00D856B6">
        <w:rPr>
          <w:rFonts w:ascii="Tahoma" w:hAnsi="Tahoma"/>
          <w:sz w:val="18"/>
        </w:rPr>
        <w:t>reda</w:t>
      </w:r>
      <w:r w:rsidR="00DE2656" w:rsidRPr="004109A2">
        <w:rPr>
          <w:rFonts w:ascii="Tahoma" w:hAnsi="Tahoma"/>
          <w:sz w:val="18"/>
        </w:rPr>
        <w:t xml:space="preserve"> . </w:t>
      </w:r>
      <w:r w:rsidRPr="004109A2">
        <w:rPr>
          <w:rFonts w:ascii="Tahoma" w:hAnsi="Tahoma"/>
          <w:sz w:val="18"/>
        </w:rPr>
        <w:t>Lijekov</w:t>
      </w:r>
      <w:r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treba birati kako slijedi: jedan iz skupine A, jedan iz skupine B i najmanje dva iz skupine C (tablica). Ako se upotrebom lijekova iz skupina A, B i C ne može </w:t>
      </w:r>
      <w:r w:rsidR="00362946">
        <w:rPr>
          <w:rFonts w:ascii="Tahoma" w:hAnsi="Tahoma"/>
          <w:sz w:val="18"/>
        </w:rPr>
        <w:t xml:space="preserve">postići režim od </w:t>
      </w:r>
      <w:r w:rsidR="00DE2656" w:rsidRPr="004109A2">
        <w:rPr>
          <w:rFonts w:ascii="Tahoma" w:hAnsi="Tahoma"/>
          <w:sz w:val="18"/>
        </w:rPr>
        <w:t>najmanj</w:t>
      </w:r>
      <w:r w:rsidR="00362946">
        <w:rPr>
          <w:rFonts w:ascii="Tahoma" w:hAnsi="Tahoma"/>
          <w:sz w:val="18"/>
        </w:rPr>
        <w:t>e</w:t>
      </w:r>
      <w:r w:rsidR="00DE2656" w:rsidRPr="004109A2">
        <w:rPr>
          <w:rFonts w:ascii="Tahoma" w:hAnsi="Tahoma"/>
          <w:sz w:val="18"/>
        </w:rPr>
        <w:t xml:space="preserve"> pet djelotvornih </w:t>
      </w:r>
      <w:r w:rsidR="00AF60E8">
        <w:rPr>
          <w:rFonts w:ascii="Tahoma" w:hAnsi="Tahoma"/>
          <w:sz w:val="18"/>
        </w:rPr>
        <w:t xml:space="preserve">antituberkulotskih </w:t>
      </w:r>
      <w:r w:rsidR="00DE2656" w:rsidRPr="004109A2">
        <w:rPr>
          <w:rFonts w:ascii="Tahoma" w:hAnsi="Tahoma"/>
          <w:sz w:val="18"/>
        </w:rPr>
        <w:t xml:space="preserve">lijekova , moguće je dodati jedan </w:t>
      </w:r>
      <w:r>
        <w:rPr>
          <w:rFonts w:ascii="Tahoma" w:hAnsi="Tahoma"/>
          <w:sz w:val="18"/>
        </w:rPr>
        <w:t>lijek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iz skupine D2 i druge </w:t>
      </w:r>
      <w:r>
        <w:rPr>
          <w:rFonts w:ascii="Tahoma" w:hAnsi="Tahoma"/>
          <w:sz w:val="18"/>
        </w:rPr>
        <w:t>lijekove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iz skupine D3 kako bi ukupan broj lijekova bio pet. Ako se pirazinamid ne može upotrebljavati (npr. zbog otpornosti ili toksičnosti), može se </w:t>
      </w:r>
      <w:r w:rsidR="00AF60E8">
        <w:rPr>
          <w:rFonts w:ascii="Tahoma" w:hAnsi="Tahoma"/>
          <w:sz w:val="18"/>
        </w:rPr>
        <w:t>uključiti</w:t>
      </w:r>
      <w:r w:rsidR="00AF60E8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dodat</w:t>
      </w:r>
      <w:r>
        <w:rPr>
          <w:rFonts w:ascii="Tahoma" w:hAnsi="Tahoma"/>
          <w:sz w:val="18"/>
        </w:rPr>
        <w:t>ni</w:t>
      </w:r>
      <w:r w:rsidRPr="004109A2">
        <w:rPr>
          <w:rFonts w:ascii="Tahoma" w:hAnsi="Tahoma"/>
          <w:sz w:val="18"/>
        </w:rPr>
        <w:t xml:space="preserve"> </w:t>
      </w:r>
      <w:r>
        <w:rPr>
          <w:rFonts w:ascii="Tahoma" w:hAnsi="Tahoma"/>
          <w:sz w:val="18"/>
        </w:rPr>
        <w:t>lijek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iz skupina C ili D radi pojačanja režima. </w:t>
      </w:r>
      <w:r w:rsidR="003F0450">
        <w:rPr>
          <w:rFonts w:ascii="Tahoma" w:hAnsi="Tahoma"/>
          <w:sz w:val="18"/>
        </w:rPr>
        <w:t>U</w:t>
      </w:r>
      <w:r w:rsidR="003F0450" w:rsidRPr="004109A2">
        <w:rPr>
          <w:rFonts w:ascii="Tahoma" w:hAnsi="Tahoma"/>
          <w:sz w:val="18"/>
        </w:rPr>
        <w:t xml:space="preserve">kupno </w:t>
      </w:r>
      <w:r w:rsidR="003F0450">
        <w:rPr>
          <w:rFonts w:ascii="Tahoma" w:hAnsi="Tahoma"/>
          <w:sz w:val="18"/>
        </w:rPr>
        <w:t>l</w:t>
      </w:r>
      <w:r w:rsidR="003F0450" w:rsidRPr="004109A2">
        <w:rPr>
          <w:rFonts w:ascii="Tahoma" w:hAnsi="Tahoma"/>
          <w:sz w:val="18"/>
        </w:rPr>
        <w:t xml:space="preserve">iječenje </w:t>
      </w:r>
      <w:r w:rsidR="00DE2656" w:rsidRPr="004109A2">
        <w:rPr>
          <w:rFonts w:ascii="Tahoma" w:hAnsi="Tahoma"/>
          <w:sz w:val="18"/>
        </w:rPr>
        <w:t xml:space="preserve">traje od 20 mjeseci do 24 mjeseca, a preporučena intenzivna faza osam mjeseci (5). </w:t>
      </w:r>
    </w:p>
    <w:p w14:paraId="7BBB12AE" w14:textId="0AAD7F2E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  <w:highlight w:val="yellow"/>
        </w:rPr>
      </w:pPr>
      <w:r w:rsidRPr="004109A2">
        <w:rPr>
          <w:rFonts w:ascii="Tahoma" w:hAnsi="Tahoma"/>
          <w:sz w:val="18"/>
        </w:rPr>
        <w:t xml:space="preserve">U pacijenata koji boluju od tuberkuloze otporne na rifampicin ili MDR-TB, koji nisu bili prethodno liječeni lijekovima drugog </w:t>
      </w:r>
      <w:r w:rsidR="00D856B6">
        <w:rPr>
          <w:rFonts w:ascii="Tahoma" w:hAnsi="Tahoma"/>
          <w:sz w:val="18"/>
        </w:rPr>
        <w:t>reda</w:t>
      </w:r>
      <w:r w:rsidRPr="004109A2">
        <w:rPr>
          <w:rFonts w:ascii="Tahoma" w:hAnsi="Tahoma"/>
          <w:sz w:val="18"/>
        </w:rPr>
        <w:t xml:space="preserve"> i u kojih je otpornost na fluorokinolone i </w:t>
      </w:r>
      <w:r w:rsidR="00CD48E9">
        <w:rPr>
          <w:rFonts w:ascii="Tahoma" w:hAnsi="Tahoma"/>
          <w:sz w:val="18"/>
        </w:rPr>
        <w:t xml:space="preserve">parenteralne </w:t>
      </w:r>
      <w:r w:rsidR="00C967F4" w:rsidRPr="00CD48E9">
        <w:rPr>
          <w:rFonts w:ascii="Tahoma" w:hAnsi="Tahoma"/>
          <w:sz w:val="18"/>
        </w:rPr>
        <w:t xml:space="preserve">lijekove </w:t>
      </w:r>
      <w:r w:rsidRPr="004109A2">
        <w:rPr>
          <w:rFonts w:ascii="Tahoma" w:hAnsi="Tahoma"/>
          <w:sz w:val="18"/>
        </w:rPr>
        <w:t xml:space="preserve">drugog </w:t>
      </w:r>
      <w:r w:rsidR="00D856B6">
        <w:rPr>
          <w:rFonts w:ascii="Tahoma" w:hAnsi="Tahoma"/>
          <w:sz w:val="18"/>
        </w:rPr>
        <w:t>reda</w:t>
      </w:r>
      <w:r w:rsidRPr="004109A2">
        <w:rPr>
          <w:rFonts w:ascii="Tahoma" w:hAnsi="Tahoma"/>
          <w:sz w:val="18"/>
        </w:rPr>
        <w:t xml:space="preserve"> isključena ili se smatra da za nju ne postoji velika vjerojatnost, umjesto uobičajenog </w:t>
      </w:r>
      <w:r w:rsidR="00DA6377">
        <w:rPr>
          <w:rFonts w:ascii="Tahoma" w:hAnsi="Tahoma"/>
          <w:sz w:val="18"/>
        </w:rPr>
        <w:t xml:space="preserve">individualno </w:t>
      </w:r>
      <w:r w:rsidRPr="004109A2">
        <w:rPr>
          <w:rFonts w:ascii="Tahoma" w:hAnsi="Tahoma"/>
          <w:sz w:val="18"/>
        </w:rPr>
        <w:t xml:space="preserve">prilagođenog režima može se primjenjivati kraće liječenje MDR-TB-a u trajanju 9 – 11 mjeseci koje </w:t>
      </w:r>
      <w:r w:rsidRPr="00AA459D">
        <w:rPr>
          <w:rFonts w:ascii="Tahoma" w:hAnsi="Tahoma"/>
          <w:sz w:val="18"/>
        </w:rPr>
        <w:t>preporučuje SZO (5, 25, 27).</w:t>
      </w:r>
      <w:r w:rsidRPr="004109A2">
        <w:rPr>
          <w:rFonts w:ascii="Tahoma" w:hAnsi="Tahoma"/>
          <w:sz w:val="18"/>
        </w:rPr>
        <w:t xml:space="preserve"> </w:t>
      </w:r>
    </w:p>
    <w:p w14:paraId="52C88848" w14:textId="11FC958E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Liječenje novim lijekovima uključujući bedakvilin i delamanid u kombinaciji s </w:t>
      </w:r>
      <w:r w:rsidR="00C967F4" w:rsidRPr="00AA459D">
        <w:rPr>
          <w:rFonts w:ascii="Tahoma" w:hAnsi="Tahoma"/>
          <w:sz w:val="18"/>
        </w:rPr>
        <w:t>prenamijenjenim</w:t>
      </w:r>
      <w:r w:rsidRPr="004109A2">
        <w:rPr>
          <w:rFonts w:ascii="Tahoma" w:hAnsi="Tahoma"/>
          <w:sz w:val="18"/>
        </w:rPr>
        <w:t xml:space="preserve"> lijekovima kao što su linezolid i klofazimin i lijekovima drugog </w:t>
      </w:r>
      <w:r w:rsidR="00D856B6">
        <w:rPr>
          <w:rFonts w:ascii="Tahoma" w:hAnsi="Tahoma"/>
          <w:sz w:val="18"/>
        </w:rPr>
        <w:t>reda</w:t>
      </w:r>
      <w:r w:rsidRPr="004109A2">
        <w:rPr>
          <w:rFonts w:ascii="Tahoma" w:hAnsi="Tahoma"/>
          <w:sz w:val="18"/>
        </w:rPr>
        <w:t xml:space="preserve"> na koje je soj </w:t>
      </w:r>
      <w:r w:rsidRPr="004109A2">
        <w:rPr>
          <w:rFonts w:ascii="Tahoma" w:hAnsi="Tahoma"/>
          <w:i/>
          <w:sz w:val="18"/>
        </w:rPr>
        <w:t>M. tuberculosis</w:t>
      </w:r>
      <w:r w:rsidRPr="004109A2">
        <w:rPr>
          <w:rFonts w:ascii="Tahoma" w:hAnsi="Tahoma"/>
          <w:sz w:val="18"/>
        </w:rPr>
        <w:t xml:space="preserve"> vjerojatno osjetljiv potrebno je u bolesnika koji boluju od XDR-TB-a ili bolesnika koji boluju od sojeva otpornih na fluorokinolone </w:t>
      </w:r>
      <w:r w:rsidR="00C967F4" w:rsidRPr="00EF22AA">
        <w:rPr>
          <w:rFonts w:ascii="Tahoma" w:hAnsi="Tahoma"/>
          <w:sz w:val="18"/>
        </w:rPr>
        <w:t xml:space="preserve">ili </w:t>
      </w:r>
      <w:r w:rsidR="00AA459D" w:rsidRPr="00EF22AA">
        <w:rPr>
          <w:rFonts w:ascii="Tahoma" w:hAnsi="Tahoma"/>
          <w:sz w:val="18"/>
        </w:rPr>
        <w:t>parenteralne lijekove</w:t>
      </w:r>
      <w:r w:rsidR="00C967F4" w:rsidRPr="00EF22AA">
        <w:rPr>
          <w:rFonts w:ascii="Tahoma" w:hAnsi="Tahoma"/>
          <w:sz w:val="18"/>
        </w:rPr>
        <w:t xml:space="preserve"> drugog </w:t>
      </w:r>
      <w:r w:rsidR="00D856B6" w:rsidRPr="00EF22AA">
        <w:rPr>
          <w:rFonts w:ascii="Tahoma" w:hAnsi="Tahoma"/>
          <w:sz w:val="18"/>
        </w:rPr>
        <w:t>reda</w:t>
      </w:r>
      <w:r w:rsidRPr="004109A2">
        <w:rPr>
          <w:rFonts w:ascii="Tahoma" w:hAnsi="Tahoma"/>
          <w:sz w:val="18"/>
        </w:rPr>
        <w:t xml:space="preserve"> (28, 29). U bolesnika kod kojih je došlo do ozbiljnih </w:t>
      </w:r>
      <w:r w:rsidR="00D6705D">
        <w:rPr>
          <w:rFonts w:ascii="Tahoma" w:hAnsi="Tahoma"/>
          <w:sz w:val="18"/>
        </w:rPr>
        <w:t>nuspojava</w:t>
      </w:r>
      <w:r w:rsidR="00D6705D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tijekom primjene fluorokinolona ili </w:t>
      </w:r>
      <w:r w:rsidR="00D6705D">
        <w:rPr>
          <w:rFonts w:ascii="Tahoma" w:hAnsi="Tahoma"/>
          <w:sz w:val="18"/>
        </w:rPr>
        <w:t>parenteralnih lijekova</w:t>
      </w:r>
      <w:r w:rsidRPr="004109A2">
        <w:rPr>
          <w:rFonts w:ascii="Tahoma" w:hAnsi="Tahoma"/>
          <w:sz w:val="18"/>
        </w:rPr>
        <w:t xml:space="preserve"> drugog </w:t>
      </w:r>
      <w:r w:rsidR="00D856B6">
        <w:rPr>
          <w:rFonts w:ascii="Tahoma" w:hAnsi="Tahoma"/>
          <w:sz w:val="18"/>
        </w:rPr>
        <w:t>reda</w:t>
      </w:r>
      <w:r w:rsidRPr="004109A2">
        <w:rPr>
          <w:rFonts w:ascii="Tahoma" w:hAnsi="Tahoma"/>
          <w:sz w:val="18"/>
        </w:rPr>
        <w:t xml:space="preserve"> moguće je uvesti nove prenamijenjene lijekove.</w:t>
      </w:r>
    </w:p>
    <w:p w14:paraId="722121B9" w14:textId="16C03812" w:rsidR="00DA3A70" w:rsidRPr="004109A2" w:rsidRDefault="0052485E" w:rsidP="000D0DB0">
      <w:pPr>
        <w:rPr>
          <w:rFonts w:ascii="Tahoma" w:hAnsi="Tahoma" w:cs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</w:rPr>
        <w:t>Nadzor nad n</w:t>
      </w:r>
      <w:r w:rsidR="00D6705D" w:rsidRPr="00EF22AA">
        <w:rPr>
          <w:rFonts w:ascii="Tahoma" w:hAnsi="Tahoma"/>
          <w:spacing w:val="-2"/>
          <w:sz w:val="18"/>
        </w:rPr>
        <w:t>uspojavama</w:t>
      </w:r>
      <w:r w:rsidR="00190101" w:rsidRPr="004109A2">
        <w:rPr>
          <w:rFonts w:ascii="Tahoma" w:hAnsi="Tahoma"/>
          <w:spacing w:val="-2"/>
          <w:sz w:val="18"/>
        </w:rPr>
        <w:t xml:space="preserve"> do kojih dođe nakon propisivanja lijekova drugog </w:t>
      </w:r>
      <w:r w:rsidR="00D856B6">
        <w:rPr>
          <w:rFonts w:ascii="Tahoma" w:hAnsi="Tahoma"/>
          <w:spacing w:val="-2"/>
          <w:sz w:val="18"/>
        </w:rPr>
        <w:t>reda</w:t>
      </w:r>
      <w:r w:rsidR="00190101" w:rsidRPr="004109A2">
        <w:rPr>
          <w:rFonts w:ascii="Tahoma" w:hAnsi="Tahoma"/>
          <w:spacing w:val="-2"/>
          <w:sz w:val="18"/>
        </w:rPr>
        <w:t xml:space="preserve"> treba </w:t>
      </w:r>
      <w:r>
        <w:rPr>
          <w:rFonts w:ascii="Tahoma" w:hAnsi="Tahoma"/>
          <w:spacing w:val="-2"/>
          <w:sz w:val="18"/>
        </w:rPr>
        <w:t>provoditi</w:t>
      </w:r>
      <w:r w:rsidRPr="004109A2">
        <w:rPr>
          <w:rFonts w:ascii="Tahoma" w:hAnsi="Tahoma"/>
          <w:spacing w:val="-2"/>
          <w:sz w:val="18"/>
        </w:rPr>
        <w:t xml:space="preserve"> </w:t>
      </w:r>
      <w:r w:rsidR="00190101" w:rsidRPr="004109A2">
        <w:rPr>
          <w:rFonts w:ascii="Tahoma" w:hAnsi="Tahoma"/>
          <w:spacing w:val="-2"/>
          <w:sz w:val="18"/>
        </w:rPr>
        <w:t>u skladu s međunarodnim preporukama kako bi se ograničila mogućnost gubitka djelotvornog lijeka uslijed takvih štetnih događaja (2).</w:t>
      </w:r>
    </w:p>
    <w:p w14:paraId="7C17A1CD" w14:textId="6D2C6E3C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Tim stručnjaka (npr. Konzilij </w:t>
      </w:r>
      <w:r w:rsidR="00D6705D">
        <w:rPr>
          <w:rFonts w:ascii="Tahoma" w:hAnsi="Tahoma"/>
          <w:sz w:val="18"/>
        </w:rPr>
        <w:t>za</w:t>
      </w:r>
      <w:r w:rsidR="00D6705D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tuberkuloz</w:t>
      </w:r>
      <w:r w:rsidR="00D6705D">
        <w:rPr>
          <w:rFonts w:ascii="Tahoma" w:hAnsi="Tahoma"/>
          <w:sz w:val="18"/>
        </w:rPr>
        <w:t>u</w:t>
      </w:r>
      <w:r w:rsidRPr="004109A2">
        <w:rPr>
          <w:rFonts w:ascii="Tahoma" w:hAnsi="Tahoma"/>
          <w:sz w:val="18"/>
        </w:rPr>
        <w:t xml:space="preserve">, engl. </w:t>
      </w:r>
      <w:r w:rsidRPr="004109A2">
        <w:rPr>
          <w:rFonts w:ascii="Tahoma" w:hAnsi="Tahoma"/>
          <w:i/>
          <w:sz w:val="18"/>
        </w:rPr>
        <w:t>TB Consilium</w:t>
      </w:r>
      <w:r w:rsidRPr="004109A2">
        <w:rPr>
          <w:rFonts w:ascii="Tahoma" w:hAnsi="Tahoma"/>
          <w:sz w:val="18"/>
        </w:rPr>
        <w:t xml:space="preserve"> ili slično tijelo), a ne liječnici</w:t>
      </w:r>
      <w:r w:rsidRPr="00190101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pojedinačn</w:t>
      </w:r>
      <w:r>
        <w:rPr>
          <w:rFonts w:ascii="Tahoma" w:hAnsi="Tahoma"/>
          <w:sz w:val="18"/>
        </w:rPr>
        <w:t>o</w:t>
      </w:r>
      <w:r w:rsidRPr="004109A2">
        <w:rPr>
          <w:rFonts w:ascii="Tahoma" w:hAnsi="Tahoma"/>
          <w:sz w:val="18"/>
        </w:rPr>
        <w:t xml:space="preserve">, treba upravljati </w:t>
      </w:r>
      <w:r w:rsidR="00D6705D">
        <w:rPr>
          <w:rFonts w:ascii="Tahoma" w:hAnsi="Tahoma"/>
          <w:sz w:val="18"/>
        </w:rPr>
        <w:t>nuspojavama liječenja</w:t>
      </w:r>
      <w:r w:rsidRPr="004109A2">
        <w:rPr>
          <w:rFonts w:ascii="Tahoma" w:hAnsi="Tahoma"/>
          <w:sz w:val="18"/>
        </w:rPr>
        <w:t xml:space="preserve">, kao i donositi odluke o uvođenju, prilagodbi ili prekidu režima </w:t>
      </w:r>
      <w:r w:rsidR="00D6705D">
        <w:rPr>
          <w:rFonts w:ascii="Tahoma" w:hAnsi="Tahoma"/>
          <w:sz w:val="18"/>
        </w:rPr>
        <w:t xml:space="preserve">liječenja </w:t>
      </w:r>
      <w:r w:rsidRPr="004109A2">
        <w:rPr>
          <w:rFonts w:ascii="Tahoma" w:hAnsi="Tahoma"/>
          <w:sz w:val="18"/>
        </w:rPr>
        <w:t xml:space="preserve">u okviru kojeg se daju lijekovi drugog </w:t>
      </w:r>
      <w:r w:rsidR="00D856B6">
        <w:rPr>
          <w:rFonts w:ascii="Tahoma" w:hAnsi="Tahoma"/>
          <w:sz w:val="18"/>
        </w:rPr>
        <w:t>reda</w:t>
      </w:r>
      <w:r w:rsidRPr="004109A2">
        <w:rPr>
          <w:rFonts w:ascii="Tahoma" w:hAnsi="Tahoma"/>
          <w:sz w:val="18"/>
        </w:rPr>
        <w:t xml:space="preserve"> kako bi se pogreške svele na najnižu moguću razinu, ali i podijelila odgovornost, iskustvo i stručnost (28, 30, 31). Treba </w:t>
      </w:r>
      <w:r w:rsidR="00D6705D">
        <w:rPr>
          <w:rFonts w:ascii="Tahoma" w:hAnsi="Tahoma"/>
          <w:sz w:val="18"/>
        </w:rPr>
        <w:t>uložiti</w:t>
      </w:r>
      <w:r w:rsidR="00D6705D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sv</w:t>
      </w:r>
      <w:r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 xml:space="preserve"> moguć</w:t>
      </w:r>
      <w:r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 xml:space="preserve"> napor</w:t>
      </w:r>
      <w:r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 xml:space="preserve"> kako bi se izbjegao razvoj dodatne otpornosti na lijekove.</w:t>
      </w:r>
    </w:p>
    <w:p w14:paraId="31A72F62" w14:textId="334982FF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>SZO je predložio da je u odabranim slučajevima plućne tuberkuloze, npr. u slučajevima velikih šupljina koje se nalaze samo u jednom režnju, osim kemoterapije</w:t>
      </w:r>
      <w:r>
        <w:rPr>
          <w:rFonts w:ascii="Tahoma" w:hAnsi="Tahoma"/>
          <w:sz w:val="18"/>
        </w:rPr>
        <w:t>,</w:t>
      </w:r>
      <w:r w:rsidRPr="004109A2">
        <w:rPr>
          <w:rFonts w:ascii="Tahoma" w:hAnsi="Tahoma"/>
          <w:sz w:val="18"/>
        </w:rPr>
        <w:t xml:space="preserve"> moguć i kirurški zahvat (23). Potrebna su daljnja istraživanja u tom području.</w:t>
      </w:r>
    </w:p>
    <w:p w14:paraId="75D18A74" w14:textId="77777777" w:rsidR="00835340" w:rsidRPr="004109A2" w:rsidRDefault="0052485E">
      <w:pPr>
        <w:spacing w:after="160" w:line="259" w:lineRule="auto"/>
        <w:rPr>
          <w:b/>
        </w:rPr>
      </w:pPr>
      <w:r w:rsidRPr="004109A2">
        <w:br w:type="page"/>
      </w:r>
    </w:p>
    <w:p w14:paraId="02B98BC4" w14:textId="5C8DF2A6" w:rsidR="00DA3A70" w:rsidRPr="004109A2" w:rsidRDefault="0052485E" w:rsidP="0028467E">
      <w:pPr>
        <w:spacing w:after="120"/>
        <w:rPr>
          <w:rFonts w:ascii="Tahoma" w:hAnsi="Tahoma" w:cs="Tahoma"/>
          <w:b/>
          <w:sz w:val="18"/>
          <w:szCs w:val="18"/>
        </w:rPr>
      </w:pPr>
      <w:r w:rsidRPr="004109A2">
        <w:rPr>
          <w:rFonts w:ascii="Tahoma" w:hAnsi="Tahoma"/>
          <w:b/>
          <w:sz w:val="18"/>
        </w:rPr>
        <w:t xml:space="preserve">Klasifikacija </w:t>
      </w:r>
      <w:r>
        <w:rPr>
          <w:rFonts w:ascii="Tahoma" w:hAnsi="Tahoma"/>
          <w:b/>
          <w:sz w:val="18"/>
        </w:rPr>
        <w:t xml:space="preserve">antituberkulotskih </w:t>
      </w:r>
      <w:r w:rsidRPr="004109A2">
        <w:rPr>
          <w:rFonts w:ascii="Tahoma" w:hAnsi="Tahoma"/>
          <w:b/>
          <w:sz w:val="18"/>
        </w:rPr>
        <w:t>lijekova (23) koju je izdala Svjetska zdravstvena organizacija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31"/>
        <w:gridCol w:w="675"/>
        <w:gridCol w:w="2528"/>
        <w:gridCol w:w="2835"/>
      </w:tblGrid>
      <w:tr w:rsidR="00C34F04" w14:paraId="0F4724C7" w14:textId="77777777" w:rsidTr="0028467E">
        <w:tc>
          <w:tcPr>
            <w:tcW w:w="3031" w:type="dxa"/>
            <w:shd w:val="clear" w:color="auto" w:fill="69AF23"/>
          </w:tcPr>
          <w:p w14:paraId="233388FD" w14:textId="77777777" w:rsidR="00DA3A70" w:rsidRPr="004109A2" w:rsidRDefault="0052485E" w:rsidP="0028467E">
            <w:pPr>
              <w:autoSpaceDE w:val="0"/>
              <w:autoSpaceDN w:val="0"/>
              <w:adjustRightInd w:val="0"/>
              <w:spacing w:before="120" w:after="120" w:line="240" w:lineRule="auto"/>
              <w:ind w:left="720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4109A2">
              <w:rPr>
                <w:rFonts w:ascii="Tahoma" w:hAnsi="Tahoma"/>
                <w:b/>
                <w:color w:val="FFFFFF" w:themeColor="background1"/>
                <w:sz w:val="18"/>
              </w:rPr>
              <w:t>Skupina</w:t>
            </w:r>
          </w:p>
        </w:tc>
        <w:tc>
          <w:tcPr>
            <w:tcW w:w="3203" w:type="dxa"/>
            <w:gridSpan w:val="2"/>
            <w:shd w:val="clear" w:color="auto" w:fill="69AF23"/>
          </w:tcPr>
          <w:p w14:paraId="0B1B20E4" w14:textId="77777777" w:rsidR="00DA3A70" w:rsidRPr="004109A2" w:rsidRDefault="0052485E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4109A2">
              <w:rPr>
                <w:rFonts w:ascii="Tahoma" w:hAnsi="Tahoma"/>
                <w:b/>
                <w:color w:val="FFFFFF" w:themeColor="background1"/>
                <w:sz w:val="18"/>
              </w:rPr>
              <w:t>Lijekovi</w:t>
            </w:r>
          </w:p>
        </w:tc>
        <w:tc>
          <w:tcPr>
            <w:tcW w:w="2835" w:type="dxa"/>
            <w:shd w:val="clear" w:color="auto" w:fill="69AF23"/>
          </w:tcPr>
          <w:p w14:paraId="2AC9802E" w14:textId="77777777" w:rsidR="00DA3A70" w:rsidRPr="004109A2" w:rsidRDefault="0052485E" w:rsidP="0028467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4109A2">
              <w:rPr>
                <w:rFonts w:ascii="Tahoma" w:hAnsi="Tahoma"/>
                <w:b/>
                <w:color w:val="FFFFFF" w:themeColor="background1"/>
                <w:sz w:val="18"/>
              </w:rPr>
              <w:t>Kratica</w:t>
            </w:r>
          </w:p>
        </w:tc>
      </w:tr>
      <w:tr w:rsidR="00C34F04" w14:paraId="3BD048A6" w14:textId="77777777" w:rsidTr="0028467E">
        <w:tc>
          <w:tcPr>
            <w:tcW w:w="3031" w:type="dxa"/>
            <w:shd w:val="clear" w:color="auto" w:fill="auto"/>
          </w:tcPr>
          <w:p w14:paraId="375AA562" w14:textId="77777777" w:rsidR="00DA3A70" w:rsidRPr="004109A2" w:rsidRDefault="0052485E" w:rsidP="00D40AC5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Fluorokinoloni</w:t>
            </w:r>
          </w:p>
        </w:tc>
        <w:tc>
          <w:tcPr>
            <w:tcW w:w="3203" w:type="dxa"/>
            <w:gridSpan w:val="2"/>
            <w:shd w:val="clear" w:color="auto" w:fill="auto"/>
          </w:tcPr>
          <w:p w14:paraId="2B877832" w14:textId="77777777" w:rsidR="00DA3A70" w:rsidRPr="004109A2" w:rsidRDefault="0052485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Levofloksacin</w:t>
            </w:r>
          </w:p>
          <w:p w14:paraId="071AD69B" w14:textId="77777777" w:rsidR="00DA3A70" w:rsidRPr="004109A2" w:rsidRDefault="0052485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Moksifloksacin</w:t>
            </w:r>
          </w:p>
          <w:p w14:paraId="2BA7B3E1" w14:textId="77777777" w:rsidR="00DA3A70" w:rsidRPr="004109A2" w:rsidRDefault="0052485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Gatifloksacin</w:t>
            </w:r>
          </w:p>
        </w:tc>
        <w:tc>
          <w:tcPr>
            <w:tcW w:w="2835" w:type="dxa"/>
            <w:shd w:val="clear" w:color="auto" w:fill="auto"/>
          </w:tcPr>
          <w:p w14:paraId="5BAC81B9" w14:textId="77777777" w:rsidR="00DA3A70" w:rsidRPr="004109A2" w:rsidRDefault="0052485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Lfx</w:t>
            </w:r>
          </w:p>
          <w:p w14:paraId="03F97EE3" w14:textId="77777777" w:rsidR="00DA3A70" w:rsidRPr="004109A2" w:rsidRDefault="0052485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Mfx</w:t>
            </w:r>
          </w:p>
          <w:p w14:paraId="1585746D" w14:textId="77777777" w:rsidR="00DA3A70" w:rsidRPr="004109A2" w:rsidRDefault="0052485E" w:rsidP="000D0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Gfx</w:t>
            </w:r>
          </w:p>
        </w:tc>
      </w:tr>
      <w:tr w:rsidR="00C34F04" w14:paraId="0488FF2C" w14:textId="77777777" w:rsidTr="0028467E">
        <w:tc>
          <w:tcPr>
            <w:tcW w:w="3031" w:type="dxa"/>
            <w:shd w:val="clear" w:color="auto" w:fill="auto"/>
          </w:tcPr>
          <w:p w14:paraId="407FD3FC" w14:textId="0425BBEE" w:rsidR="00DA3A70" w:rsidRPr="004109A2" w:rsidRDefault="0052485E" w:rsidP="00A21D3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sz w:val="18"/>
              </w:rPr>
              <w:t xml:space="preserve">Parenteralni lijekovi </w:t>
            </w:r>
            <w:r w:rsidR="00DE2656" w:rsidRPr="004109A2">
              <w:rPr>
                <w:rFonts w:ascii="Tahoma" w:hAnsi="Tahoma"/>
                <w:sz w:val="18"/>
              </w:rPr>
              <w:t xml:space="preserve">drugog </w:t>
            </w:r>
            <w:r w:rsidR="00D856B6">
              <w:rPr>
                <w:rFonts w:ascii="Tahoma" w:hAnsi="Tahoma"/>
                <w:sz w:val="18"/>
              </w:rPr>
              <w:t>reda</w:t>
            </w:r>
          </w:p>
        </w:tc>
        <w:tc>
          <w:tcPr>
            <w:tcW w:w="3203" w:type="dxa"/>
            <w:gridSpan w:val="2"/>
            <w:shd w:val="clear" w:color="auto" w:fill="auto"/>
          </w:tcPr>
          <w:p w14:paraId="02F42F8F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Amikacin</w:t>
            </w:r>
          </w:p>
          <w:p w14:paraId="6CD13F96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Kapreomicin</w:t>
            </w:r>
          </w:p>
          <w:p w14:paraId="32815801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Kanamicin</w:t>
            </w:r>
          </w:p>
          <w:p w14:paraId="2719E82B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(Streptomicin)</w:t>
            </w:r>
          </w:p>
        </w:tc>
        <w:tc>
          <w:tcPr>
            <w:tcW w:w="2835" w:type="dxa"/>
            <w:shd w:val="clear" w:color="auto" w:fill="auto"/>
          </w:tcPr>
          <w:p w14:paraId="27EC903D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Am</w:t>
            </w:r>
          </w:p>
          <w:p w14:paraId="39664D1A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Cm</w:t>
            </w:r>
          </w:p>
          <w:p w14:paraId="24A8A93A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Km</w:t>
            </w:r>
          </w:p>
          <w:p w14:paraId="7570D42F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(S)</w:t>
            </w:r>
          </w:p>
        </w:tc>
      </w:tr>
      <w:tr w:rsidR="00C34F04" w14:paraId="396333A3" w14:textId="77777777" w:rsidTr="0028467E">
        <w:tc>
          <w:tcPr>
            <w:tcW w:w="3031" w:type="dxa"/>
            <w:shd w:val="clear" w:color="auto" w:fill="auto"/>
          </w:tcPr>
          <w:p w14:paraId="16B1E446" w14:textId="74FA3365" w:rsidR="00DA3A70" w:rsidRPr="004109A2" w:rsidRDefault="0052485E" w:rsidP="0019010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 xml:space="preserve">Ostali glavni </w:t>
            </w:r>
            <w:r>
              <w:rPr>
                <w:rFonts w:ascii="Tahoma" w:hAnsi="Tahoma"/>
                <w:sz w:val="18"/>
              </w:rPr>
              <w:t>lijekovi</w:t>
            </w:r>
            <w:r w:rsidRPr="004109A2">
              <w:rPr>
                <w:rFonts w:ascii="Tahoma" w:hAnsi="Tahoma"/>
                <w:sz w:val="18"/>
              </w:rPr>
              <w:t xml:space="preserve"> drugog </w:t>
            </w:r>
            <w:r w:rsidR="00D856B6">
              <w:rPr>
                <w:rFonts w:ascii="Tahoma" w:hAnsi="Tahoma"/>
                <w:sz w:val="18"/>
              </w:rPr>
              <w:t>reda</w:t>
            </w:r>
          </w:p>
        </w:tc>
        <w:tc>
          <w:tcPr>
            <w:tcW w:w="3203" w:type="dxa"/>
            <w:gridSpan w:val="2"/>
            <w:shd w:val="clear" w:color="auto" w:fill="auto"/>
          </w:tcPr>
          <w:p w14:paraId="418F0821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Etionamid/Protionamid</w:t>
            </w:r>
          </w:p>
          <w:p w14:paraId="2737A465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Cikloserin/Terizidon</w:t>
            </w:r>
          </w:p>
          <w:p w14:paraId="1CAA7855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Linezolid</w:t>
            </w:r>
          </w:p>
          <w:p w14:paraId="52D70CD9" w14:textId="77777777" w:rsidR="00DA3A70" w:rsidRPr="004109A2" w:rsidRDefault="0052485E" w:rsidP="00BD3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Klofazimin</w:t>
            </w:r>
          </w:p>
        </w:tc>
        <w:tc>
          <w:tcPr>
            <w:tcW w:w="2835" w:type="dxa"/>
            <w:shd w:val="clear" w:color="auto" w:fill="auto"/>
          </w:tcPr>
          <w:p w14:paraId="1F14D4F9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Eto/Pto</w:t>
            </w:r>
          </w:p>
          <w:p w14:paraId="7D3B1CC2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Cs/Trd</w:t>
            </w:r>
          </w:p>
          <w:p w14:paraId="5FCB498B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Lzd</w:t>
            </w:r>
          </w:p>
          <w:p w14:paraId="14D13822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Cfz</w:t>
            </w:r>
          </w:p>
        </w:tc>
      </w:tr>
      <w:tr w:rsidR="00C34F04" w14:paraId="3C123B81" w14:textId="77777777" w:rsidTr="0028467E">
        <w:tc>
          <w:tcPr>
            <w:tcW w:w="3031" w:type="dxa"/>
            <w:vMerge w:val="restart"/>
            <w:shd w:val="clear" w:color="auto" w:fill="auto"/>
          </w:tcPr>
          <w:p w14:paraId="2DC0D267" w14:textId="66A64047" w:rsidR="00DA3A70" w:rsidRPr="004109A2" w:rsidRDefault="0052485E" w:rsidP="0019010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 xml:space="preserve">Dodatni </w:t>
            </w:r>
            <w:r>
              <w:rPr>
                <w:rFonts w:ascii="Tahoma" w:hAnsi="Tahoma"/>
                <w:sz w:val="18"/>
              </w:rPr>
              <w:t>lijekov</w:t>
            </w:r>
            <w:r w:rsidRPr="004109A2">
              <w:rPr>
                <w:rFonts w:ascii="Tahoma" w:hAnsi="Tahoma"/>
                <w:sz w:val="18"/>
              </w:rPr>
              <w:t>i</w:t>
            </w:r>
            <w:r w:rsidRPr="004109A2">
              <w:rPr>
                <w:rFonts w:ascii="Tahoma" w:hAnsi="Tahoma" w:cs="Tahoma"/>
                <w:sz w:val="18"/>
                <w:szCs w:val="18"/>
              </w:rPr>
              <w:br/>
            </w:r>
            <w:r w:rsidRPr="004109A2">
              <w:rPr>
                <w:rFonts w:ascii="Tahoma" w:hAnsi="Tahoma"/>
                <w:sz w:val="18"/>
              </w:rPr>
              <w:t xml:space="preserve">(nisu dio glavnog režima </w:t>
            </w:r>
            <w:r w:rsidR="00D6705D">
              <w:rPr>
                <w:rFonts w:ascii="Tahoma" w:hAnsi="Tahoma"/>
                <w:sz w:val="18"/>
              </w:rPr>
              <w:t>liječenja</w:t>
            </w:r>
            <w:r w:rsidR="00D6705D" w:rsidRPr="004109A2">
              <w:rPr>
                <w:rFonts w:ascii="Tahoma" w:hAnsi="Tahoma"/>
                <w:sz w:val="18"/>
              </w:rPr>
              <w:t xml:space="preserve"> </w:t>
            </w:r>
            <w:r w:rsidRPr="004109A2">
              <w:rPr>
                <w:rFonts w:ascii="Tahoma" w:hAnsi="Tahoma"/>
                <w:sz w:val="18"/>
              </w:rPr>
              <w:t>MDR-TB-a)</w:t>
            </w:r>
          </w:p>
        </w:tc>
        <w:tc>
          <w:tcPr>
            <w:tcW w:w="675" w:type="dxa"/>
            <w:shd w:val="clear" w:color="auto" w:fill="auto"/>
          </w:tcPr>
          <w:p w14:paraId="59547941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D1</w:t>
            </w:r>
          </w:p>
        </w:tc>
        <w:tc>
          <w:tcPr>
            <w:tcW w:w="2528" w:type="dxa"/>
            <w:shd w:val="clear" w:color="auto" w:fill="auto"/>
          </w:tcPr>
          <w:p w14:paraId="18BCA987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Pirazinamid</w:t>
            </w:r>
          </w:p>
          <w:p w14:paraId="18C05DA3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Etambutol</w:t>
            </w:r>
          </w:p>
          <w:p w14:paraId="26D4F588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Izoniazid u visokoj dozi</w:t>
            </w:r>
          </w:p>
        </w:tc>
        <w:tc>
          <w:tcPr>
            <w:tcW w:w="2835" w:type="dxa"/>
            <w:shd w:val="clear" w:color="auto" w:fill="auto"/>
          </w:tcPr>
          <w:p w14:paraId="52DC288A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Z</w:t>
            </w:r>
          </w:p>
          <w:p w14:paraId="630C1092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E</w:t>
            </w:r>
          </w:p>
          <w:p w14:paraId="60E49418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4109A2">
              <w:rPr>
                <w:rFonts w:ascii="Tahoma" w:hAnsi="Tahoma"/>
                <w:sz w:val="18"/>
              </w:rPr>
              <w:t xml:space="preserve">H </w:t>
            </w:r>
            <w:r w:rsidRPr="004109A2">
              <w:rPr>
                <w:rFonts w:ascii="Tahoma" w:hAnsi="Tahoma"/>
                <w:b/>
                <w:sz w:val="18"/>
                <w:vertAlign w:val="subscript"/>
              </w:rPr>
              <w:t>(u visokoj dozi)</w:t>
            </w:r>
          </w:p>
        </w:tc>
      </w:tr>
      <w:tr w:rsidR="00C34F04" w14:paraId="6ECF5D0F" w14:textId="77777777" w:rsidTr="0028467E">
        <w:tc>
          <w:tcPr>
            <w:tcW w:w="3031" w:type="dxa"/>
            <w:vMerge/>
            <w:shd w:val="clear" w:color="auto" w:fill="auto"/>
          </w:tcPr>
          <w:p w14:paraId="22819516" w14:textId="77777777" w:rsidR="00DA3A70" w:rsidRPr="004109A2" w:rsidRDefault="00DA3A7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14:paraId="604142EF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D2</w:t>
            </w:r>
          </w:p>
        </w:tc>
        <w:tc>
          <w:tcPr>
            <w:tcW w:w="2528" w:type="dxa"/>
            <w:shd w:val="clear" w:color="auto" w:fill="auto"/>
          </w:tcPr>
          <w:p w14:paraId="42B1B1C7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Bedakvilin</w:t>
            </w:r>
          </w:p>
          <w:p w14:paraId="35FDE8CC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Delamanid</w:t>
            </w:r>
          </w:p>
        </w:tc>
        <w:tc>
          <w:tcPr>
            <w:tcW w:w="2835" w:type="dxa"/>
            <w:shd w:val="clear" w:color="auto" w:fill="auto"/>
          </w:tcPr>
          <w:p w14:paraId="68D8BB37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Bdq</w:t>
            </w:r>
          </w:p>
          <w:p w14:paraId="5D931667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Dlm</w:t>
            </w:r>
          </w:p>
        </w:tc>
      </w:tr>
      <w:tr w:rsidR="00C34F04" w14:paraId="4A9475B5" w14:textId="77777777" w:rsidTr="0028467E">
        <w:tc>
          <w:tcPr>
            <w:tcW w:w="3031" w:type="dxa"/>
            <w:vMerge/>
            <w:shd w:val="clear" w:color="auto" w:fill="auto"/>
          </w:tcPr>
          <w:p w14:paraId="2431FB04" w14:textId="77777777" w:rsidR="00DA3A70" w:rsidRPr="004109A2" w:rsidRDefault="00DA3A70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14:paraId="2C7797F4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D3</w:t>
            </w:r>
          </w:p>
        </w:tc>
        <w:tc>
          <w:tcPr>
            <w:tcW w:w="2528" w:type="dxa"/>
            <w:shd w:val="clear" w:color="auto" w:fill="auto"/>
          </w:tcPr>
          <w:p w14:paraId="030D3AC5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p-amino-salicilna kiselina</w:t>
            </w:r>
          </w:p>
          <w:p w14:paraId="2D9443DA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Imipenem-cilastatin</w:t>
            </w:r>
          </w:p>
          <w:p w14:paraId="2BFBC316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Meropenem</w:t>
            </w:r>
          </w:p>
          <w:p w14:paraId="7477F902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Amoksilicin-klavulanat</w:t>
            </w:r>
          </w:p>
          <w:p w14:paraId="3998AFA6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(Tioacetazon)</w:t>
            </w:r>
          </w:p>
        </w:tc>
        <w:tc>
          <w:tcPr>
            <w:tcW w:w="2835" w:type="dxa"/>
            <w:shd w:val="clear" w:color="auto" w:fill="auto"/>
          </w:tcPr>
          <w:p w14:paraId="319738C4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PAS</w:t>
            </w:r>
          </w:p>
          <w:p w14:paraId="1169794B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Ipm</w:t>
            </w:r>
          </w:p>
          <w:p w14:paraId="165EEDAB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Mpm</w:t>
            </w:r>
          </w:p>
          <w:p w14:paraId="52D06E2B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Amx-Clv</w:t>
            </w:r>
          </w:p>
          <w:p w14:paraId="211F588A" w14:textId="77777777" w:rsidR="00DA3A70" w:rsidRPr="004109A2" w:rsidRDefault="0052485E" w:rsidP="006F63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109A2">
              <w:rPr>
                <w:rFonts w:ascii="Tahoma" w:hAnsi="Tahoma"/>
                <w:sz w:val="18"/>
              </w:rPr>
              <w:t>(T)</w:t>
            </w:r>
          </w:p>
        </w:tc>
      </w:tr>
    </w:tbl>
    <w:p w14:paraId="3C7476D9" w14:textId="77777777" w:rsidR="00DA3A70" w:rsidRPr="004109A2" w:rsidRDefault="00DA3A70" w:rsidP="00DB519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Cs w:val="24"/>
        </w:rPr>
      </w:pPr>
    </w:p>
    <w:p w14:paraId="5B00315B" w14:textId="77777777" w:rsidR="00DA3A70" w:rsidRPr="004109A2" w:rsidRDefault="0052485E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13. standard</w:t>
      </w:r>
    </w:p>
    <w:p w14:paraId="317257B0" w14:textId="0F380714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Za sve bolesnike treba voditi pisani ili elektronički zapisnik svih primijenjenih lijekova, praćenja liječenja (uključujući bakteriološki odgovor), </w:t>
      </w:r>
      <w:r w:rsidR="00AF60E8">
        <w:rPr>
          <w:rFonts w:ascii="Tahoma" w:hAnsi="Tahoma"/>
          <w:sz w:val="18"/>
        </w:rPr>
        <w:t>nuspojava</w:t>
      </w:r>
      <w:r w:rsidR="00AF60E8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i ishoda liječenja. </w:t>
      </w:r>
    </w:p>
    <w:p w14:paraId="0A9AB66F" w14:textId="77777777" w:rsidR="00835340" w:rsidRPr="004109A2" w:rsidRDefault="0052485E" w:rsidP="000D0DB0">
      <w:pPr>
        <w:pStyle w:val="EC-Title-6"/>
        <w:rPr>
          <w:sz w:val="18"/>
          <w:szCs w:val="18"/>
        </w:rPr>
      </w:pPr>
      <w:r w:rsidRPr="004109A2">
        <w:t>Zahtjevi specifični za EU</w:t>
      </w:r>
    </w:p>
    <w:p w14:paraId="6C557C57" w14:textId="71F54390" w:rsidR="00DA3A70" w:rsidRPr="004109A2" w:rsidRDefault="0052485E" w:rsidP="00604B0D">
      <w:pPr>
        <w:widowControl w:val="0"/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  <w:sz w:val="18"/>
        </w:rPr>
        <w:t>Tijekom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prvog kontakta </w:t>
      </w:r>
      <w:r w:rsidR="00BB6C12">
        <w:rPr>
          <w:rFonts w:ascii="Tahoma" w:hAnsi="Tahoma"/>
          <w:sz w:val="18"/>
        </w:rPr>
        <w:t>kod</w:t>
      </w:r>
      <w:r w:rsidR="00BB6C12" w:rsidRPr="004109A2">
        <w:rPr>
          <w:rFonts w:ascii="Tahoma" w:hAnsi="Tahoma"/>
          <w:sz w:val="18"/>
        </w:rPr>
        <w:t xml:space="preserve"> svak</w:t>
      </w:r>
      <w:r w:rsidR="00BB6C12">
        <w:rPr>
          <w:rFonts w:ascii="Tahoma" w:hAnsi="Tahoma"/>
          <w:sz w:val="18"/>
        </w:rPr>
        <w:t>og</w:t>
      </w:r>
      <w:r w:rsidR="00BB6C12" w:rsidRPr="004109A2">
        <w:rPr>
          <w:rFonts w:ascii="Tahoma" w:hAnsi="Tahoma"/>
          <w:sz w:val="18"/>
        </w:rPr>
        <w:t xml:space="preserve"> bolesnik</w:t>
      </w:r>
      <w:r w:rsidR="00BB6C12">
        <w:rPr>
          <w:rFonts w:ascii="Tahoma" w:hAnsi="Tahoma"/>
          <w:sz w:val="18"/>
        </w:rPr>
        <w:t>a</w:t>
      </w:r>
      <w:r w:rsidR="00BB6C12"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treba prikupiti </w:t>
      </w:r>
      <w:r>
        <w:rPr>
          <w:rFonts w:ascii="Tahoma" w:hAnsi="Tahoma"/>
          <w:sz w:val="18"/>
        </w:rPr>
        <w:t>detaljnu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kliničku i </w:t>
      </w:r>
      <w:r w:rsidR="00C967F4" w:rsidRPr="00CD48E9">
        <w:rPr>
          <w:rFonts w:ascii="Tahoma" w:hAnsi="Tahoma"/>
          <w:sz w:val="18"/>
        </w:rPr>
        <w:t>društvenu</w:t>
      </w:r>
      <w:r w:rsidR="00DE2656" w:rsidRPr="004109A2">
        <w:rPr>
          <w:rFonts w:ascii="Tahoma" w:hAnsi="Tahoma"/>
          <w:sz w:val="18"/>
        </w:rPr>
        <w:t xml:space="preserve"> povijest povezanu s tuberkulozom i navesti je u </w:t>
      </w:r>
      <w:r>
        <w:rPr>
          <w:rFonts w:ascii="Tahoma" w:hAnsi="Tahoma"/>
          <w:sz w:val="18"/>
        </w:rPr>
        <w:t>medicinskoj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dokumentaciji. Ona treba sadržavati dostupne informacije o </w:t>
      </w:r>
      <w:r w:rsidR="00ED39DC" w:rsidRPr="004109A2">
        <w:rPr>
          <w:rFonts w:ascii="Tahoma" w:hAnsi="Tahoma"/>
          <w:sz w:val="18"/>
        </w:rPr>
        <w:t>prethodn</w:t>
      </w:r>
      <w:r w:rsidR="00ED39DC">
        <w:rPr>
          <w:rFonts w:ascii="Tahoma" w:hAnsi="Tahoma"/>
          <w:sz w:val="18"/>
        </w:rPr>
        <w:t>oj</w:t>
      </w:r>
      <w:r w:rsidR="00ED39DC" w:rsidRPr="004109A2">
        <w:rPr>
          <w:rFonts w:ascii="Tahoma" w:hAnsi="Tahoma"/>
          <w:sz w:val="18"/>
        </w:rPr>
        <w:t xml:space="preserve"> dijagnoz</w:t>
      </w:r>
      <w:r w:rsidR="00ED39DC">
        <w:rPr>
          <w:rFonts w:ascii="Tahoma" w:hAnsi="Tahoma"/>
          <w:sz w:val="18"/>
        </w:rPr>
        <w:t>i TB</w:t>
      </w:r>
      <w:r w:rsidR="00DE2656" w:rsidRPr="004109A2">
        <w:rPr>
          <w:rFonts w:ascii="Tahoma" w:hAnsi="Tahoma"/>
          <w:sz w:val="18"/>
        </w:rPr>
        <w:t>, liječenju (režim, doze, trajanje, izmjene režima itd.) i pridržavanju</w:t>
      </w:r>
      <w:r>
        <w:rPr>
          <w:rFonts w:ascii="Tahoma" w:hAnsi="Tahoma"/>
          <w:sz w:val="18"/>
        </w:rPr>
        <w:t xml:space="preserve"> propisanog liječenja</w:t>
      </w:r>
      <w:r w:rsidR="00DE2656" w:rsidRPr="004109A2">
        <w:rPr>
          <w:rFonts w:ascii="Tahoma" w:hAnsi="Tahoma"/>
          <w:sz w:val="18"/>
        </w:rPr>
        <w:t xml:space="preserve">, kao i potpune informacije o </w:t>
      </w:r>
      <w:r>
        <w:rPr>
          <w:rFonts w:ascii="Tahoma" w:hAnsi="Tahoma"/>
          <w:sz w:val="18"/>
        </w:rPr>
        <w:t xml:space="preserve">rezultatima </w:t>
      </w:r>
      <w:r w:rsidR="00DE2656" w:rsidRPr="004109A2">
        <w:rPr>
          <w:rFonts w:ascii="Tahoma" w:hAnsi="Tahoma"/>
          <w:sz w:val="18"/>
        </w:rPr>
        <w:t>bakteriolo</w:t>
      </w:r>
      <w:r>
        <w:rPr>
          <w:rFonts w:ascii="Tahoma" w:hAnsi="Tahoma"/>
          <w:sz w:val="18"/>
        </w:rPr>
        <w:t>ških pretraga</w:t>
      </w:r>
      <w:r w:rsidR="00DE2656" w:rsidRPr="004109A2">
        <w:rPr>
          <w:rFonts w:ascii="Tahoma" w:hAnsi="Tahoma"/>
          <w:sz w:val="18"/>
        </w:rPr>
        <w:t xml:space="preserve"> u trenutku postavljanja dijagnoze i tijekom praćenja (razmaz sputuma, kultura i </w:t>
      </w:r>
      <w:r w:rsidR="00ED39DC" w:rsidRPr="00ED39DC">
        <w:rPr>
          <w:rFonts w:ascii="Tahoma" w:hAnsi="Tahoma"/>
          <w:sz w:val="18"/>
        </w:rPr>
        <w:t>izolacija uzročnika</w:t>
      </w:r>
      <w:r w:rsidR="00DE2656" w:rsidRPr="004109A2">
        <w:rPr>
          <w:rFonts w:ascii="Tahoma" w:hAnsi="Tahoma"/>
          <w:sz w:val="18"/>
        </w:rPr>
        <w:t xml:space="preserve">, testiranje osjetljivosti na </w:t>
      </w:r>
      <w:r>
        <w:rPr>
          <w:rFonts w:ascii="Tahoma" w:hAnsi="Tahoma"/>
          <w:sz w:val="18"/>
        </w:rPr>
        <w:t>antituberkulotike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prvog i drugog </w:t>
      </w:r>
      <w:r w:rsidR="00D856B6">
        <w:rPr>
          <w:rFonts w:ascii="Tahoma" w:hAnsi="Tahoma"/>
          <w:sz w:val="18"/>
        </w:rPr>
        <w:t>reda</w:t>
      </w:r>
      <w:r w:rsidR="00DE2656" w:rsidRPr="004109A2">
        <w:rPr>
          <w:rFonts w:ascii="Tahoma" w:hAnsi="Tahoma"/>
          <w:sz w:val="18"/>
        </w:rPr>
        <w:t xml:space="preserve">). </w:t>
      </w:r>
      <w:r>
        <w:rPr>
          <w:rFonts w:ascii="Tahoma" w:hAnsi="Tahoma"/>
          <w:sz w:val="18"/>
        </w:rPr>
        <w:t>Ove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informacije trebaju biti navedene u dokumentaciji koja se predaje bolesniku (otpusno pismo, obrazac o premještaju ili slični dokument) kako bi se </w:t>
      </w:r>
      <w:r w:rsidRPr="004109A2">
        <w:rPr>
          <w:rFonts w:ascii="Tahoma" w:hAnsi="Tahoma"/>
          <w:sz w:val="18"/>
        </w:rPr>
        <w:t>omogući</w:t>
      </w:r>
      <w:r>
        <w:rPr>
          <w:rFonts w:ascii="Tahoma" w:hAnsi="Tahoma"/>
          <w:sz w:val="18"/>
        </w:rPr>
        <w:t>o</w:t>
      </w:r>
      <w:r w:rsidRPr="004109A2">
        <w:rPr>
          <w:rFonts w:ascii="Tahoma" w:hAnsi="Tahoma"/>
          <w:sz w:val="18"/>
        </w:rPr>
        <w:t xml:space="preserve"> </w:t>
      </w:r>
      <w:r>
        <w:rPr>
          <w:rFonts w:ascii="Tahoma" w:hAnsi="Tahoma"/>
          <w:sz w:val="18"/>
        </w:rPr>
        <w:t>kontinuitet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>skrbi u slučaju preseljenja bolesnika ili njegova premještaja u drugu zdravstvenu jedinicu (32, 33).</w:t>
      </w:r>
    </w:p>
    <w:p w14:paraId="26900267" w14:textId="77777777" w:rsidR="00D830C5" w:rsidRPr="004109A2" w:rsidRDefault="0052485E" w:rsidP="000D0DB0">
      <w:pPr>
        <w:pStyle w:val="EC-Title-5"/>
        <w:spacing w:before="120"/>
      </w:pPr>
      <w:r w:rsidRPr="004109A2">
        <w:t xml:space="preserve">Standardi za liječenje zaraze HIV-om i komorbiditeta </w:t>
      </w:r>
    </w:p>
    <w:p w14:paraId="7DB8F95D" w14:textId="77777777" w:rsidR="00DA3A70" w:rsidRPr="004109A2" w:rsidRDefault="0052485E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14. standard</w:t>
      </w:r>
    </w:p>
    <w:p w14:paraId="3C435DB8" w14:textId="77FA746C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Svim bolesnicima koji imaju ili za koje se sumnja da imaju tuberkulozu treba preporučiti savjetovanje o HIV-u i testiranje na HIV. Testiranje je od posebne važnosti kao dio </w:t>
      </w:r>
      <w:r w:rsidR="00E37FC7" w:rsidRPr="00BB6C12">
        <w:rPr>
          <w:rFonts w:ascii="Tahoma" w:hAnsi="Tahoma"/>
          <w:sz w:val="18"/>
        </w:rPr>
        <w:t>rutinsk</w:t>
      </w:r>
      <w:r w:rsidR="00E37FC7">
        <w:rPr>
          <w:rFonts w:ascii="Tahoma" w:hAnsi="Tahoma"/>
          <w:sz w:val="18"/>
        </w:rPr>
        <w:t xml:space="preserve">e sveobuhvatne skrbi nad </w:t>
      </w:r>
      <w:r w:rsidR="00C967F4" w:rsidRPr="00BB6C12">
        <w:rPr>
          <w:rFonts w:ascii="Tahoma" w:hAnsi="Tahoma"/>
          <w:sz w:val="18"/>
        </w:rPr>
        <w:t>bolesnicima</w:t>
      </w:r>
      <w:r w:rsidRPr="004109A2">
        <w:rPr>
          <w:rFonts w:ascii="Tahoma" w:hAnsi="Tahoma"/>
          <w:sz w:val="18"/>
        </w:rPr>
        <w:t xml:space="preserve"> u područjima </w:t>
      </w:r>
      <w:r w:rsidR="00E37FC7">
        <w:rPr>
          <w:rFonts w:ascii="Tahoma" w:hAnsi="Tahoma"/>
          <w:sz w:val="18"/>
        </w:rPr>
        <w:t xml:space="preserve">s visokom učestalošću </w:t>
      </w:r>
      <w:r w:rsidRPr="004109A2">
        <w:rPr>
          <w:rFonts w:ascii="Tahoma" w:hAnsi="Tahoma"/>
          <w:sz w:val="18"/>
        </w:rPr>
        <w:t>HIV</w:t>
      </w:r>
      <w:r w:rsidR="00E37FC7">
        <w:rPr>
          <w:rFonts w:ascii="Tahoma" w:hAnsi="Tahoma"/>
          <w:sz w:val="18"/>
        </w:rPr>
        <w:t xml:space="preserve"> infekcije</w:t>
      </w:r>
      <w:r w:rsidRPr="004109A2">
        <w:rPr>
          <w:rFonts w:ascii="Tahoma" w:hAnsi="Tahoma"/>
          <w:sz w:val="18"/>
        </w:rPr>
        <w:t xml:space="preserve"> u općoj populaciji ili u slučaju da bolesnik </w:t>
      </w:r>
      <w:r w:rsidR="00E37FC7">
        <w:rPr>
          <w:rFonts w:ascii="Tahoma" w:hAnsi="Tahoma"/>
          <w:sz w:val="18"/>
        </w:rPr>
        <w:t>pripada</w:t>
      </w:r>
      <w:r w:rsidRPr="004109A2">
        <w:rPr>
          <w:rFonts w:ascii="Tahoma" w:hAnsi="Tahoma"/>
          <w:sz w:val="18"/>
        </w:rPr>
        <w:t xml:space="preserve"> </w:t>
      </w:r>
      <w:r w:rsidR="00E37FC7" w:rsidRPr="004109A2">
        <w:rPr>
          <w:rFonts w:ascii="Tahoma" w:hAnsi="Tahoma"/>
          <w:sz w:val="18"/>
        </w:rPr>
        <w:t>visokorizičn</w:t>
      </w:r>
      <w:r w:rsidR="00E37FC7">
        <w:rPr>
          <w:rFonts w:ascii="Tahoma" w:hAnsi="Tahoma"/>
          <w:sz w:val="18"/>
        </w:rPr>
        <w:t>oj</w:t>
      </w:r>
      <w:r w:rsidR="00E37FC7" w:rsidRPr="004109A2">
        <w:rPr>
          <w:rFonts w:ascii="Tahoma" w:hAnsi="Tahoma"/>
          <w:sz w:val="18"/>
        </w:rPr>
        <w:t xml:space="preserve"> populacij</w:t>
      </w:r>
      <w:r w:rsidR="00E37FC7">
        <w:rPr>
          <w:rFonts w:ascii="Tahoma" w:hAnsi="Tahoma"/>
          <w:sz w:val="18"/>
        </w:rPr>
        <w:t>i</w:t>
      </w:r>
      <w:r w:rsidR="00E37FC7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ili ima simptome i/ili znakove stanja povezanih s HIV-om. Zbog jakog međudjelovanja između tuberkuloze i zaraze HIV-om preporučuju se integrirani pristupi spr</w:t>
      </w:r>
      <w:r w:rsidR="00D214C3">
        <w:rPr>
          <w:rFonts w:ascii="Tahoma" w:hAnsi="Tahoma"/>
          <w:sz w:val="18"/>
        </w:rPr>
        <w:t>j</w:t>
      </w:r>
      <w:r w:rsidRPr="004109A2">
        <w:rPr>
          <w:rFonts w:ascii="Tahoma" w:hAnsi="Tahoma"/>
          <w:sz w:val="18"/>
        </w:rPr>
        <w:t xml:space="preserve">ečavanju i liječenju obiju </w:t>
      </w:r>
      <w:r w:rsidR="00CD48E9">
        <w:rPr>
          <w:rFonts w:ascii="Tahoma" w:hAnsi="Tahoma"/>
          <w:sz w:val="18"/>
        </w:rPr>
        <w:t>infekcija</w:t>
      </w:r>
      <w:r w:rsidR="00CD48E9" w:rsidRPr="004109A2">
        <w:rPr>
          <w:rFonts w:ascii="Tahoma" w:hAnsi="Tahoma"/>
          <w:sz w:val="18"/>
        </w:rPr>
        <w:t> </w:t>
      </w:r>
      <w:r w:rsidRPr="004109A2">
        <w:rPr>
          <w:rFonts w:ascii="Tahoma" w:hAnsi="Tahoma"/>
          <w:sz w:val="18"/>
        </w:rPr>
        <w:t>(34).</w:t>
      </w:r>
    </w:p>
    <w:p w14:paraId="7F6F3C46" w14:textId="77777777" w:rsidR="00DA3A70" w:rsidRPr="004109A2" w:rsidRDefault="0052485E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15. standard</w:t>
      </w:r>
    </w:p>
    <w:p w14:paraId="696840DD" w14:textId="50A75682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>Sv</w:t>
      </w:r>
      <w:r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 xml:space="preserve"> bolesni</w:t>
      </w:r>
      <w:r>
        <w:rPr>
          <w:rFonts w:ascii="Tahoma" w:hAnsi="Tahoma"/>
          <w:sz w:val="18"/>
        </w:rPr>
        <w:t>ke</w:t>
      </w:r>
      <w:r w:rsidRPr="004109A2">
        <w:rPr>
          <w:rFonts w:ascii="Tahoma" w:hAnsi="Tahoma"/>
          <w:sz w:val="18"/>
        </w:rPr>
        <w:t xml:space="preserve"> zaražen</w:t>
      </w:r>
      <w:r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 xml:space="preserve"> </w:t>
      </w:r>
      <w:r w:rsidR="00DE2656" w:rsidRPr="004109A2">
        <w:rPr>
          <w:rFonts w:ascii="Tahoma" w:hAnsi="Tahoma"/>
          <w:sz w:val="18"/>
        </w:rPr>
        <w:t xml:space="preserve">tuberkulozom i HIV-om treba pažljivo </w:t>
      </w:r>
      <w:r w:rsidR="00CD48E9">
        <w:rPr>
          <w:rFonts w:ascii="Tahoma" w:hAnsi="Tahoma"/>
          <w:sz w:val="18"/>
        </w:rPr>
        <w:t>evaluirati</w:t>
      </w:r>
      <w:r w:rsidR="00DE2656" w:rsidRPr="004109A2">
        <w:rPr>
          <w:rFonts w:ascii="Tahoma" w:hAnsi="Tahoma"/>
          <w:sz w:val="18"/>
        </w:rPr>
        <w:t xml:space="preserve">: za sve HIV-pozitivne bolesnike koji imaju tuberkulozu preporučuje se antiretrovirusna terapija. S liječenjem tuberkuloze treba započeti odmah, a antiretrovirusno liječenje treba propisati što prije. </w:t>
      </w:r>
    </w:p>
    <w:p w14:paraId="5F8D4CCE" w14:textId="77777777" w:rsidR="00DA3A70" w:rsidRPr="004109A2" w:rsidRDefault="0052485E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i/>
          <w:sz w:val="24"/>
          <w:szCs w:val="24"/>
          <w:shd w:val="clear" w:color="auto" w:fill="D9D9D9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16. standard</w:t>
      </w:r>
    </w:p>
    <w:p w14:paraId="4AC8519A" w14:textId="3509E048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Preventivno liječenje treba ponuditi osobama </w:t>
      </w:r>
      <w:r w:rsidR="009B512F">
        <w:rPr>
          <w:rFonts w:ascii="Tahoma" w:hAnsi="Tahoma"/>
          <w:sz w:val="18"/>
        </w:rPr>
        <w:t>s</w:t>
      </w:r>
      <w:r w:rsidRPr="004109A2">
        <w:rPr>
          <w:rFonts w:ascii="Tahoma" w:hAnsi="Tahoma"/>
          <w:sz w:val="18"/>
        </w:rPr>
        <w:t xml:space="preserve"> </w:t>
      </w:r>
      <w:r w:rsidR="009B512F">
        <w:rPr>
          <w:rFonts w:ascii="Tahoma" w:hAnsi="Tahoma"/>
          <w:sz w:val="18"/>
        </w:rPr>
        <w:t xml:space="preserve">koinfekcijom </w:t>
      </w:r>
      <w:r w:rsidRPr="004109A2">
        <w:rPr>
          <w:rFonts w:ascii="Tahoma" w:hAnsi="Tahoma"/>
          <w:sz w:val="18"/>
        </w:rPr>
        <w:t>HIV-om</w:t>
      </w:r>
      <w:r w:rsidR="009B512F">
        <w:rPr>
          <w:rFonts w:ascii="Tahoma" w:hAnsi="Tahoma"/>
          <w:sz w:val="18"/>
        </w:rPr>
        <w:t xml:space="preserve">, </w:t>
      </w:r>
      <w:r w:rsidRPr="004109A2">
        <w:rPr>
          <w:rFonts w:ascii="Tahoma" w:hAnsi="Tahoma"/>
          <w:sz w:val="18"/>
        </w:rPr>
        <w:t>čiji testovi (</w:t>
      </w:r>
      <w:r w:rsidR="00D214C3">
        <w:rPr>
          <w:rFonts w:ascii="Tahoma" w:hAnsi="Tahoma"/>
          <w:sz w:val="18"/>
        </w:rPr>
        <w:t>PPD</w:t>
      </w:r>
      <w:r w:rsidR="00D214C3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i/ili IGRA)</w:t>
      </w:r>
      <w:r w:rsidR="009B512F">
        <w:rPr>
          <w:rFonts w:ascii="Tahoma" w:hAnsi="Tahoma"/>
          <w:sz w:val="18"/>
        </w:rPr>
        <w:t>,</w:t>
      </w:r>
      <w:r w:rsidRPr="004109A2">
        <w:rPr>
          <w:rFonts w:ascii="Tahoma" w:hAnsi="Tahoma"/>
          <w:sz w:val="18"/>
        </w:rPr>
        <w:t xml:space="preserve"> nakon pažljive </w:t>
      </w:r>
      <w:r w:rsidR="00CD48E9">
        <w:rPr>
          <w:rFonts w:ascii="Tahoma" w:hAnsi="Tahoma"/>
          <w:sz w:val="18"/>
        </w:rPr>
        <w:t>evaluacije</w:t>
      </w:r>
      <w:r w:rsidR="009B512F">
        <w:rPr>
          <w:rFonts w:ascii="Tahoma" w:hAnsi="Tahoma"/>
          <w:sz w:val="18"/>
        </w:rPr>
        <w:t>,</w:t>
      </w:r>
      <w:r w:rsidR="00CD48E9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upućuju na latentnu </w:t>
      </w:r>
      <w:r w:rsidR="00D214C3">
        <w:rPr>
          <w:rFonts w:ascii="Tahoma" w:hAnsi="Tahoma"/>
          <w:sz w:val="18"/>
        </w:rPr>
        <w:t>infekciju</w:t>
      </w:r>
      <w:r w:rsidR="00D214C3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bakterijom </w:t>
      </w:r>
      <w:r w:rsidRPr="004109A2">
        <w:rPr>
          <w:rFonts w:ascii="Tahoma" w:hAnsi="Tahoma"/>
          <w:i/>
          <w:sz w:val="18"/>
        </w:rPr>
        <w:t>M. tuberculosis</w:t>
      </w:r>
      <w:r w:rsidRPr="004109A2">
        <w:rPr>
          <w:rFonts w:ascii="Tahoma" w:hAnsi="Tahoma"/>
          <w:sz w:val="18"/>
        </w:rPr>
        <w:t xml:space="preserve">, </w:t>
      </w:r>
      <w:r w:rsidR="009B512F">
        <w:rPr>
          <w:rFonts w:ascii="Tahoma" w:hAnsi="Tahoma"/>
          <w:sz w:val="18"/>
        </w:rPr>
        <w:t>ali</w:t>
      </w:r>
      <w:r w:rsidR="009B512F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ne boluju od aktivne tuberkuloze.</w:t>
      </w:r>
    </w:p>
    <w:p w14:paraId="01EF67D3" w14:textId="77777777" w:rsidR="00835340" w:rsidRPr="004109A2" w:rsidRDefault="0052485E" w:rsidP="000D0DB0">
      <w:pPr>
        <w:pStyle w:val="EC-Title-6"/>
        <w:rPr>
          <w:sz w:val="18"/>
          <w:szCs w:val="18"/>
        </w:rPr>
      </w:pPr>
      <w:r w:rsidRPr="004109A2">
        <w:t>Zahtjevi specifični za EU</w:t>
      </w:r>
    </w:p>
    <w:p w14:paraId="586ECC30" w14:textId="22EFFDC4" w:rsidR="00DA3A70" w:rsidRPr="004109A2" w:rsidRDefault="0052485E" w:rsidP="000D0DB0">
      <w:pPr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 obzirom na to da je poznato da </w:t>
      </w:r>
      <w:r w:rsidR="000E1758">
        <w:rPr>
          <w:rFonts w:ascii="Tahoma" w:hAnsi="Tahoma"/>
          <w:sz w:val="18"/>
        </w:rPr>
        <w:t>koinfekcija</w:t>
      </w:r>
      <w:r w:rsidR="000E1758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HIV-om povećava vjerojatnost oboljenja od aktivne tuberkuloze nakon </w:t>
      </w:r>
      <w:r w:rsidR="000E1758">
        <w:rPr>
          <w:rFonts w:ascii="Tahoma" w:hAnsi="Tahoma"/>
          <w:sz w:val="18"/>
        </w:rPr>
        <w:t>zaražavanja</w:t>
      </w:r>
      <w:r w:rsidRPr="004109A2">
        <w:rPr>
          <w:rFonts w:ascii="Tahoma" w:hAnsi="Tahoma"/>
          <w:sz w:val="18"/>
        </w:rPr>
        <w:t>, za HIV-seropozitivne osobe koje su bile u kontaktu s indeks</w:t>
      </w:r>
      <w:r w:rsidR="00D214C3">
        <w:rPr>
          <w:rFonts w:ascii="Tahoma" w:hAnsi="Tahoma"/>
          <w:sz w:val="18"/>
        </w:rPr>
        <w:t xml:space="preserve">nim </w:t>
      </w:r>
      <w:r w:rsidRPr="004109A2">
        <w:rPr>
          <w:rFonts w:ascii="Tahoma" w:hAnsi="Tahoma"/>
          <w:sz w:val="18"/>
        </w:rPr>
        <w:t xml:space="preserve">slučajem koji je nositelj soja MDR-TB treba napraviti početnu </w:t>
      </w:r>
      <w:r w:rsidR="00A21D38">
        <w:rPr>
          <w:rFonts w:ascii="Tahoma" w:hAnsi="Tahoma"/>
          <w:sz w:val="18"/>
        </w:rPr>
        <w:t>individualnu</w:t>
      </w:r>
      <w:r w:rsidR="00D214C3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procjenu rizika. Osobe za koje postoje dokazi o latentnoj </w:t>
      </w:r>
      <w:r w:rsidR="000E1758">
        <w:rPr>
          <w:rFonts w:ascii="Tahoma" w:hAnsi="Tahoma"/>
          <w:sz w:val="18"/>
        </w:rPr>
        <w:t>infekciji</w:t>
      </w:r>
      <w:r w:rsidR="000E1758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treba redovito klinički pratiti</w:t>
      </w:r>
      <w:r w:rsidR="000E1758">
        <w:rPr>
          <w:rFonts w:ascii="Tahoma" w:hAnsi="Tahoma"/>
          <w:sz w:val="18"/>
        </w:rPr>
        <w:t xml:space="preserve"> i nadzirati</w:t>
      </w:r>
      <w:r w:rsidRPr="004109A2">
        <w:rPr>
          <w:rFonts w:ascii="Tahoma" w:hAnsi="Tahoma"/>
          <w:sz w:val="18"/>
        </w:rPr>
        <w:t>. (35).</w:t>
      </w:r>
    </w:p>
    <w:p w14:paraId="2D9C32AB" w14:textId="7AB0C6F7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U okviru preventivnog liječenja u obzir treba uzeti </w:t>
      </w:r>
      <w:r w:rsidR="000E1758" w:rsidRPr="000E1758">
        <w:rPr>
          <w:rFonts w:ascii="Tahoma" w:hAnsi="Tahoma"/>
          <w:sz w:val="18"/>
        </w:rPr>
        <w:t xml:space="preserve">obrazac </w:t>
      </w:r>
      <w:r w:rsidR="00C967F4" w:rsidRPr="000E1758">
        <w:rPr>
          <w:rFonts w:ascii="Tahoma" w:hAnsi="Tahoma"/>
          <w:sz w:val="18"/>
        </w:rPr>
        <w:t>otpornosti</w:t>
      </w:r>
      <w:r w:rsidRPr="004109A2">
        <w:rPr>
          <w:rFonts w:ascii="Tahoma" w:hAnsi="Tahoma"/>
          <w:sz w:val="18"/>
        </w:rPr>
        <w:t xml:space="preserve"> na lijekove </w:t>
      </w:r>
      <w:r w:rsidR="000E1758">
        <w:rPr>
          <w:rFonts w:ascii="Tahoma" w:hAnsi="Tahoma"/>
          <w:sz w:val="18"/>
        </w:rPr>
        <w:t>indeksnog bolesnika</w:t>
      </w:r>
      <w:r w:rsidRPr="004109A2">
        <w:rPr>
          <w:rFonts w:ascii="Tahoma" w:hAnsi="Tahoma"/>
          <w:sz w:val="18"/>
        </w:rPr>
        <w:t xml:space="preserve">, broj CD4 stanica i </w:t>
      </w:r>
      <w:r w:rsidR="000E1758" w:rsidRPr="004109A2">
        <w:rPr>
          <w:rFonts w:ascii="Tahoma" w:hAnsi="Tahoma"/>
          <w:sz w:val="18"/>
        </w:rPr>
        <w:t>upotreb</w:t>
      </w:r>
      <w:r w:rsidR="000E1758">
        <w:rPr>
          <w:rFonts w:ascii="Tahoma" w:hAnsi="Tahoma"/>
          <w:sz w:val="18"/>
        </w:rPr>
        <w:t>u</w:t>
      </w:r>
      <w:r w:rsidR="000E1758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antiretrovirusnog liječenja. Preventivno liječenje potrebno je i u slučajevima 6-mjesečne ili 9-mjesečne primjene izoniazida, u slučaju 3-mjesečnog režima u kojem se svaki tjedan primjenjuje kombinacija rifapentina i izoniazida, u slučaju 3 – 4-mjesečne primjene kombinacije izoniazida i rifampicina ili u slučaju 3 – 4-mjesečne primjene isključivo rifampicina (36, 37). U osoba koje žive s HIV-om i koje primaju antiretrovirusnu terapiju potreban je oprez prilikom propisivanja režima u okviru kojih se primjenjuju rifampicin i rifapentin </w:t>
      </w:r>
      <w:r w:rsidR="00D214C3">
        <w:rPr>
          <w:rFonts w:ascii="Tahoma" w:hAnsi="Tahoma"/>
          <w:sz w:val="18"/>
        </w:rPr>
        <w:t>zbog</w:t>
      </w:r>
      <w:r w:rsidRPr="004109A2">
        <w:rPr>
          <w:rFonts w:ascii="Tahoma" w:hAnsi="Tahoma"/>
          <w:sz w:val="18"/>
        </w:rPr>
        <w:t xml:space="preserve"> mogućnost</w:t>
      </w:r>
      <w:r w:rsidR="00D214C3">
        <w:rPr>
          <w:rFonts w:ascii="Tahoma" w:hAnsi="Tahoma"/>
          <w:sz w:val="18"/>
        </w:rPr>
        <w:t>i</w:t>
      </w:r>
      <w:r w:rsidRPr="004109A2">
        <w:rPr>
          <w:rFonts w:ascii="Tahoma" w:hAnsi="Tahoma"/>
          <w:sz w:val="18"/>
        </w:rPr>
        <w:t xml:space="preserve"> međudjelovanja lijekova (36, 38).</w:t>
      </w:r>
    </w:p>
    <w:p w14:paraId="5C50A3CF" w14:textId="77777777" w:rsidR="00DA3A70" w:rsidRPr="004109A2" w:rsidRDefault="0052485E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4109A2">
        <w:rPr>
          <w:rFonts w:ascii="Tahoma" w:hAnsi="Tahoma"/>
          <w:b/>
          <w:sz w:val="24"/>
        </w:rPr>
        <w:t>17. standard</w:t>
      </w:r>
    </w:p>
    <w:p w14:paraId="1CA9264D" w14:textId="24D347EF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Svi pružatelji zdravstvene skrbi trebaju provesti temeljitu procjenu uvjeta koji bi mogli utjecati na odgovor na liječenje tuberkuloze ili na ishod liječenja. Pri </w:t>
      </w:r>
      <w:r w:rsidR="008062BD" w:rsidRPr="008062BD">
        <w:rPr>
          <w:rFonts w:ascii="Tahoma" w:hAnsi="Tahoma"/>
          <w:sz w:val="18"/>
        </w:rPr>
        <w:t>planiranju nadzora nad skrbi oboljelog</w:t>
      </w:r>
      <w:r w:rsidRPr="004109A2">
        <w:rPr>
          <w:rFonts w:ascii="Tahoma" w:hAnsi="Tahoma"/>
          <w:sz w:val="18"/>
        </w:rPr>
        <w:t xml:space="preserve">, pružatelj skrbi treba utvrditi dodatne usluge koje bi pospješile postizanje najboljeg ishoda za svakog bolesnika </w:t>
      </w:r>
      <w:r w:rsidR="008062BD">
        <w:rPr>
          <w:rFonts w:ascii="Tahoma" w:hAnsi="Tahoma"/>
          <w:sz w:val="18"/>
        </w:rPr>
        <w:t xml:space="preserve">te ih </w:t>
      </w:r>
      <w:r w:rsidRPr="004109A2">
        <w:rPr>
          <w:rFonts w:ascii="Tahoma" w:hAnsi="Tahoma"/>
          <w:sz w:val="18"/>
        </w:rPr>
        <w:t xml:space="preserve">obuhvatiti </w:t>
      </w:r>
      <w:r w:rsidR="000E1758">
        <w:rPr>
          <w:rFonts w:ascii="Tahoma" w:hAnsi="Tahoma"/>
          <w:sz w:val="18"/>
        </w:rPr>
        <w:t>individualno</w:t>
      </w:r>
      <w:r w:rsidR="000E1758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prilagođenim planom skrbi. Tim planom treba obuhvatiti </w:t>
      </w:r>
      <w:r w:rsidR="008062BD" w:rsidRPr="004109A2">
        <w:rPr>
          <w:rFonts w:ascii="Tahoma" w:hAnsi="Tahoma"/>
          <w:sz w:val="18"/>
        </w:rPr>
        <w:t>procjen</w:t>
      </w:r>
      <w:r w:rsidR="008062BD">
        <w:rPr>
          <w:rFonts w:ascii="Tahoma" w:hAnsi="Tahoma"/>
          <w:sz w:val="18"/>
        </w:rPr>
        <w:t>u</w:t>
      </w:r>
      <w:r w:rsidR="008062BD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liječenja</w:t>
      </w:r>
      <w:r w:rsidR="002C654D">
        <w:rPr>
          <w:rFonts w:ascii="Tahoma" w:hAnsi="Tahoma"/>
          <w:sz w:val="18"/>
        </w:rPr>
        <w:t xml:space="preserve"> </w:t>
      </w:r>
      <w:r w:rsidR="008062BD">
        <w:rPr>
          <w:rFonts w:ascii="Tahoma" w:hAnsi="Tahoma"/>
          <w:sz w:val="18"/>
        </w:rPr>
        <w:t>i</w:t>
      </w:r>
      <w:r w:rsidR="008062BD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upućivanja </w:t>
      </w:r>
      <w:r w:rsidR="008062BD">
        <w:rPr>
          <w:rFonts w:ascii="Tahoma" w:hAnsi="Tahoma"/>
          <w:sz w:val="18"/>
        </w:rPr>
        <w:t>na</w:t>
      </w:r>
      <w:r w:rsidR="008062BD" w:rsidRPr="004109A2">
        <w:rPr>
          <w:rFonts w:ascii="Tahoma" w:hAnsi="Tahoma"/>
          <w:sz w:val="18"/>
        </w:rPr>
        <w:t xml:space="preserve"> liječenj</w:t>
      </w:r>
      <w:r w:rsidR="008062BD">
        <w:rPr>
          <w:rFonts w:ascii="Tahoma" w:hAnsi="Tahoma"/>
          <w:sz w:val="18"/>
        </w:rPr>
        <w:t>e</w:t>
      </w:r>
      <w:r w:rsidR="008062BD" w:rsidRPr="004109A2">
        <w:rPr>
          <w:rFonts w:ascii="Tahoma" w:hAnsi="Tahoma"/>
          <w:sz w:val="18"/>
        </w:rPr>
        <w:t xml:space="preserve"> </w:t>
      </w:r>
      <w:r w:rsidR="008062BD">
        <w:rPr>
          <w:rFonts w:ascii="Tahoma" w:hAnsi="Tahoma"/>
          <w:sz w:val="18"/>
        </w:rPr>
        <w:t xml:space="preserve">zbog </w:t>
      </w:r>
      <w:r w:rsidR="008062BD" w:rsidRPr="004109A2">
        <w:rPr>
          <w:rFonts w:ascii="Tahoma" w:hAnsi="Tahoma"/>
          <w:sz w:val="18"/>
        </w:rPr>
        <w:t>drugih bolesti</w:t>
      </w:r>
      <w:r w:rsidRPr="004109A2">
        <w:rPr>
          <w:rFonts w:ascii="Tahoma" w:hAnsi="Tahoma"/>
          <w:sz w:val="18"/>
        </w:rPr>
        <w:t xml:space="preserve">, pridajući posebnu pozornost </w:t>
      </w:r>
      <w:r w:rsidR="008062BD">
        <w:rPr>
          <w:rFonts w:ascii="Tahoma" w:hAnsi="Tahoma"/>
          <w:sz w:val="18"/>
        </w:rPr>
        <w:t xml:space="preserve">bolestima </w:t>
      </w:r>
      <w:r w:rsidRPr="004109A2">
        <w:rPr>
          <w:rFonts w:ascii="Tahoma" w:hAnsi="Tahoma"/>
          <w:sz w:val="18"/>
        </w:rPr>
        <w:t xml:space="preserve">za koje je poznato da utječu na ishod liječenja, primjerice HIV, dijabetes melitus, ovisnost o drogama i alkoholu, pušenje duhana i drugi psihosocijalni problemi (39). Usluge kao što su prenatalna skrb ili skrb o dobrobiti djeteta također treba </w:t>
      </w:r>
      <w:r w:rsidR="008062BD">
        <w:rPr>
          <w:rFonts w:ascii="Tahoma" w:hAnsi="Tahoma"/>
          <w:sz w:val="18"/>
        </w:rPr>
        <w:t>osigurati</w:t>
      </w:r>
      <w:r w:rsidR="008062BD" w:rsidRPr="004109A2">
        <w:rPr>
          <w:rFonts w:ascii="Tahoma" w:hAnsi="Tahoma"/>
          <w:sz w:val="18"/>
        </w:rPr>
        <w:t xml:space="preserve"> </w:t>
      </w:r>
      <w:r w:rsidR="008062BD">
        <w:rPr>
          <w:rFonts w:ascii="Tahoma" w:hAnsi="Tahoma"/>
          <w:sz w:val="18"/>
        </w:rPr>
        <w:t>u slučaju</w:t>
      </w:r>
      <w:r w:rsidR="008062BD" w:rsidRPr="004109A2">
        <w:rPr>
          <w:rFonts w:ascii="Tahoma" w:hAnsi="Tahoma"/>
          <w:sz w:val="18"/>
        </w:rPr>
        <w:t xml:space="preserve"> potreb</w:t>
      </w:r>
      <w:r w:rsidR="008062BD"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>.</w:t>
      </w:r>
    </w:p>
    <w:p w14:paraId="202F133E" w14:textId="77777777" w:rsidR="00835340" w:rsidRPr="004109A2" w:rsidRDefault="0052485E" w:rsidP="000D0DB0">
      <w:pPr>
        <w:pStyle w:val="EC-Title-6"/>
      </w:pPr>
      <w:r w:rsidRPr="004109A2">
        <w:t>Zahtjevi specifični za EU</w:t>
      </w:r>
    </w:p>
    <w:p w14:paraId="4901FF00" w14:textId="15D552DA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Cjelokupan paket opisan u privremenoj politici SZO-a o aktivnostima suradnje povezanima s TB-om/HIV-om (engl. </w:t>
      </w:r>
      <w:r w:rsidRPr="004109A2">
        <w:rPr>
          <w:rFonts w:ascii="Tahoma" w:hAnsi="Tahoma"/>
          <w:i/>
          <w:sz w:val="18"/>
        </w:rPr>
        <w:t>interim policy on collaborative TB/HIV activities</w:t>
      </w:r>
      <w:r w:rsidRPr="004109A2">
        <w:rPr>
          <w:rFonts w:ascii="Tahoma" w:hAnsi="Tahoma"/>
          <w:sz w:val="18"/>
        </w:rPr>
        <w:t>) treba provoditi za sve aktivnosti, odnosno za one navedene ovdje i ostale obuhvaćene paketom SZO-a (34).</w:t>
      </w:r>
    </w:p>
    <w:p w14:paraId="6CA075CB" w14:textId="77777777" w:rsidR="00DA3A70" w:rsidRPr="004109A2" w:rsidRDefault="0052485E" w:rsidP="0028467E">
      <w:pPr>
        <w:pStyle w:val="EC-Title-5"/>
        <w:spacing w:before="120"/>
        <w:rPr>
          <w:b w:val="0"/>
          <w:sz w:val="24"/>
          <w:szCs w:val="24"/>
        </w:rPr>
      </w:pPr>
      <w:r w:rsidRPr="004109A2">
        <w:t>Standardi za javno zdravlje i sprečavanje tuberkuloze</w:t>
      </w:r>
    </w:p>
    <w:p w14:paraId="62D3E1EF" w14:textId="77777777" w:rsidR="00DA3A70" w:rsidRPr="004109A2" w:rsidRDefault="0052485E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4109A2">
        <w:rPr>
          <w:rFonts w:ascii="Tahoma" w:hAnsi="Tahoma"/>
          <w:b/>
          <w:sz w:val="24"/>
        </w:rPr>
        <w:t>18. standard</w:t>
      </w:r>
    </w:p>
    <w:p w14:paraId="758F6AF5" w14:textId="21B57DF0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Svi pružatelji skrbi </w:t>
      </w:r>
      <w:r w:rsidR="003C4057">
        <w:rPr>
          <w:rFonts w:ascii="Tahoma" w:hAnsi="Tahoma"/>
          <w:sz w:val="18"/>
        </w:rPr>
        <w:t xml:space="preserve">tuberkuloznim </w:t>
      </w:r>
      <w:r w:rsidRPr="004109A2">
        <w:rPr>
          <w:rFonts w:ascii="Tahoma" w:hAnsi="Tahoma"/>
          <w:sz w:val="18"/>
        </w:rPr>
        <w:t xml:space="preserve">bolesnicima trebaju </w:t>
      </w:r>
      <w:r w:rsidR="003C4057">
        <w:rPr>
          <w:rFonts w:ascii="Tahoma" w:hAnsi="Tahoma"/>
          <w:sz w:val="18"/>
        </w:rPr>
        <w:t xml:space="preserve">osigurati obradu </w:t>
      </w:r>
      <w:r w:rsidRPr="004109A2">
        <w:rPr>
          <w:rFonts w:ascii="Tahoma" w:hAnsi="Tahoma"/>
          <w:sz w:val="18"/>
        </w:rPr>
        <w:t xml:space="preserve">osoba koje su bile u bliskom kontaktu s oboljelima od aktivne i zarazne tuberkuloze te </w:t>
      </w:r>
      <w:r w:rsidR="003C4057" w:rsidRPr="003C4057">
        <w:rPr>
          <w:rFonts w:ascii="Tahoma" w:hAnsi="Tahoma"/>
          <w:sz w:val="18"/>
        </w:rPr>
        <w:t xml:space="preserve">nadzor nad </w:t>
      </w:r>
      <w:r w:rsidR="00C967F4" w:rsidRPr="003C4057">
        <w:rPr>
          <w:rFonts w:ascii="Tahoma" w:hAnsi="Tahoma"/>
          <w:sz w:val="18"/>
        </w:rPr>
        <w:t>njima</w:t>
      </w:r>
      <w:r w:rsidRPr="004109A2">
        <w:rPr>
          <w:rFonts w:ascii="Tahoma" w:hAnsi="Tahoma"/>
          <w:sz w:val="18"/>
        </w:rPr>
        <w:t xml:space="preserve"> u skladu s međunarodnim preporukama. U bliske kontakte ubrajaju se članovi kućanstva i obitelji, pojedinci koji su bili u intenzivnom ili duljem kontaktu u skučenim uvjetima kao što su zatvori, skloništa za beskućnike ili migrante te zatvoreni prostori kao što su škole ili uredi.</w:t>
      </w:r>
    </w:p>
    <w:p w14:paraId="1A0730BE" w14:textId="1FC6997E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Rizik od prijenosa tuberkuloze ovisi o koncentraciji bacila tuberkuloze u zraku, protoku zraka, trajanju kontakta i </w:t>
      </w:r>
      <w:r w:rsidR="003C4057">
        <w:rPr>
          <w:rFonts w:ascii="Tahoma" w:hAnsi="Tahoma"/>
          <w:sz w:val="18"/>
        </w:rPr>
        <w:t>individualnoj osjetljivosti</w:t>
      </w:r>
      <w:r w:rsidRPr="004109A2">
        <w:rPr>
          <w:rFonts w:ascii="Tahoma" w:hAnsi="Tahoma"/>
          <w:sz w:val="18"/>
        </w:rPr>
        <w:t xml:space="preserve"> </w:t>
      </w:r>
      <w:r w:rsidR="003C4057" w:rsidRPr="004109A2">
        <w:rPr>
          <w:rFonts w:ascii="Tahoma" w:hAnsi="Tahoma"/>
          <w:sz w:val="18"/>
        </w:rPr>
        <w:t>osob</w:t>
      </w:r>
      <w:r w:rsidR="003C4057">
        <w:rPr>
          <w:rFonts w:ascii="Tahoma" w:hAnsi="Tahoma"/>
          <w:sz w:val="18"/>
        </w:rPr>
        <w:t>e</w:t>
      </w:r>
      <w:r w:rsidR="003C4057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koja je bila u kontaktu s </w:t>
      </w:r>
      <w:r w:rsidR="003C4057">
        <w:rPr>
          <w:rFonts w:ascii="Tahoma" w:hAnsi="Tahoma"/>
          <w:sz w:val="18"/>
        </w:rPr>
        <w:t>tuberkuloznom</w:t>
      </w:r>
      <w:r w:rsidR="003C4057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osobom. Određivanje prioriteta za </w:t>
      </w:r>
      <w:r w:rsidR="00E35B6F">
        <w:rPr>
          <w:rFonts w:ascii="Tahoma" w:hAnsi="Tahoma"/>
          <w:sz w:val="18"/>
        </w:rPr>
        <w:t>obradu</w:t>
      </w:r>
      <w:r w:rsidR="00E35B6F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kontakta temelji se na vjerojatnosti da: 1) osoba koja je bila u kontaktu s oboljelom osobom ima nedijagnosticiranu, a time i neliječenu tuberkulozu; 2) postoji visok rizik da je osoba koja je bila u kontaktu s oboljelom osobom </w:t>
      </w:r>
      <w:r w:rsidR="00AE610A">
        <w:rPr>
          <w:rFonts w:ascii="Tahoma" w:hAnsi="Tahoma"/>
          <w:sz w:val="18"/>
        </w:rPr>
        <w:t>inficirana</w:t>
      </w:r>
      <w:r w:rsidR="00AE610A" w:rsidRPr="004109A2">
        <w:rPr>
          <w:rFonts w:ascii="Tahoma" w:hAnsi="Tahoma"/>
          <w:sz w:val="18"/>
        </w:rPr>
        <w:t xml:space="preserve"> </w:t>
      </w:r>
      <w:r w:rsidR="00AE610A">
        <w:rPr>
          <w:rFonts w:ascii="Tahoma" w:hAnsi="Tahoma"/>
          <w:sz w:val="18"/>
        </w:rPr>
        <w:t>bacilom tuberkuloze</w:t>
      </w:r>
      <w:r w:rsidRPr="004109A2">
        <w:rPr>
          <w:rFonts w:ascii="Tahoma" w:hAnsi="Tahoma"/>
          <w:sz w:val="18"/>
        </w:rPr>
        <w:t>; 3) postoji visok rizik da će</w:t>
      </w:r>
      <w:r w:rsidR="00DF2866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osoba koja je bila u kontaktu s oboljelom osobom</w:t>
      </w:r>
      <w:r w:rsidR="00DF2866">
        <w:rPr>
          <w:rFonts w:ascii="Tahoma" w:hAnsi="Tahoma"/>
          <w:sz w:val="18"/>
        </w:rPr>
        <w:t>,</w:t>
      </w:r>
      <w:r w:rsidR="00DF2866" w:rsidRPr="004109A2">
        <w:rPr>
          <w:rFonts w:ascii="Tahoma" w:hAnsi="Tahoma"/>
          <w:sz w:val="18"/>
        </w:rPr>
        <w:t xml:space="preserve"> u slučaju zaraze</w:t>
      </w:r>
      <w:r w:rsidR="00DF2866">
        <w:rPr>
          <w:rFonts w:ascii="Tahoma" w:hAnsi="Tahoma"/>
          <w:sz w:val="18"/>
        </w:rPr>
        <w:t>,</w:t>
      </w:r>
      <w:r w:rsidR="00DF2866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razviti tuberkulozu; 4) postoji rizik da će osoba koja je bila u kontaktu s oboljelom osobom oboljeti od teškog oblika tuberkuloze ako se bolest razvije.</w:t>
      </w:r>
    </w:p>
    <w:p w14:paraId="20E5A6B1" w14:textId="77777777" w:rsidR="00835340" w:rsidRPr="004109A2" w:rsidRDefault="0052485E" w:rsidP="00835340">
      <w:pPr>
        <w:pStyle w:val="EC-Title-6"/>
      </w:pPr>
      <w:r w:rsidRPr="004109A2">
        <w:t>Zahtjevi specifični za EU</w:t>
      </w:r>
    </w:p>
    <w:p w14:paraId="25389A96" w14:textId="55D4D220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Odrednice prijenosa tuberkuloze i osjetljivosti na tuberkulozu treba pažljivo razmotriti prilikom </w:t>
      </w:r>
      <w:r w:rsidR="00DF2866" w:rsidRPr="004109A2">
        <w:rPr>
          <w:rFonts w:ascii="Tahoma" w:hAnsi="Tahoma"/>
          <w:sz w:val="18"/>
        </w:rPr>
        <w:t>procje</w:t>
      </w:r>
      <w:r w:rsidR="00DF2866">
        <w:rPr>
          <w:rFonts w:ascii="Tahoma" w:hAnsi="Tahoma"/>
          <w:sz w:val="18"/>
        </w:rPr>
        <w:t xml:space="preserve">ne </w:t>
      </w:r>
      <w:r w:rsidRPr="004109A2">
        <w:rPr>
          <w:rFonts w:ascii="Tahoma" w:hAnsi="Tahoma"/>
          <w:sz w:val="18"/>
        </w:rPr>
        <w:t xml:space="preserve">vjerojatnosti prijenosa i potrebe za traženjem </w:t>
      </w:r>
      <w:r w:rsidR="00D0189F">
        <w:rPr>
          <w:rFonts w:ascii="Tahoma" w:hAnsi="Tahoma"/>
          <w:sz w:val="18"/>
        </w:rPr>
        <w:t xml:space="preserve">i obradom </w:t>
      </w:r>
      <w:r w:rsidRPr="004109A2">
        <w:rPr>
          <w:rFonts w:ascii="Tahoma" w:hAnsi="Tahoma"/>
          <w:sz w:val="18"/>
        </w:rPr>
        <w:t xml:space="preserve">kontakata (40). </w:t>
      </w:r>
    </w:p>
    <w:p w14:paraId="078F2E82" w14:textId="64876B22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Osobe koje su bile u bliskom kontaktu s oboljelima od MDR-TB-a i XDR-TB-a treba testirati na latentnu </w:t>
      </w:r>
      <w:r w:rsidR="00DF2866" w:rsidRPr="004109A2">
        <w:rPr>
          <w:rFonts w:ascii="Tahoma" w:hAnsi="Tahoma"/>
          <w:sz w:val="18"/>
        </w:rPr>
        <w:t>tuberkuloz</w:t>
      </w:r>
      <w:r w:rsidR="00DF2866">
        <w:rPr>
          <w:rFonts w:ascii="Tahoma" w:hAnsi="Tahoma"/>
          <w:sz w:val="18"/>
        </w:rPr>
        <w:t>nu infekciju</w:t>
      </w:r>
      <w:r w:rsidR="00DF2866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(LTBI) i tuberkulozu u skladu s nacionalnim smjernicama. Za osobe koje su bile u takvom kontaktu, ali je utvrđeno da nisu zaražene ili im je dijagosticiran LTBI, treba napraviti </w:t>
      </w:r>
      <w:r w:rsidR="00D0189F">
        <w:rPr>
          <w:rFonts w:ascii="Tahoma" w:hAnsi="Tahoma"/>
          <w:sz w:val="18"/>
        </w:rPr>
        <w:t>individualnu</w:t>
      </w:r>
      <w:r w:rsidR="00D0189F" w:rsidRPr="004109A2">
        <w:rPr>
          <w:rFonts w:ascii="Tahoma" w:hAnsi="Tahoma"/>
          <w:sz w:val="18"/>
        </w:rPr>
        <w:t xml:space="preserve"> procjen</w:t>
      </w:r>
      <w:r w:rsidR="00D0189F">
        <w:rPr>
          <w:rFonts w:ascii="Tahoma" w:hAnsi="Tahoma"/>
          <w:sz w:val="18"/>
        </w:rPr>
        <w:t>u</w:t>
      </w:r>
      <w:r w:rsidR="00D0189F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rizika radi utvrđivanja: 1) rizika da će osoba koja je bila u kontaktu s oboljelom osobom razviti tuberkulozu; 2) </w:t>
      </w:r>
      <w:r w:rsidR="00DF2866" w:rsidRPr="00DF2866">
        <w:rPr>
          <w:rFonts w:ascii="Tahoma" w:hAnsi="Tahoma"/>
          <w:sz w:val="18"/>
        </w:rPr>
        <w:t xml:space="preserve">obrasca </w:t>
      </w:r>
      <w:r w:rsidR="00C967F4" w:rsidRPr="00DF2866">
        <w:rPr>
          <w:rFonts w:ascii="Tahoma" w:hAnsi="Tahoma"/>
          <w:sz w:val="18"/>
        </w:rPr>
        <w:t>osjetljivosti</w:t>
      </w:r>
      <w:r w:rsidRPr="004109A2">
        <w:rPr>
          <w:rFonts w:ascii="Tahoma" w:hAnsi="Tahoma"/>
          <w:sz w:val="18"/>
        </w:rPr>
        <w:t xml:space="preserve"> na lijekove </w:t>
      </w:r>
      <w:r w:rsidR="00DF2866">
        <w:rPr>
          <w:rFonts w:ascii="Tahoma" w:hAnsi="Tahoma"/>
          <w:sz w:val="18"/>
        </w:rPr>
        <w:t>indeksnog</w:t>
      </w:r>
      <w:r w:rsidR="00DF2866" w:rsidRPr="004109A2">
        <w:rPr>
          <w:rFonts w:ascii="Tahoma" w:hAnsi="Tahoma"/>
          <w:sz w:val="18"/>
        </w:rPr>
        <w:t xml:space="preserve"> </w:t>
      </w:r>
      <w:r w:rsidR="00DF2866">
        <w:rPr>
          <w:rFonts w:ascii="Tahoma" w:hAnsi="Tahoma"/>
          <w:sz w:val="18"/>
        </w:rPr>
        <w:t>bolesnika</w:t>
      </w:r>
      <w:r w:rsidRPr="004109A2">
        <w:rPr>
          <w:rFonts w:ascii="Tahoma" w:hAnsi="Tahoma"/>
          <w:sz w:val="18"/>
        </w:rPr>
        <w:t xml:space="preserve"> i 3) rizika da će kod osobe koja je bila u kontaktu s oboljelom osobom doći do štetnih </w:t>
      </w:r>
      <w:r w:rsidR="00D0189F">
        <w:rPr>
          <w:rFonts w:ascii="Tahoma" w:hAnsi="Tahoma"/>
          <w:sz w:val="18"/>
        </w:rPr>
        <w:t>nuspojava</w:t>
      </w:r>
      <w:r w:rsidR="00D0189F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u slučaju uvođenja liječenja LTBI (36, 38). Neovisno o kliničkim savjetima povezanima s liječenjem LTBI-ja, zdravstveni radnici s iskustvom u </w:t>
      </w:r>
      <w:r w:rsidR="00D858DD">
        <w:rPr>
          <w:rFonts w:ascii="Tahoma" w:hAnsi="Tahoma"/>
          <w:sz w:val="18"/>
        </w:rPr>
        <w:t>nadzoru nad skrbi</w:t>
      </w:r>
      <w:r w:rsidRPr="004109A2">
        <w:rPr>
          <w:rFonts w:ascii="Tahoma" w:hAnsi="Tahoma"/>
          <w:sz w:val="18"/>
        </w:rPr>
        <w:t xml:space="preserve"> LTBI i tuberkuloze trebaju osobe koje su bile u kontaktu s oboljelom osobom pažljivo klinički </w:t>
      </w:r>
      <w:r w:rsidR="00D858DD">
        <w:rPr>
          <w:rFonts w:ascii="Tahoma" w:hAnsi="Tahoma"/>
          <w:sz w:val="18"/>
        </w:rPr>
        <w:t>pratiti</w:t>
      </w:r>
      <w:r w:rsidRPr="004109A2">
        <w:rPr>
          <w:rFonts w:ascii="Tahoma" w:hAnsi="Tahoma"/>
          <w:sz w:val="18"/>
        </w:rPr>
        <w:t>, informirati i educirati o zdravlju (35, 41).</w:t>
      </w:r>
    </w:p>
    <w:p w14:paraId="1AF7E5AE" w14:textId="23E0E1A7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Prilikom traženja kontakata među ranjivom populacijom i </w:t>
      </w:r>
      <w:r w:rsidR="00120CF3">
        <w:rPr>
          <w:rFonts w:ascii="Tahoma" w:hAnsi="Tahoma"/>
          <w:sz w:val="18"/>
        </w:rPr>
        <w:t xml:space="preserve">teško dostupnom </w:t>
      </w:r>
      <w:r w:rsidRPr="004109A2">
        <w:rPr>
          <w:rFonts w:ascii="Tahoma" w:hAnsi="Tahoma"/>
          <w:sz w:val="18"/>
        </w:rPr>
        <w:t xml:space="preserve">populacijom preporučuje se </w:t>
      </w:r>
      <w:r w:rsidR="00120CF3">
        <w:rPr>
          <w:rFonts w:ascii="Tahoma" w:hAnsi="Tahoma"/>
          <w:sz w:val="18"/>
        </w:rPr>
        <w:t>uključivanje</w:t>
      </w:r>
      <w:r w:rsidR="00120CF3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lokalnih organizacija u okviru zajednice (uključujući zdravstvene radnike, nekliničke profesionalce i </w:t>
      </w:r>
      <w:r w:rsidR="00502CA7" w:rsidRPr="00502CA7">
        <w:rPr>
          <w:rFonts w:ascii="Tahoma" w:hAnsi="Tahoma"/>
          <w:sz w:val="18"/>
        </w:rPr>
        <w:t xml:space="preserve">same </w:t>
      </w:r>
      <w:r w:rsidR="00502CA7">
        <w:rPr>
          <w:rFonts w:ascii="Tahoma" w:hAnsi="Tahoma"/>
          <w:sz w:val="18"/>
        </w:rPr>
        <w:t>predstavnike</w:t>
      </w:r>
      <w:r w:rsidR="00502CA7" w:rsidRPr="004109A2">
        <w:rPr>
          <w:rFonts w:ascii="Tahoma" w:hAnsi="Tahoma"/>
          <w:sz w:val="18"/>
        </w:rPr>
        <w:t xml:space="preserve"> </w:t>
      </w:r>
      <w:r w:rsidR="00502CA7">
        <w:rPr>
          <w:rFonts w:ascii="Tahoma" w:hAnsi="Tahoma"/>
          <w:sz w:val="18"/>
        </w:rPr>
        <w:t>tih populacija</w:t>
      </w:r>
      <w:r w:rsidRPr="004109A2">
        <w:rPr>
          <w:rFonts w:ascii="Tahoma" w:hAnsi="Tahoma"/>
          <w:sz w:val="18"/>
        </w:rPr>
        <w:t>). Takav pristup može doprinijeti uspješnom utvrđivanju mogućih kontakata (42, 43).</w:t>
      </w:r>
    </w:p>
    <w:p w14:paraId="3332FD62" w14:textId="627EDB31" w:rsidR="0098145B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Kliničari i </w:t>
      </w:r>
      <w:r w:rsidR="00502CA7">
        <w:rPr>
          <w:rFonts w:ascii="Tahoma" w:hAnsi="Tahoma"/>
          <w:sz w:val="18"/>
        </w:rPr>
        <w:t>voditelji</w:t>
      </w:r>
      <w:r w:rsidR="00502CA7" w:rsidRPr="00502CA7">
        <w:rPr>
          <w:rFonts w:ascii="Tahoma" w:hAnsi="Tahoma"/>
          <w:sz w:val="18"/>
        </w:rPr>
        <w:t xml:space="preserve"> nacionalni</w:t>
      </w:r>
      <w:r w:rsidR="00502CA7">
        <w:rPr>
          <w:rFonts w:ascii="Tahoma" w:hAnsi="Tahoma"/>
          <w:sz w:val="18"/>
        </w:rPr>
        <w:t>h</w:t>
      </w:r>
      <w:r w:rsidR="00502CA7" w:rsidRPr="00502CA7">
        <w:rPr>
          <w:rFonts w:ascii="Tahoma" w:hAnsi="Tahoma"/>
          <w:sz w:val="18"/>
        </w:rPr>
        <w:t xml:space="preserve"> </w:t>
      </w:r>
      <w:r w:rsidR="00C967F4" w:rsidRPr="00502CA7">
        <w:rPr>
          <w:rFonts w:ascii="Tahoma" w:hAnsi="Tahoma"/>
          <w:sz w:val="18"/>
        </w:rPr>
        <w:t>programa</w:t>
      </w:r>
      <w:r w:rsidRPr="004109A2">
        <w:rPr>
          <w:rFonts w:ascii="Tahoma" w:hAnsi="Tahoma"/>
          <w:sz w:val="18"/>
        </w:rPr>
        <w:t xml:space="preserve"> trebaju razgovarati s relevantnim tijelima nadležnima za zdravlje u zemlji u kojoj borave </w:t>
      </w:r>
      <w:r w:rsidR="00502CA7">
        <w:rPr>
          <w:rFonts w:ascii="Tahoma" w:hAnsi="Tahoma"/>
          <w:sz w:val="18"/>
        </w:rPr>
        <w:t>tuberkulozni bolesnici</w:t>
      </w:r>
      <w:r w:rsidRPr="004109A2">
        <w:rPr>
          <w:rFonts w:ascii="Tahoma" w:hAnsi="Tahoma"/>
          <w:sz w:val="18"/>
        </w:rPr>
        <w:t xml:space="preserve"> koji pripadaju skupinama migranata ili mobilnoj populaciji i/ili u zemlji iz koje potječu, kako bi se po potrebi </w:t>
      </w:r>
      <w:r w:rsidR="00502CA7">
        <w:rPr>
          <w:rFonts w:ascii="Tahoma" w:hAnsi="Tahoma"/>
          <w:sz w:val="18"/>
        </w:rPr>
        <w:t>osigurala</w:t>
      </w:r>
      <w:r w:rsidR="00502CA7" w:rsidRPr="004109A2">
        <w:rPr>
          <w:rFonts w:ascii="Tahoma" w:hAnsi="Tahoma"/>
          <w:sz w:val="18"/>
        </w:rPr>
        <w:t xml:space="preserve"> </w:t>
      </w:r>
      <w:r w:rsidR="00502CA7">
        <w:rPr>
          <w:rFonts w:ascii="Tahoma" w:hAnsi="Tahoma"/>
          <w:sz w:val="18"/>
        </w:rPr>
        <w:t>kontinuirana</w:t>
      </w:r>
      <w:r w:rsidR="00502CA7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skrb i </w:t>
      </w:r>
      <w:r w:rsidR="00502CA7">
        <w:rPr>
          <w:rFonts w:ascii="Tahoma" w:hAnsi="Tahoma"/>
          <w:sz w:val="18"/>
        </w:rPr>
        <w:t>nadzor nad</w:t>
      </w:r>
      <w:r w:rsidR="00502CA7" w:rsidRPr="004109A2">
        <w:rPr>
          <w:rFonts w:ascii="Tahoma" w:hAnsi="Tahoma"/>
          <w:sz w:val="18"/>
        </w:rPr>
        <w:t xml:space="preserve"> </w:t>
      </w:r>
      <w:r w:rsidR="00A21D38" w:rsidRPr="004109A2">
        <w:rPr>
          <w:rFonts w:ascii="Tahoma" w:hAnsi="Tahoma"/>
          <w:sz w:val="18"/>
        </w:rPr>
        <w:t>kontakti</w:t>
      </w:r>
      <w:r w:rsidR="00A21D38">
        <w:rPr>
          <w:rFonts w:ascii="Tahoma" w:hAnsi="Tahoma"/>
          <w:sz w:val="18"/>
        </w:rPr>
        <w:t>ma</w:t>
      </w:r>
      <w:r w:rsidRPr="004109A2">
        <w:rPr>
          <w:rFonts w:ascii="Tahoma" w:hAnsi="Tahoma"/>
          <w:sz w:val="18"/>
        </w:rPr>
        <w:t xml:space="preserve"> (44). </w:t>
      </w:r>
    </w:p>
    <w:p w14:paraId="462F62C8" w14:textId="77777777" w:rsidR="00DA3A70" w:rsidRPr="004109A2" w:rsidRDefault="0052485E" w:rsidP="00023F18">
      <w:pPr>
        <w:pageBreakBefore/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i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19. standard</w:t>
      </w:r>
    </w:p>
    <w:p w14:paraId="22ED65C1" w14:textId="28E2AA7E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Na </w:t>
      </w:r>
      <w:r w:rsidR="00736FF0" w:rsidRPr="004109A2">
        <w:rPr>
          <w:rFonts w:ascii="Tahoma" w:hAnsi="Tahoma"/>
          <w:sz w:val="18"/>
        </w:rPr>
        <w:t>latentn</w:t>
      </w:r>
      <w:r w:rsidR="00736FF0">
        <w:rPr>
          <w:rFonts w:ascii="Tahoma" w:hAnsi="Tahoma"/>
          <w:sz w:val="18"/>
        </w:rPr>
        <w:t>u</w:t>
      </w:r>
      <w:r w:rsidR="00736FF0" w:rsidRPr="004109A2">
        <w:rPr>
          <w:rFonts w:ascii="Tahoma" w:hAnsi="Tahoma"/>
          <w:sz w:val="18"/>
        </w:rPr>
        <w:t xml:space="preserve"> tuberkuloz</w:t>
      </w:r>
      <w:r w:rsidR="00736FF0">
        <w:rPr>
          <w:rFonts w:ascii="Tahoma" w:hAnsi="Tahoma"/>
          <w:sz w:val="18"/>
        </w:rPr>
        <w:t>nu infekciju</w:t>
      </w:r>
      <w:r w:rsidR="00736FF0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treba testirati </w:t>
      </w:r>
      <w:r w:rsidR="00913E6A" w:rsidRPr="004109A2">
        <w:rPr>
          <w:rFonts w:ascii="Tahoma" w:hAnsi="Tahoma"/>
          <w:sz w:val="18"/>
        </w:rPr>
        <w:t>kontakt</w:t>
      </w:r>
      <w:r w:rsidR="00913E6A">
        <w:rPr>
          <w:rFonts w:ascii="Tahoma" w:hAnsi="Tahoma"/>
          <w:sz w:val="18"/>
        </w:rPr>
        <w:t>e</w:t>
      </w:r>
      <w:r w:rsidR="00913E6A" w:rsidRPr="004109A2">
        <w:rPr>
          <w:rFonts w:ascii="Tahoma" w:hAnsi="Tahoma"/>
          <w:sz w:val="18"/>
        </w:rPr>
        <w:t xml:space="preserve"> </w:t>
      </w:r>
      <w:r w:rsidR="00736FF0" w:rsidRPr="004109A2">
        <w:rPr>
          <w:rFonts w:ascii="Tahoma" w:hAnsi="Tahoma"/>
          <w:sz w:val="18"/>
        </w:rPr>
        <w:t>zarazn</w:t>
      </w:r>
      <w:r w:rsidR="00736FF0">
        <w:rPr>
          <w:rFonts w:ascii="Tahoma" w:hAnsi="Tahoma"/>
          <w:sz w:val="18"/>
        </w:rPr>
        <w:t>og</w:t>
      </w:r>
      <w:r w:rsidR="00736FF0" w:rsidRPr="004109A2">
        <w:rPr>
          <w:rFonts w:ascii="Tahoma" w:hAnsi="Tahoma"/>
          <w:sz w:val="18"/>
        </w:rPr>
        <w:t xml:space="preserve"> </w:t>
      </w:r>
      <w:r w:rsidR="00736FF0">
        <w:rPr>
          <w:rFonts w:ascii="Tahoma" w:hAnsi="Tahoma"/>
          <w:sz w:val="18"/>
        </w:rPr>
        <w:t>tuberkuloznog bolesnika</w:t>
      </w:r>
      <w:r w:rsidRPr="004109A2">
        <w:rPr>
          <w:rFonts w:ascii="Tahoma" w:hAnsi="Tahoma"/>
          <w:sz w:val="18"/>
        </w:rPr>
        <w:t xml:space="preserve">, osobe zaražene HIV-om, </w:t>
      </w:r>
      <w:r w:rsidR="00913E6A" w:rsidRPr="004109A2">
        <w:rPr>
          <w:rFonts w:ascii="Tahoma" w:hAnsi="Tahoma"/>
          <w:sz w:val="18"/>
        </w:rPr>
        <w:t>bolesni</w:t>
      </w:r>
      <w:r w:rsidR="00913E6A">
        <w:rPr>
          <w:rFonts w:ascii="Tahoma" w:hAnsi="Tahoma"/>
          <w:sz w:val="18"/>
        </w:rPr>
        <w:t xml:space="preserve">ke </w:t>
      </w:r>
      <w:r w:rsidRPr="004109A2">
        <w:rPr>
          <w:rFonts w:ascii="Tahoma" w:hAnsi="Tahoma"/>
          <w:sz w:val="18"/>
        </w:rPr>
        <w:t xml:space="preserve">koji započinju liječenje inhibitorom faktora tumorske nekroze (anti-TNF), </w:t>
      </w:r>
      <w:r w:rsidR="00913E6A" w:rsidRPr="004109A2">
        <w:rPr>
          <w:rFonts w:ascii="Tahoma" w:hAnsi="Tahoma"/>
          <w:sz w:val="18"/>
        </w:rPr>
        <w:t>bolesni</w:t>
      </w:r>
      <w:r w:rsidR="00913E6A">
        <w:rPr>
          <w:rFonts w:ascii="Tahoma" w:hAnsi="Tahoma"/>
          <w:sz w:val="18"/>
        </w:rPr>
        <w:t xml:space="preserve">ke </w:t>
      </w:r>
      <w:r w:rsidRPr="004109A2">
        <w:rPr>
          <w:rFonts w:ascii="Tahoma" w:hAnsi="Tahoma"/>
          <w:sz w:val="18"/>
        </w:rPr>
        <w:t xml:space="preserve">na dijalizi, </w:t>
      </w:r>
      <w:r w:rsidR="00913E6A" w:rsidRPr="004109A2">
        <w:rPr>
          <w:rFonts w:ascii="Tahoma" w:hAnsi="Tahoma"/>
          <w:sz w:val="18"/>
        </w:rPr>
        <w:t>bolesni</w:t>
      </w:r>
      <w:r w:rsidR="00913E6A">
        <w:rPr>
          <w:rFonts w:ascii="Tahoma" w:hAnsi="Tahoma"/>
          <w:sz w:val="18"/>
        </w:rPr>
        <w:t>ke</w:t>
      </w:r>
      <w:r w:rsidR="00913E6A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koji se pripremaju za transplantaciju organa ili </w:t>
      </w:r>
      <w:r w:rsidR="00A21D38">
        <w:rPr>
          <w:rFonts w:ascii="Tahoma" w:hAnsi="Tahoma"/>
          <w:sz w:val="18"/>
        </w:rPr>
        <w:t>krvotvornih</w:t>
      </w:r>
      <w:r w:rsidR="00913E6A">
        <w:rPr>
          <w:rFonts w:ascii="Tahoma" w:hAnsi="Tahoma"/>
          <w:sz w:val="18"/>
        </w:rPr>
        <w:t xml:space="preserve"> matičnih stanica</w:t>
      </w:r>
      <w:r w:rsidRPr="004109A2">
        <w:rPr>
          <w:rFonts w:ascii="Tahoma" w:hAnsi="Tahoma"/>
          <w:sz w:val="18"/>
        </w:rPr>
        <w:t xml:space="preserve"> i </w:t>
      </w:r>
      <w:r w:rsidR="00913E6A" w:rsidRPr="004109A2">
        <w:rPr>
          <w:rFonts w:ascii="Tahoma" w:hAnsi="Tahoma"/>
          <w:sz w:val="18"/>
        </w:rPr>
        <w:t>bolesni</w:t>
      </w:r>
      <w:r w:rsidR="00913E6A">
        <w:rPr>
          <w:rFonts w:ascii="Tahoma" w:hAnsi="Tahoma"/>
          <w:sz w:val="18"/>
        </w:rPr>
        <w:t xml:space="preserve">ke sa </w:t>
      </w:r>
      <w:r w:rsidRPr="004109A2">
        <w:rPr>
          <w:rFonts w:ascii="Tahoma" w:hAnsi="Tahoma"/>
          <w:sz w:val="18"/>
        </w:rPr>
        <w:t>silikoz</w:t>
      </w:r>
      <w:r w:rsidR="00913E6A">
        <w:rPr>
          <w:rFonts w:ascii="Tahoma" w:hAnsi="Tahoma"/>
          <w:sz w:val="18"/>
        </w:rPr>
        <w:t>om</w:t>
      </w:r>
      <w:r w:rsidRPr="004109A2">
        <w:rPr>
          <w:rFonts w:ascii="Tahoma" w:hAnsi="Tahoma"/>
          <w:sz w:val="18"/>
        </w:rPr>
        <w:t xml:space="preserve">. </w:t>
      </w:r>
      <w:r w:rsidR="00913E6A">
        <w:rPr>
          <w:rFonts w:ascii="Tahoma" w:hAnsi="Tahoma"/>
          <w:sz w:val="18"/>
        </w:rPr>
        <w:t>Bolesnike u kojih se</w:t>
      </w:r>
      <w:r w:rsidRPr="004109A2">
        <w:rPr>
          <w:rFonts w:ascii="Tahoma" w:hAnsi="Tahoma"/>
          <w:sz w:val="18"/>
        </w:rPr>
        <w:t xml:space="preserve"> utvrdi latentn</w:t>
      </w:r>
      <w:r w:rsidR="00913E6A">
        <w:rPr>
          <w:rFonts w:ascii="Tahoma" w:hAnsi="Tahoma"/>
          <w:sz w:val="18"/>
        </w:rPr>
        <w:t>a</w:t>
      </w:r>
      <w:r w:rsidRPr="004109A2">
        <w:rPr>
          <w:rFonts w:ascii="Tahoma" w:hAnsi="Tahoma"/>
          <w:sz w:val="18"/>
        </w:rPr>
        <w:t xml:space="preserve"> </w:t>
      </w:r>
      <w:r w:rsidR="00913E6A" w:rsidRPr="004109A2">
        <w:rPr>
          <w:rFonts w:ascii="Tahoma" w:hAnsi="Tahoma"/>
          <w:sz w:val="18"/>
        </w:rPr>
        <w:t>tuberkuloz</w:t>
      </w:r>
      <w:r w:rsidR="00736FF0">
        <w:rPr>
          <w:rFonts w:ascii="Tahoma" w:hAnsi="Tahoma"/>
          <w:sz w:val="18"/>
        </w:rPr>
        <w:t>n</w:t>
      </w:r>
      <w:r w:rsidR="00913E6A">
        <w:rPr>
          <w:rFonts w:ascii="Tahoma" w:hAnsi="Tahoma"/>
          <w:sz w:val="18"/>
        </w:rPr>
        <w:t>a</w:t>
      </w:r>
      <w:r w:rsidR="00736FF0">
        <w:rPr>
          <w:rFonts w:ascii="Tahoma" w:hAnsi="Tahoma"/>
          <w:sz w:val="18"/>
        </w:rPr>
        <w:t xml:space="preserve"> infekcija </w:t>
      </w:r>
      <w:r w:rsidRPr="004109A2">
        <w:rPr>
          <w:rFonts w:ascii="Tahoma" w:hAnsi="Tahoma"/>
          <w:sz w:val="18"/>
        </w:rPr>
        <w:t xml:space="preserve">treba pažljivo procijeniti pod sumnjom na aktivnu tuberkulozu. Ako se isključi </w:t>
      </w:r>
      <w:r w:rsidR="00736FF0" w:rsidRPr="004109A2">
        <w:rPr>
          <w:rFonts w:ascii="Tahoma" w:hAnsi="Tahoma"/>
          <w:sz w:val="18"/>
        </w:rPr>
        <w:t>aktivn</w:t>
      </w:r>
      <w:r w:rsidR="00736FF0">
        <w:rPr>
          <w:rFonts w:ascii="Tahoma" w:hAnsi="Tahoma"/>
          <w:sz w:val="18"/>
        </w:rPr>
        <w:t>a</w:t>
      </w:r>
      <w:r w:rsidR="00736FF0" w:rsidRPr="004109A2">
        <w:rPr>
          <w:rFonts w:ascii="Tahoma" w:hAnsi="Tahoma"/>
          <w:sz w:val="18"/>
        </w:rPr>
        <w:t xml:space="preserve"> tuberkuloz</w:t>
      </w:r>
      <w:r w:rsidR="00736FF0">
        <w:rPr>
          <w:rFonts w:ascii="Tahoma" w:hAnsi="Tahoma"/>
          <w:sz w:val="18"/>
        </w:rPr>
        <w:t>a</w:t>
      </w:r>
      <w:r w:rsidRPr="004109A2">
        <w:rPr>
          <w:rFonts w:ascii="Tahoma" w:hAnsi="Tahoma"/>
          <w:sz w:val="18"/>
        </w:rPr>
        <w:t xml:space="preserve">, potrebno </w:t>
      </w:r>
      <w:r w:rsidR="00736FF0">
        <w:rPr>
          <w:rFonts w:ascii="Tahoma" w:hAnsi="Tahoma"/>
          <w:sz w:val="18"/>
        </w:rPr>
        <w:t xml:space="preserve">im </w:t>
      </w:r>
      <w:r w:rsidRPr="004109A2">
        <w:rPr>
          <w:rFonts w:ascii="Tahoma" w:hAnsi="Tahoma"/>
          <w:sz w:val="18"/>
        </w:rPr>
        <w:t xml:space="preserve">je ponuditi preventivno liječenje u </w:t>
      </w:r>
      <w:r w:rsidR="00913E6A">
        <w:rPr>
          <w:rFonts w:ascii="Tahoma" w:hAnsi="Tahoma"/>
          <w:sz w:val="18"/>
        </w:rPr>
        <w:t>skladu s preporukama</w:t>
      </w:r>
      <w:r w:rsidRPr="004109A2">
        <w:rPr>
          <w:rFonts w:ascii="Tahoma" w:hAnsi="Tahoma"/>
          <w:sz w:val="18"/>
        </w:rPr>
        <w:t> SZO</w:t>
      </w:r>
      <w:r w:rsidR="00913E6A">
        <w:rPr>
          <w:rFonts w:ascii="Tahoma" w:hAnsi="Tahoma"/>
          <w:sz w:val="18"/>
        </w:rPr>
        <w:t>-a</w:t>
      </w:r>
      <w:r w:rsidRPr="004109A2">
        <w:rPr>
          <w:rFonts w:ascii="Tahoma" w:hAnsi="Tahoma"/>
          <w:sz w:val="18"/>
        </w:rPr>
        <w:t>.</w:t>
      </w:r>
    </w:p>
    <w:p w14:paraId="08656174" w14:textId="77777777" w:rsidR="00DA3A70" w:rsidRPr="004109A2" w:rsidRDefault="0052485E" w:rsidP="000D0DB0">
      <w:pPr>
        <w:pStyle w:val="EC-Title-6"/>
        <w:rPr>
          <w:b w:val="0"/>
          <w:sz w:val="24"/>
          <w:szCs w:val="24"/>
        </w:rPr>
      </w:pPr>
      <w:r w:rsidRPr="004109A2">
        <w:rPr>
          <w:sz w:val="24"/>
        </w:rPr>
        <w:t>Zahtjevi specifični za EU</w:t>
      </w:r>
    </w:p>
    <w:p w14:paraId="3458456E" w14:textId="6042757C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>Kada se dijagnosticira i prijavi zarazni indeks</w:t>
      </w:r>
      <w:r w:rsidR="002613E6">
        <w:rPr>
          <w:rFonts w:ascii="Tahoma" w:hAnsi="Tahoma"/>
          <w:sz w:val="18"/>
        </w:rPr>
        <w:t xml:space="preserve">ni </w:t>
      </w:r>
      <w:r w:rsidRPr="004109A2">
        <w:rPr>
          <w:rFonts w:ascii="Tahoma" w:hAnsi="Tahoma"/>
          <w:sz w:val="18"/>
        </w:rPr>
        <w:t xml:space="preserve">slučaj, kliničari trebaju surađivati s </w:t>
      </w:r>
      <w:r w:rsidR="002C654D">
        <w:rPr>
          <w:rFonts w:ascii="Tahoma" w:hAnsi="Tahoma"/>
          <w:sz w:val="18"/>
        </w:rPr>
        <w:t xml:space="preserve">nadležnim </w:t>
      </w:r>
      <w:r w:rsidR="00A21D38">
        <w:rPr>
          <w:rFonts w:ascii="Tahoma" w:hAnsi="Tahoma"/>
          <w:sz w:val="18"/>
        </w:rPr>
        <w:t>javnozdravstvenim</w:t>
      </w:r>
      <w:r w:rsidR="002C654D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tijelima u okviru provedbe odgovarajućih postupaka za traženje</w:t>
      </w:r>
      <w:r w:rsidR="008E0DAC">
        <w:rPr>
          <w:rFonts w:ascii="Tahoma" w:hAnsi="Tahoma"/>
          <w:sz w:val="18"/>
        </w:rPr>
        <w:t xml:space="preserve"> i obradu</w:t>
      </w:r>
      <w:r w:rsidRPr="004109A2">
        <w:rPr>
          <w:rFonts w:ascii="Tahoma" w:hAnsi="Tahoma"/>
          <w:sz w:val="18"/>
        </w:rPr>
        <w:t xml:space="preserve"> kontakata, koji se provode u skladu s nacionalnim i međunarodnim preporukama o krugovima širenja zaraze (40, 41, 45, 46). Slično tome, ako se utvrdi da je dijete oboljelo od tuberkuloze (neovisno o sijelu zaraze), a izvor nije utvrđen, treba započeti traženje izvora i kontakata (41, 47). </w:t>
      </w:r>
    </w:p>
    <w:p w14:paraId="396C5FD5" w14:textId="53D6EF7A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Pojedinci koji se liječe inhibitorom TNF-ɑ treba smatrati visokorizičnim kontaktima. U skladu s ESTC-om broj 16., u pojedinaca koji su zaraženi HIV-om ili </w:t>
      </w:r>
      <w:r w:rsidR="00C83342">
        <w:rPr>
          <w:rFonts w:ascii="Tahoma" w:hAnsi="Tahoma"/>
          <w:sz w:val="18"/>
        </w:rPr>
        <w:t>imaju</w:t>
      </w:r>
      <w:r w:rsidRPr="004109A2">
        <w:rPr>
          <w:rFonts w:ascii="Tahoma" w:hAnsi="Tahoma"/>
          <w:sz w:val="18"/>
        </w:rPr>
        <w:t xml:space="preserve"> </w:t>
      </w:r>
      <w:r w:rsidR="00D30868" w:rsidRPr="004109A2">
        <w:rPr>
          <w:rFonts w:ascii="Tahoma" w:hAnsi="Tahoma"/>
          <w:sz w:val="18"/>
        </w:rPr>
        <w:t>komorbiditet</w:t>
      </w:r>
      <w:r w:rsidR="00D30868">
        <w:rPr>
          <w:rFonts w:ascii="Tahoma" w:hAnsi="Tahoma"/>
          <w:sz w:val="18"/>
        </w:rPr>
        <w:t>e</w:t>
      </w:r>
      <w:r w:rsidRPr="004109A2">
        <w:rPr>
          <w:rFonts w:ascii="Tahoma" w:hAnsi="Tahoma"/>
          <w:sz w:val="18"/>
        </w:rPr>
        <w:t xml:space="preserve">, treba odmah započeti s liječenjem latentne </w:t>
      </w:r>
      <w:r w:rsidR="00736FF0">
        <w:rPr>
          <w:rFonts w:ascii="Tahoma" w:hAnsi="Tahoma"/>
          <w:sz w:val="18"/>
        </w:rPr>
        <w:t>tuberkulozne infekcije</w:t>
      </w:r>
      <w:r w:rsidR="00736FF0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ako se pomoću </w:t>
      </w:r>
      <w:r w:rsidR="00736FF0">
        <w:rPr>
          <w:rFonts w:ascii="Tahoma" w:hAnsi="Tahoma"/>
          <w:sz w:val="18"/>
        </w:rPr>
        <w:t>PPD</w:t>
      </w:r>
      <w:r w:rsidRPr="004109A2">
        <w:rPr>
          <w:rFonts w:ascii="Tahoma" w:hAnsi="Tahoma"/>
          <w:sz w:val="18"/>
        </w:rPr>
        <w:t xml:space="preserve">-a i/ili IGRA-e utvrdi </w:t>
      </w:r>
      <w:r w:rsidR="00736FF0">
        <w:rPr>
          <w:rFonts w:ascii="Tahoma" w:hAnsi="Tahoma"/>
          <w:sz w:val="18"/>
        </w:rPr>
        <w:t>infekcija</w:t>
      </w:r>
      <w:r w:rsidR="00736FF0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tuberkulozom</w:t>
      </w:r>
      <w:r w:rsidR="00D30868">
        <w:rPr>
          <w:rFonts w:ascii="Tahoma" w:hAnsi="Tahoma"/>
          <w:sz w:val="18"/>
        </w:rPr>
        <w:t xml:space="preserve"> </w:t>
      </w:r>
      <w:r w:rsidR="00736FF0">
        <w:rPr>
          <w:rFonts w:ascii="Tahoma" w:hAnsi="Tahoma"/>
          <w:sz w:val="18"/>
        </w:rPr>
        <w:t>te</w:t>
      </w:r>
      <w:r w:rsidR="00D30868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>isključi aktivn</w:t>
      </w:r>
      <w:r w:rsidR="00D30868">
        <w:rPr>
          <w:rFonts w:ascii="Tahoma" w:hAnsi="Tahoma"/>
          <w:sz w:val="18"/>
        </w:rPr>
        <w:t xml:space="preserve">a </w:t>
      </w:r>
      <w:r w:rsidR="00D30868" w:rsidRPr="004109A2">
        <w:rPr>
          <w:rFonts w:ascii="Tahoma" w:hAnsi="Tahoma"/>
          <w:sz w:val="18"/>
        </w:rPr>
        <w:t>tuberkuloz</w:t>
      </w:r>
      <w:r w:rsidR="00D30868">
        <w:rPr>
          <w:rFonts w:ascii="Tahoma" w:hAnsi="Tahoma"/>
          <w:sz w:val="18"/>
        </w:rPr>
        <w:t>a</w:t>
      </w:r>
      <w:r w:rsidR="00D30868" w:rsidRPr="004109A2">
        <w:rPr>
          <w:rFonts w:ascii="Tahoma" w:hAnsi="Tahoma"/>
          <w:sz w:val="18"/>
        </w:rPr>
        <w:t> </w:t>
      </w:r>
      <w:r w:rsidRPr="004109A2">
        <w:rPr>
          <w:rFonts w:ascii="Tahoma" w:hAnsi="Tahoma"/>
          <w:sz w:val="18"/>
        </w:rPr>
        <w:t>(10, 36, 38, 40, 48, 49).</w:t>
      </w:r>
    </w:p>
    <w:p w14:paraId="0DA5442D" w14:textId="77777777" w:rsidR="00DA3A70" w:rsidRPr="004109A2" w:rsidRDefault="0052485E" w:rsidP="00DB519A">
      <w:pPr>
        <w:shd w:val="clear" w:color="auto" w:fill="D9D9D9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20. standard</w:t>
      </w:r>
    </w:p>
    <w:p w14:paraId="18352500" w14:textId="72C616E0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Svaka zdravstvena ustanova u kojoj se skrbi o bolesnicima koji imaju ili kod kojih se sumnja da imaju zaraznu tuberkulozu treba izraditi i provoditi odgovarajući plan za kontrolu </w:t>
      </w:r>
      <w:r w:rsidR="00522A25">
        <w:rPr>
          <w:rFonts w:ascii="Tahoma" w:hAnsi="Tahoma"/>
          <w:sz w:val="18"/>
        </w:rPr>
        <w:t>infekcije</w:t>
      </w:r>
      <w:r w:rsidR="00522A25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tuberkulozom. </w:t>
      </w:r>
    </w:p>
    <w:p w14:paraId="49D942BF" w14:textId="77777777" w:rsidR="0098145B" w:rsidRPr="004109A2" w:rsidRDefault="0052485E" w:rsidP="0098145B">
      <w:pPr>
        <w:pStyle w:val="EC-Title-6"/>
        <w:rPr>
          <w:sz w:val="24"/>
          <w:szCs w:val="24"/>
        </w:rPr>
      </w:pPr>
      <w:r w:rsidRPr="004109A2">
        <w:rPr>
          <w:sz w:val="24"/>
        </w:rPr>
        <w:t>Zahtjevi specifični za EU</w:t>
      </w:r>
    </w:p>
    <w:p w14:paraId="2EE279BF" w14:textId="296C45D1" w:rsidR="00DA3A70" w:rsidRPr="004109A2" w:rsidRDefault="0052485E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4109A2">
        <w:rPr>
          <w:rFonts w:ascii="Tahoma" w:hAnsi="Tahoma"/>
          <w:spacing w:val="-2"/>
          <w:sz w:val="18"/>
        </w:rPr>
        <w:t>Bolesnici</w:t>
      </w:r>
      <w:r w:rsidR="007E0461">
        <w:rPr>
          <w:rFonts w:ascii="Tahoma" w:hAnsi="Tahoma"/>
          <w:spacing w:val="-2"/>
          <w:sz w:val="18"/>
        </w:rPr>
        <w:t>ma</w:t>
      </w:r>
      <w:r w:rsidRPr="004109A2">
        <w:rPr>
          <w:rFonts w:ascii="Tahoma" w:hAnsi="Tahoma"/>
          <w:spacing w:val="-2"/>
          <w:sz w:val="18"/>
        </w:rPr>
        <w:t xml:space="preserve"> koji bi se radije liječili kod kuće treba</w:t>
      </w:r>
      <w:r w:rsidR="00D30868">
        <w:rPr>
          <w:rFonts w:ascii="Tahoma" w:hAnsi="Tahoma"/>
          <w:spacing w:val="-2"/>
          <w:sz w:val="18"/>
        </w:rPr>
        <w:t xml:space="preserve"> omogućiti </w:t>
      </w:r>
      <w:r w:rsidRPr="004109A2">
        <w:rPr>
          <w:rFonts w:ascii="Tahoma" w:hAnsi="Tahoma"/>
          <w:spacing w:val="-2"/>
          <w:sz w:val="18"/>
        </w:rPr>
        <w:t>liječenj</w:t>
      </w:r>
      <w:r w:rsidR="00D30868">
        <w:rPr>
          <w:rFonts w:ascii="Tahoma" w:hAnsi="Tahoma"/>
          <w:spacing w:val="-2"/>
          <w:sz w:val="18"/>
        </w:rPr>
        <w:t>e</w:t>
      </w:r>
      <w:r w:rsidRPr="004109A2">
        <w:rPr>
          <w:rFonts w:ascii="Tahoma" w:hAnsi="Tahoma"/>
          <w:spacing w:val="-2"/>
          <w:sz w:val="18"/>
        </w:rPr>
        <w:t xml:space="preserve"> u okviru zajednice, </w:t>
      </w:r>
      <w:r w:rsidR="00D30868">
        <w:rPr>
          <w:rFonts w:ascii="Tahoma" w:hAnsi="Tahoma"/>
          <w:spacing w:val="-2"/>
          <w:sz w:val="18"/>
        </w:rPr>
        <w:t>uz osigurano provođenje</w:t>
      </w:r>
      <w:r w:rsidRPr="004109A2">
        <w:rPr>
          <w:rFonts w:ascii="Tahoma" w:hAnsi="Tahoma"/>
          <w:spacing w:val="-2"/>
          <w:sz w:val="18"/>
        </w:rPr>
        <w:t xml:space="preserve"> mjera za kontrolu </w:t>
      </w:r>
      <w:r w:rsidR="00D30868">
        <w:rPr>
          <w:rFonts w:ascii="Tahoma" w:hAnsi="Tahoma"/>
          <w:spacing w:val="-2"/>
          <w:sz w:val="18"/>
        </w:rPr>
        <w:t>infekcije</w:t>
      </w:r>
      <w:r w:rsidR="00D30868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>kod kuće (5, 24).</w:t>
      </w:r>
    </w:p>
    <w:p w14:paraId="41655E7E" w14:textId="25CA51D7" w:rsidR="00DA3A70" w:rsidRPr="004109A2" w:rsidRDefault="0052485E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4109A2">
        <w:rPr>
          <w:rFonts w:ascii="Tahoma" w:hAnsi="Tahoma"/>
          <w:spacing w:val="-2"/>
          <w:sz w:val="18"/>
        </w:rPr>
        <w:t xml:space="preserve">Ako je potrebna hospitalizacija, kliničari trebaju </w:t>
      </w:r>
      <w:r w:rsidR="00D30868">
        <w:rPr>
          <w:rFonts w:ascii="Tahoma" w:hAnsi="Tahoma"/>
          <w:spacing w:val="-2"/>
          <w:sz w:val="18"/>
        </w:rPr>
        <w:t>osigurati</w:t>
      </w:r>
      <w:r w:rsidR="00D30868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respiratornu izolaciju novoprimljenih bolesnika kod kojih se sumnja na zaraznu tuberkulozu sve do potvrde ili isključivanja njihove dijagnoze (2). </w:t>
      </w:r>
    </w:p>
    <w:p w14:paraId="68E6D3E6" w14:textId="4B59A060" w:rsidR="00DA3A70" w:rsidRPr="004109A2" w:rsidRDefault="0052485E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4109A2">
        <w:rPr>
          <w:rFonts w:ascii="Tahoma" w:hAnsi="Tahoma"/>
          <w:spacing w:val="-2"/>
          <w:sz w:val="18"/>
        </w:rPr>
        <w:t xml:space="preserve">Kako bi se spriječio prijenos bacila tuberkuloze na druge bolesnike, osoblje i/ili posjetitelje, </w:t>
      </w:r>
      <w:r w:rsidR="00D30868" w:rsidRPr="004109A2">
        <w:rPr>
          <w:rFonts w:ascii="Tahoma" w:hAnsi="Tahoma"/>
          <w:spacing w:val="-2"/>
          <w:sz w:val="18"/>
        </w:rPr>
        <w:t xml:space="preserve">bolesnike s </w:t>
      </w:r>
      <w:r w:rsidR="00D30868">
        <w:rPr>
          <w:rFonts w:ascii="Tahoma" w:hAnsi="Tahoma"/>
          <w:spacing w:val="-2"/>
          <w:sz w:val="18"/>
        </w:rPr>
        <w:t>direktno</w:t>
      </w:r>
      <w:r w:rsidR="00FB6E9A">
        <w:rPr>
          <w:rFonts w:ascii="Tahoma" w:hAnsi="Tahoma"/>
          <w:spacing w:val="-2"/>
          <w:sz w:val="18"/>
        </w:rPr>
        <w:t xml:space="preserve"> pozitivnim mikroskopskim nalazom </w:t>
      </w:r>
      <w:r w:rsidR="00D30868" w:rsidRPr="004109A2">
        <w:rPr>
          <w:rFonts w:ascii="Tahoma" w:hAnsi="Tahoma"/>
          <w:spacing w:val="-2"/>
          <w:sz w:val="18"/>
        </w:rPr>
        <w:t xml:space="preserve">na tuberkulozu </w:t>
      </w:r>
      <w:r w:rsidR="00FB6E9A" w:rsidRPr="004109A2">
        <w:rPr>
          <w:rFonts w:ascii="Tahoma" w:hAnsi="Tahoma"/>
          <w:spacing w:val="-2"/>
          <w:sz w:val="18"/>
        </w:rPr>
        <w:t xml:space="preserve">najbolje </w:t>
      </w:r>
      <w:r w:rsidR="00FB6E9A">
        <w:rPr>
          <w:rFonts w:ascii="Tahoma" w:hAnsi="Tahoma"/>
          <w:spacing w:val="-2"/>
          <w:sz w:val="18"/>
        </w:rPr>
        <w:t xml:space="preserve">je </w:t>
      </w:r>
      <w:r w:rsidRPr="004109A2">
        <w:rPr>
          <w:rFonts w:ascii="Tahoma" w:hAnsi="Tahoma"/>
          <w:spacing w:val="-2"/>
          <w:sz w:val="18"/>
        </w:rPr>
        <w:t>izolirati u odgovarajuće sobe sve do postizanja bakteriološke konverzije (negativ</w:t>
      </w:r>
      <w:r w:rsidR="007D4FE6">
        <w:rPr>
          <w:rFonts w:ascii="Tahoma" w:hAnsi="Tahoma"/>
          <w:spacing w:val="-2"/>
          <w:sz w:val="18"/>
        </w:rPr>
        <w:t>an</w:t>
      </w:r>
      <w:r w:rsidRPr="004109A2">
        <w:rPr>
          <w:rFonts w:ascii="Tahoma" w:hAnsi="Tahoma"/>
          <w:spacing w:val="-2"/>
          <w:sz w:val="18"/>
        </w:rPr>
        <w:t xml:space="preserve"> mikroskopski nalaz sputuma). Izolacija se provodi u sobama u kojima postoji ventilacija negativnim tlakom. </w:t>
      </w:r>
    </w:p>
    <w:p w14:paraId="7A5C0D5F" w14:textId="61D38E08" w:rsidR="00DA3A70" w:rsidRPr="004109A2" w:rsidRDefault="0052485E" w:rsidP="0028467E">
      <w:pPr>
        <w:spacing w:after="120"/>
        <w:rPr>
          <w:rFonts w:ascii="Tahoma" w:hAnsi="Tahoma" w:cs="Tahoma"/>
          <w:spacing w:val="-2"/>
          <w:sz w:val="18"/>
          <w:szCs w:val="18"/>
        </w:rPr>
      </w:pPr>
      <w:r w:rsidRPr="004109A2">
        <w:rPr>
          <w:rFonts w:ascii="Tahoma" w:hAnsi="Tahoma"/>
          <w:spacing w:val="-2"/>
          <w:sz w:val="18"/>
        </w:rPr>
        <w:t xml:space="preserve">Odgovarajućim planom za kontrolu </w:t>
      </w:r>
      <w:r w:rsidR="007D4FE6">
        <w:rPr>
          <w:rFonts w:ascii="Tahoma" w:hAnsi="Tahoma"/>
          <w:spacing w:val="-2"/>
          <w:sz w:val="18"/>
        </w:rPr>
        <w:t>infekcije</w:t>
      </w:r>
      <w:r w:rsidRPr="004109A2">
        <w:rPr>
          <w:rFonts w:ascii="Tahoma" w:hAnsi="Tahoma"/>
          <w:spacing w:val="-2"/>
          <w:sz w:val="18"/>
        </w:rPr>
        <w:t xml:space="preserve">, kojim upravlja imenovana osoba, trebaju biti obuhvaćene sljedeće četiri sastavnice: aktivnosti upravljanja, administrativne kontrole, kontrole okoliša i intervencije za osobnu zaštitu (5, 50). U svim zdravstvenim ustanovama trebaju biti uspostavljene odgovarajuće administrativne mjere za kontrolu </w:t>
      </w:r>
      <w:r w:rsidR="007D4FE6">
        <w:rPr>
          <w:rFonts w:ascii="Tahoma" w:hAnsi="Tahoma"/>
          <w:spacing w:val="-2"/>
          <w:sz w:val="18"/>
        </w:rPr>
        <w:t>infekcije</w:t>
      </w:r>
      <w:r w:rsidR="007D4FE6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tuberkulozom, kao i odgovarajuće mjere respiratorne zaštite (uključujući upotrebu respiratora nakon </w:t>
      </w:r>
      <w:r w:rsidR="007D4FE6">
        <w:rPr>
          <w:rFonts w:ascii="Tahoma" w:hAnsi="Tahoma"/>
          <w:spacing w:val="-2"/>
          <w:sz w:val="18"/>
        </w:rPr>
        <w:t>prethodno provedene provjere</w:t>
      </w:r>
      <w:r w:rsidR="007D4FE6" w:rsidRPr="004109A2">
        <w:rPr>
          <w:rFonts w:ascii="Tahoma" w:hAnsi="Tahoma"/>
          <w:spacing w:val="-2"/>
          <w:sz w:val="18"/>
        </w:rPr>
        <w:t xml:space="preserve"> </w:t>
      </w:r>
      <w:r w:rsidR="007D4FE6">
        <w:rPr>
          <w:rFonts w:ascii="Tahoma" w:hAnsi="Tahoma"/>
          <w:spacing w:val="-2"/>
          <w:sz w:val="18"/>
        </w:rPr>
        <w:t xml:space="preserve">da respiratori odgovaraju </w:t>
      </w:r>
      <w:r w:rsidRPr="004109A2">
        <w:rPr>
          <w:rFonts w:ascii="Tahoma" w:hAnsi="Tahoma"/>
          <w:spacing w:val="-2"/>
          <w:sz w:val="18"/>
        </w:rPr>
        <w:t>osoblj</w:t>
      </w:r>
      <w:r w:rsidR="007D4FE6">
        <w:rPr>
          <w:rFonts w:ascii="Tahoma" w:hAnsi="Tahoma"/>
          <w:spacing w:val="-2"/>
          <w:sz w:val="18"/>
        </w:rPr>
        <w:t>u</w:t>
      </w:r>
      <w:r w:rsidRPr="004109A2">
        <w:rPr>
          <w:rFonts w:ascii="Tahoma" w:hAnsi="Tahoma"/>
          <w:spacing w:val="-2"/>
          <w:sz w:val="18"/>
        </w:rPr>
        <w:t xml:space="preserve">, a zarazni bolesnici trebaju upotrebljavati kirurške maske). Planom za kontrolu </w:t>
      </w:r>
      <w:r w:rsidR="007D4FE6">
        <w:rPr>
          <w:rFonts w:ascii="Tahoma" w:hAnsi="Tahoma"/>
          <w:spacing w:val="-2"/>
          <w:sz w:val="18"/>
        </w:rPr>
        <w:t>infekcije</w:t>
      </w:r>
      <w:r w:rsidR="007D4FE6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treba biti obuhvaćeno odgovarajuće osposobljavanje osoblja povezano s kontrolom </w:t>
      </w:r>
      <w:r w:rsidR="007D4FE6">
        <w:rPr>
          <w:rFonts w:ascii="Tahoma" w:hAnsi="Tahoma"/>
          <w:spacing w:val="-2"/>
          <w:sz w:val="18"/>
        </w:rPr>
        <w:t>infekcije</w:t>
      </w:r>
      <w:r w:rsidR="007D4FE6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i uobičajena edukacija bolesnika o pravilima ponašanja prilikom kašljanja, utemeljeno na potvrđenim alatima. Potrebno je i sudjelovanje </w:t>
      </w:r>
      <w:r w:rsidR="00DD09D8">
        <w:rPr>
          <w:rFonts w:ascii="Tahoma" w:hAnsi="Tahoma"/>
          <w:spacing w:val="-2"/>
          <w:sz w:val="18"/>
        </w:rPr>
        <w:t>povjerenstva</w:t>
      </w:r>
      <w:r w:rsidR="00DD09D8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za kontrolu </w:t>
      </w:r>
      <w:r w:rsidR="00DD09D8">
        <w:rPr>
          <w:rFonts w:ascii="Tahoma" w:hAnsi="Tahoma"/>
          <w:spacing w:val="-2"/>
          <w:sz w:val="18"/>
        </w:rPr>
        <w:t>infekcije</w:t>
      </w:r>
      <w:r w:rsidRPr="004109A2">
        <w:rPr>
          <w:rFonts w:ascii="Tahoma" w:hAnsi="Tahoma"/>
          <w:spacing w:val="-2"/>
          <w:sz w:val="18"/>
        </w:rPr>
        <w:t xml:space="preserve">, koji se bave bolestima koje se prenose zrakom i čiji su članovi i stručnjaci za kontrolu </w:t>
      </w:r>
      <w:r w:rsidR="007D4FE6">
        <w:rPr>
          <w:rFonts w:ascii="Tahoma" w:hAnsi="Tahoma"/>
          <w:spacing w:val="-2"/>
          <w:sz w:val="18"/>
        </w:rPr>
        <w:t>infekcije</w:t>
      </w:r>
      <w:r w:rsidR="007D4FE6" w:rsidRPr="004109A2">
        <w:rPr>
          <w:rFonts w:ascii="Tahoma" w:hAnsi="Tahoma"/>
          <w:spacing w:val="-2"/>
          <w:sz w:val="18"/>
        </w:rPr>
        <w:t> </w:t>
      </w:r>
      <w:r w:rsidRPr="004109A2">
        <w:rPr>
          <w:rFonts w:ascii="Tahoma" w:hAnsi="Tahoma"/>
          <w:spacing w:val="-2"/>
          <w:sz w:val="18"/>
        </w:rPr>
        <w:t>(5, 50 – 52).</w:t>
      </w:r>
    </w:p>
    <w:p w14:paraId="3879E827" w14:textId="77777777" w:rsidR="00DA3A70" w:rsidRPr="004109A2" w:rsidRDefault="0052485E" w:rsidP="00496312">
      <w:pPr>
        <w:shd w:val="clear" w:color="auto" w:fill="E7E6E6"/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4109A2">
        <w:rPr>
          <w:rFonts w:ascii="Tahoma" w:hAnsi="Tahoma"/>
          <w:b/>
          <w:sz w:val="24"/>
          <w:shd w:val="clear" w:color="auto" w:fill="D9D9D9"/>
        </w:rPr>
        <w:t>21. standard</w:t>
      </w:r>
    </w:p>
    <w:p w14:paraId="37CBF6B6" w14:textId="0AF9F9AB" w:rsidR="00DA3A70" w:rsidRPr="004109A2" w:rsidRDefault="0052485E" w:rsidP="0028467E">
      <w:pPr>
        <w:spacing w:after="120"/>
        <w:rPr>
          <w:rFonts w:ascii="Tahoma" w:hAnsi="Tahoma" w:cs="Tahoma"/>
          <w:sz w:val="18"/>
          <w:szCs w:val="18"/>
        </w:rPr>
      </w:pPr>
      <w:r w:rsidRPr="004109A2">
        <w:rPr>
          <w:rFonts w:ascii="Tahoma" w:hAnsi="Tahoma"/>
          <w:sz w:val="18"/>
        </w:rPr>
        <w:t xml:space="preserve">Svi pružatelji skrbi </w:t>
      </w:r>
      <w:r w:rsidR="003F6FBF">
        <w:rPr>
          <w:rFonts w:ascii="Tahoma" w:hAnsi="Tahoma"/>
          <w:sz w:val="18"/>
        </w:rPr>
        <w:t>obvezni</w:t>
      </w:r>
      <w:r w:rsidR="003F6FBF" w:rsidRPr="004109A2">
        <w:rPr>
          <w:rFonts w:ascii="Tahoma" w:hAnsi="Tahoma"/>
          <w:sz w:val="18"/>
        </w:rPr>
        <w:t xml:space="preserve"> </w:t>
      </w:r>
      <w:r w:rsidR="003F6FBF">
        <w:rPr>
          <w:rFonts w:ascii="Tahoma" w:hAnsi="Tahoma"/>
          <w:sz w:val="18"/>
        </w:rPr>
        <w:t xml:space="preserve">su </w:t>
      </w:r>
      <w:r w:rsidR="003F6FBF" w:rsidRPr="004109A2">
        <w:rPr>
          <w:rFonts w:ascii="Tahoma" w:hAnsi="Tahoma"/>
          <w:sz w:val="18"/>
        </w:rPr>
        <w:t xml:space="preserve">prijaviti </w:t>
      </w:r>
      <w:r w:rsidR="007F3DC9">
        <w:rPr>
          <w:rFonts w:ascii="Tahoma" w:hAnsi="Tahoma"/>
          <w:sz w:val="18"/>
        </w:rPr>
        <w:t>nadležnim javnozdravstvenim</w:t>
      </w:r>
      <w:r w:rsidR="007F3DC9" w:rsidRPr="004109A2">
        <w:rPr>
          <w:rFonts w:ascii="Tahoma" w:hAnsi="Tahoma"/>
          <w:sz w:val="18"/>
        </w:rPr>
        <w:t xml:space="preserve"> </w:t>
      </w:r>
      <w:r w:rsidRPr="004109A2">
        <w:rPr>
          <w:rFonts w:ascii="Tahoma" w:hAnsi="Tahoma"/>
          <w:sz w:val="18"/>
        </w:rPr>
        <w:t xml:space="preserve">tijelima </w:t>
      </w:r>
      <w:r w:rsidR="003F6FBF" w:rsidRPr="004109A2">
        <w:rPr>
          <w:rFonts w:ascii="Tahoma" w:hAnsi="Tahoma"/>
          <w:sz w:val="18"/>
        </w:rPr>
        <w:t>nov</w:t>
      </w:r>
      <w:r w:rsidR="003F6FBF">
        <w:rPr>
          <w:rFonts w:ascii="Tahoma" w:hAnsi="Tahoma"/>
          <w:sz w:val="18"/>
        </w:rPr>
        <w:t xml:space="preserve">ooboljele kao i već prethodno liječene tuberkulozne bolesnike te dostaviti </w:t>
      </w:r>
      <w:r w:rsidRPr="004109A2">
        <w:rPr>
          <w:rFonts w:ascii="Tahoma" w:hAnsi="Tahoma"/>
          <w:sz w:val="18"/>
        </w:rPr>
        <w:t xml:space="preserve">ishode njihova liječenja, u skladu s </w:t>
      </w:r>
      <w:r w:rsidR="007F3DC9">
        <w:rPr>
          <w:rFonts w:ascii="Tahoma" w:hAnsi="Tahoma"/>
          <w:sz w:val="18"/>
        </w:rPr>
        <w:t>postojećim zakonskim propisima</w:t>
      </w:r>
      <w:r w:rsidRPr="004109A2">
        <w:rPr>
          <w:rFonts w:ascii="Tahoma" w:hAnsi="Tahoma"/>
          <w:sz w:val="18"/>
        </w:rPr>
        <w:t xml:space="preserve"> i politikama. </w:t>
      </w:r>
    </w:p>
    <w:p w14:paraId="26C47617" w14:textId="77777777" w:rsidR="0098145B" w:rsidRPr="004109A2" w:rsidRDefault="0052485E" w:rsidP="0098145B">
      <w:pPr>
        <w:pStyle w:val="EC-Title-6"/>
        <w:rPr>
          <w:sz w:val="24"/>
          <w:szCs w:val="24"/>
        </w:rPr>
      </w:pPr>
      <w:r w:rsidRPr="004109A2">
        <w:rPr>
          <w:sz w:val="24"/>
        </w:rPr>
        <w:t>Zahtjevi specifični za EU</w:t>
      </w:r>
    </w:p>
    <w:p w14:paraId="59F31F41" w14:textId="2B9D7F46" w:rsidR="00DA3A70" w:rsidRPr="004109A2" w:rsidRDefault="0052485E" w:rsidP="000D0DB0">
      <w:pPr>
        <w:rPr>
          <w:rFonts w:ascii="Tahoma" w:hAnsi="Tahoma" w:cs="Tahoma"/>
          <w:spacing w:val="-2"/>
          <w:sz w:val="18"/>
          <w:szCs w:val="18"/>
        </w:rPr>
      </w:pPr>
      <w:r w:rsidRPr="004109A2">
        <w:rPr>
          <w:rFonts w:ascii="Tahoma" w:hAnsi="Tahoma"/>
          <w:spacing w:val="-2"/>
          <w:sz w:val="18"/>
        </w:rPr>
        <w:t xml:space="preserve">Kliničari trebaju u pravilnim vremenskim intervalima (npr. svaka tri mjeseca) </w:t>
      </w:r>
      <w:r w:rsidR="003F6FBF">
        <w:rPr>
          <w:rFonts w:ascii="Tahoma" w:hAnsi="Tahoma"/>
          <w:spacing w:val="-2"/>
          <w:sz w:val="18"/>
        </w:rPr>
        <w:t>evaluirati</w:t>
      </w:r>
      <w:r w:rsidR="003F6FBF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ishode liječenja u svojim kliničkim jedinicama (18, 53). </w:t>
      </w:r>
      <w:r w:rsidR="0045145C" w:rsidRPr="004109A2">
        <w:rPr>
          <w:rFonts w:ascii="Tahoma" w:hAnsi="Tahoma"/>
          <w:spacing w:val="-2"/>
          <w:sz w:val="18"/>
        </w:rPr>
        <w:t>Ishod</w:t>
      </w:r>
      <w:r w:rsidR="0045145C">
        <w:rPr>
          <w:rFonts w:ascii="Tahoma" w:hAnsi="Tahoma"/>
          <w:spacing w:val="-2"/>
          <w:sz w:val="18"/>
        </w:rPr>
        <w:t>e</w:t>
      </w:r>
      <w:r w:rsidR="0045145C" w:rsidRPr="004109A2">
        <w:rPr>
          <w:rFonts w:ascii="Tahoma" w:hAnsi="Tahoma"/>
          <w:spacing w:val="-2"/>
          <w:sz w:val="18"/>
        </w:rPr>
        <w:t xml:space="preserve"> liječenj</w:t>
      </w:r>
      <w:r w:rsidR="0045145C">
        <w:rPr>
          <w:rFonts w:ascii="Tahoma" w:hAnsi="Tahoma"/>
          <w:spacing w:val="-2"/>
          <w:sz w:val="18"/>
        </w:rPr>
        <w:t>e</w:t>
      </w:r>
      <w:r w:rsidR="0045145C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>trebaju</w:t>
      </w:r>
      <w:r w:rsidR="0022344C">
        <w:rPr>
          <w:rFonts w:ascii="Tahoma" w:hAnsi="Tahoma"/>
          <w:spacing w:val="-2"/>
          <w:sz w:val="18"/>
        </w:rPr>
        <w:t xml:space="preserve"> </w:t>
      </w:r>
      <w:r w:rsidR="00581F5B">
        <w:rPr>
          <w:rFonts w:ascii="Tahoma" w:hAnsi="Tahoma"/>
          <w:spacing w:val="-2"/>
          <w:sz w:val="18"/>
        </w:rPr>
        <w:t>dostavljati</w:t>
      </w:r>
      <w:r w:rsidR="00581F5B" w:rsidRPr="004109A2">
        <w:rPr>
          <w:rFonts w:ascii="Tahoma" w:hAnsi="Tahoma"/>
          <w:spacing w:val="-2"/>
          <w:sz w:val="18"/>
        </w:rPr>
        <w:t xml:space="preserve"> </w:t>
      </w:r>
      <w:r w:rsidR="00581F5B">
        <w:rPr>
          <w:rFonts w:ascii="Tahoma" w:hAnsi="Tahoma"/>
          <w:spacing w:val="-2"/>
          <w:sz w:val="18"/>
        </w:rPr>
        <w:t>nadležnim javnozdravstvenim</w:t>
      </w:r>
      <w:r w:rsidRPr="004109A2">
        <w:rPr>
          <w:rFonts w:ascii="Tahoma" w:hAnsi="Tahoma"/>
          <w:spacing w:val="-2"/>
          <w:sz w:val="18"/>
        </w:rPr>
        <w:t xml:space="preserve"> tijelima u skladu s </w:t>
      </w:r>
      <w:r w:rsidR="00581F5B">
        <w:rPr>
          <w:rFonts w:ascii="Tahoma" w:hAnsi="Tahoma"/>
          <w:spacing w:val="-2"/>
          <w:sz w:val="18"/>
        </w:rPr>
        <w:t>postojećim</w:t>
      </w:r>
      <w:r w:rsidR="00581F5B" w:rsidRPr="004109A2">
        <w:rPr>
          <w:rFonts w:ascii="Tahoma" w:hAnsi="Tahoma"/>
          <w:spacing w:val="-2"/>
          <w:sz w:val="18"/>
        </w:rPr>
        <w:t xml:space="preserve"> </w:t>
      </w:r>
      <w:r w:rsidR="007F3DC9">
        <w:rPr>
          <w:rFonts w:ascii="Tahoma" w:hAnsi="Tahoma"/>
          <w:spacing w:val="-2"/>
          <w:sz w:val="18"/>
        </w:rPr>
        <w:t>zakonskim propisima</w:t>
      </w:r>
      <w:r w:rsidR="007F3DC9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i politikama te </w:t>
      </w:r>
      <w:r w:rsidR="00581F5B">
        <w:rPr>
          <w:rFonts w:ascii="Tahoma" w:hAnsi="Tahoma"/>
          <w:spacing w:val="-2"/>
          <w:sz w:val="18"/>
        </w:rPr>
        <w:t>ih</w:t>
      </w:r>
      <w:r w:rsidR="00581F5B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istovremeno upotrebljavati kao alat za praćenje i evaluaciju radi poboljšanja kvalitete </w:t>
      </w:r>
      <w:r w:rsidR="003F6FBF">
        <w:rPr>
          <w:rFonts w:ascii="Tahoma" w:hAnsi="Tahoma"/>
          <w:spacing w:val="-2"/>
          <w:sz w:val="18"/>
        </w:rPr>
        <w:t xml:space="preserve">skrbi za </w:t>
      </w:r>
      <w:r w:rsidR="00581F5B" w:rsidRPr="004109A2">
        <w:rPr>
          <w:rFonts w:ascii="Tahoma" w:hAnsi="Tahoma"/>
          <w:spacing w:val="-2"/>
          <w:sz w:val="18"/>
        </w:rPr>
        <w:t>bolesni</w:t>
      </w:r>
      <w:r w:rsidR="00581F5B">
        <w:rPr>
          <w:rFonts w:ascii="Tahoma" w:hAnsi="Tahoma"/>
          <w:spacing w:val="-2"/>
          <w:sz w:val="18"/>
        </w:rPr>
        <w:t>k</w:t>
      </w:r>
      <w:r w:rsidR="003F6FBF">
        <w:rPr>
          <w:rFonts w:ascii="Tahoma" w:hAnsi="Tahoma"/>
          <w:spacing w:val="-2"/>
          <w:sz w:val="18"/>
        </w:rPr>
        <w:t>e</w:t>
      </w:r>
      <w:r w:rsidRPr="004109A2">
        <w:rPr>
          <w:rFonts w:ascii="Tahoma" w:hAnsi="Tahoma"/>
          <w:spacing w:val="-2"/>
          <w:sz w:val="18"/>
        </w:rPr>
        <w:t>.</w:t>
      </w:r>
      <w:r w:rsidRPr="004109A2">
        <w:rPr>
          <w:rFonts w:ascii="Tahoma" w:hAnsi="Tahoma"/>
          <w:b/>
          <w:spacing w:val="-2"/>
          <w:sz w:val="18"/>
        </w:rPr>
        <w:t xml:space="preserve"> </w:t>
      </w:r>
      <w:r w:rsidR="00581F5B">
        <w:rPr>
          <w:rFonts w:ascii="Tahoma" w:hAnsi="Tahoma"/>
          <w:spacing w:val="-2"/>
          <w:sz w:val="18"/>
        </w:rPr>
        <w:t>T</w:t>
      </w:r>
      <w:r w:rsidR="00581F5B" w:rsidRPr="004109A2">
        <w:rPr>
          <w:rFonts w:ascii="Tahoma" w:hAnsi="Tahoma"/>
          <w:spacing w:val="-2"/>
          <w:sz w:val="18"/>
        </w:rPr>
        <w:t>akođer</w:t>
      </w:r>
      <w:r w:rsidR="00581F5B">
        <w:rPr>
          <w:rFonts w:ascii="Tahoma" w:hAnsi="Tahoma"/>
          <w:spacing w:val="-2"/>
          <w:sz w:val="18"/>
        </w:rPr>
        <w:t>, z</w:t>
      </w:r>
      <w:r w:rsidRPr="004109A2">
        <w:rPr>
          <w:rFonts w:ascii="Tahoma" w:hAnsi="Tahoma"/>
          <w:spacing w:val="-2"/>
          <w:sz w:val="18"/>
        </w:rPr>
        <w:t xml:space="preserve">avod za javno zdravstvo trebao </w:t>
      </w:r>
      <w:r w:rsidR="0022344C" w:rsidRPr="004109A2">
        <w:rPr>
          <w:rFonts w:ascii="Tahoma" w:hAnsi="Tahoma"/>
          <w:spacing w:val="-2"/>
          <w:sz w:val="18"/>
        </w:rPr>
        <w:t xml:space="preserve">bi </w:t>
      </w:r>
      <w:r w:rsidRPr="004109A2">
        <w:rPr>
          <w:rFonts w:ascii="Tahoma" w:hAnsi="Tahoma"/>
          <w:spacing w:val="-2"/>
          <w:sz w:val="18"/>
        </w:rPr>
        <w:t xml:space="preserve">pružateljima zdravstvene skrbi redovito davati povratne informacije o ishodima liječenja kako bi se omogućila usklađena </w:t>
      </w:r>
      <w:r w:rsidR="0045145C">
        <w:rPr>
          <w:rFonts w:ascii="Tahoma" w:hAnsi="Tahoma"/>
          <w:spacing w:val="-2"/>
          <w:sz w:val="18"/>
        </w:rPr>
        <w:t>evaluacija</w:t>
      </w:r>
      <w:r w:rsidR="0045145C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ishoda. Informacije o krajnjim ishodima bolesnika trebale bi biti dostupne kliničkoj jedinici u kojoj je liječenje započelo, čak i u slučajevima kada je bolesnik premješten. </w:t>
      </w:r>
      <w:r w:rsidR="00520E55" w:rsidRPr="004109A2">
        <w:rPr>
          <w:rFonts w:ascii="Tahoma" w:hAnsi="Tahoma"/>
          <w:spacing w:val="-2"/>
          <w:sz w:val="18"/>
        </w:rPr>
        <w:t>Zdravstven</w:t>
      </w:r>
      <w:r w:rsidR="00520E55">
        <w:rPr>
          <w:rFonts w:ascii="Tahoma" w:hAnsi="Tahoma"/>
          <w:spacing w:val="-2"/>
          <w:sz w:val="18"/>
        </w:rPr>
        <w:t>im djelatnicima</w:t>
      </w:r>
      <w:r w:rsidR="00520E55" w:rsidRPr="004109A2">
        <w:rPr>
          <w:rFonts w:ascii="Tahoma" w:hAnsi="Tahoma"/>
          <w:spacing w:val="-2"/>
          <w:sz w:val="18"/>
        </w:rPr>
        <w:t xml:space="preserve"> </w:t>
      </w:r>
      <w:r w:rsidR="00520E55">
        <w:rPr>
          <w:rFonts w:ascii="Tahoma" w:hAnsi="Tahoma"/>
          <w:spacing w:val="-2"/>
          <w:sz w:val="18"/>
        </w:rPr>
        <w:t>koji imaju zakonsku obavezu</w:t>
      </w:r>
      <w:r w:rsidRPr="004109A2">
        <w:rPr>
          <w:rFonts w:ascii="Tahoma" w:hAnsi="Tahoma"/>
          <w:spacing w:val="-2"/>
          <w:sz w:val="18"/>
        </w:rPr>
        <w:t xml:space="preserve"> </w:t>
      </w:r>
      <w:r w:rsidR="00520E55">
        <w:rPr>
          <w:rFonts w:ascii="Tahoma" w:hAnsi="Tahoma"/>
          <w:spacing w:val="-2"/>
          <w:sz w:val="18"/>
        </w:rPr>
        <w:t>dostavljanja</w:t>
      </w:r>
      <w:r w:rsidR="00520E55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ishoda liječenja </w:t>
      </w:r>
      <w:r w:rsidR="00BF746C" w:rsidRPr="004109A2">
        <w:rPr>
          <w:rFonts w:ascii="Tahoma" w:hAnsi="Tahoma"/>
          <w:spacing w:val="-2"/>
          <w:sz w:val="18"/>
        </w:rPr>
        <w:t>nadležnim</w:t>
      </w:r>
      <w:r w:rsidR="00BF746C">
        <w:rPr>
          <w:rFonts w:ascii="Tahoma" w:hAnsi="Tahoma"/>
          <w:spacing w:val="-2"/>
          <w:sz w:val="18"/>
        </w:rPr>
        <w:t xml:space="preserve"> javnozdravstvenim</w:t>
      </w:r>
      <w:r w:rsidR="00BF746C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tijelima i </w:t>
      </w:r>
      <w:r w:rsidR="00520E55">
        <w:rPr>
          <w:rFonts w:ascii="Tahoma" w:hAnsi="Tahoma"/>
          <w:spacing w:val="-2"/>
          <w:sz w:val="18"/>
        </w:rPr>
        <w:t>provođenja</w:t>
      </w:r>
      <w:r w:rsidR="00520E55" w:rsidRPr="004109A2">
        <w:rPr>
          <w:rFonts w:ascii="Tahoma" w:hAnsi="Tahoma"/>
          <w:spacing w:val="-2"/>
          <w:sz w:val="18"/>
        </w:rPr>
        <w:t xml:space="preserve"> </w:t>
      </w:r>
      <w:r w:rsidRPr="004109A2">
        <w:rPr>
          <w:rFonts w:ascii="Tahoma" w:hAnsi="Tahoma"/>
          <w:spacing w:val="-2"/>
          <w:sz w:val="18"/>
        </w:rPr>
        <w:t xml:space="preserve">tromjesečne </w:t>
      </w:r>
      <w:r w:rsidR="00520E55">
        <w:rPr>
          <w:rFonts w:ascii="Tahoma" w:hAnsi="Tahoma"/>
          <w:spacing w:val="-2"/>
          <w:sz w:val="18"/>
        </w:rPr>
        <w:t xml:space="preserve">evaluacije svojih </w:t>
      </w:r>
      <w:r w:rsidR="00EF22AA">
        <w:rPr>
          <w:rFonts w:ascii="Tahoma" w:hAnsi="Tahoma"/>
          <w:spacing w:val="-2"/>
          <w:sz w:val="18"/>
        </w:rPr>
        <w:t xml:space="preserve">tuberkuloznih </w:t>
      </w:r>
      <w:r w:rsidR="00520E55">
        <w:rPr>
          <w:rFonts w:ascii="Tahoma" w:hAnsi="Tahoma"/>
          <w:spacing w:val="-2"/>
          <w:sz w:val="18"/>
        </w:rPr>
        <w:t>pacijenata potrebno je osigurati</w:t>
      </w:r>
      <w:r w:rsidRPr="004109A2">
        <w:rPr>
          <w:rFonts w:ascii="Tahoma" w:hAnsi="Tahoma"/>
          <w:spacing w:val="-2"/>
          <w:sz w:val="18"/>
        </w:rPr>
        <w:t xml:space="preserve"> odgovarajuć</w:t>
      </w:r>
      <w:r w:rsidR="00520E55">
        <w:rPr>
          <w:rFonts w:ascii="Tahoma" w:hAnsi="Tahoma"/>
          <w:spacing w:val="-2"/>
          <w:sz w:val="18"/>
        </w:rPr>
        <w:t xml:space="preserve">u edukaciju i </w:t>
      </w:r>
      <w:r w:rsidRPr="004109A2">
        <w:rPr>
          <w:rFonts w:ascii="Tahoma" w:hAnsi="Tahoma"/>
          <w:spacing w:val="-2"/>
          <w:sz w:val="18"/>
        </w:rPr>
        <w:t>osposobljavanje. To načelo primjenjivo je i na tuberkuloz</w:t>
      </w:r>
      <w:r w:rsidR="00EF22AA">
        <w:rPr>
          <w:rFonts w:ascii="Tahoma" w:hAnsi="Tahoma"/>
          <w:spacing w:val="-2"/>
          <w:sz w:val="18"/>
        </w:rPr>
        <w:t>n</w:t>
      </w:r>
      <w:r w:rsidRPr="004109A2">
        <w:rPr>
          <w:rFonts w:ascii="Tahoma" w:hAnsi="Tahoma"/>
          <w:spacing w:val="-2"/>
          <w:sz w:val="18"/>
        </w:rPr>
        <w:t>e</w:t>
      </w:r>
      <w:r w:rsidR="00EF22AA">
        <w:rPr>
          <w:rFonts w:ascii="Tahoma" w:hAnsi="Tahoma"/>
          <w:spacing w:val="-2"/>
          <w:sz w:val="18"/>
        </w:rPr>
        <w:t xml:space="preserve"> bolesnike</w:t>
      </w:r>
      <w:r w:rsidRPr="004109A2">
        <w:rPr>
          <w:rFonts w:ascii="Tahoma" w:hAnsi="Tahoma"/>
          <w:spacing w:val="-2"/>
          <w:sz w:val="18"/>
        </w:rPr>
        <w:t xml:space="preserve"> koji prelaze granice EU-a (54 – 57).</w:t>
      </w:r>
    </w:p>
    <w:p w14:paraId="5F02E4B7" w14:textId="77777777" w:rsidR="00CC0F38" w:rsidRPr="004109A2" w:rsidRDefault="0052485E" w:rsidP="00023F18">
      <w:pPr>
        <w:pStyle w:val="EC-Title-5"/>
        <w:pageBreakBefore/>
        <w:spacing w:before="120"/>
      </w:pPr>
      <w:r w:rsidRPr="004109A2">
        <w:t>Literatura</w:t>
      </w:r>
    </w:p>
    <w:p w14:paraId="0D0D3419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1.</w:t>
      </w:r>
      <w:r w:rsidRPr="004109A2">
        <w:tab/>
      </w:r>
      <w:r w:rsidRPr="004109A2">
        <w:rPr>
          <w:rFonts w:ascii="Tahoma" w:hAnsi="Tahoma"/>
          <w:sz w:val="16"/>
        </w:rPr>
        <w:t>Schoch OD, Rieder P, Tueller C, Altpeter E, Zellweger JP, Rieder HL, et al. Diagnostic yield of sputum, induced sputum, and bronchoscopy after radiologic tuberculosis screening. Am J Respir Crit Care Med. 2007;175(1):80-86.</w:t>
      </w:r>
    </w:p>
    <w:p w14:paraId="4E9460F9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2.</w:t>
      </w:r>
      <w:r w:rsidRPr="004109A2">
        <w:tab/>
      </w:r>
      <w:r w:rsidRPr="004109A2">
        <w:rPr>
          <w:rFonts w:ascii="Tahoma" w:hAnsi="Tahoma"/>
          <w:sz w:val="16"/>
        </w:rPr>
        <w:t>TB CARE I. International Standards for Tuberculosis Care. 3rd ed. The Hague: TB CARE; 2014.</w:t>
      </w:r>
    </w:p>
    <w:p w14:paraId="2D590BA5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3.</w:t>
      </w:r>
      <w:r w:rsidRPr="004109A2">
        <w:tab/>
      </w:r>
      <w:r w:rsidRPr="004109A2">
        <w:rPr>
          <w:rFonts w:ascii="Tahoma" w:hAnsi="Tahoma"/>
          <w:sz w:val="16"/>
        </w:rPr>
        <w:t>Lewinsohn DM, Leonard MK, LoBue PA, Cohn DL, Daley CL, Desmond E, et al. Official American Thoracic Society/Infectious Diseases Society of America/Centers for Disease Control and Prevention Clinical Practice Guidelines: Diagnosis of Tuberculosis in Adults and Children. Clin Infect Dis. 2017;64(2):e1-e33.</w:t>
      </w:r>
    </w:p>
    <w:p w14:paraId="4C2094F4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4.</w:t>
      </w:r>
      <w:r w:rsidRPr="004109A2">
        <w:tab/>
      </w:r>
      <w:r w:rsidRPr="004109A2">
        <w:rPr>
          <w:rFonts w:ascii="Tahoma" w:hAnsi="Tahoma"/>
          <w:sz w:val="16"/>
        </w:rPr>
        <w:t>European Centre for Disease Prevention and Control. Use of interferon-gamma release assays in support of TB diagnosis. Stockholm: ECDC; 2011.</w:t>
      </w:r>
    </w:p>
    <w:p w14:paraId="18FF3095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5.</w:t>
      </w:r>
      <w:r w:rsidRPr="004109A2">
        <w:tab/>
      </w:r>
      <w:r w:rsidRPr="004109A2">
        <w:rPr>
          <w:rFonts w:ascii="Tahoma" w:hAnsi="Tahoma"/>
          <w:sz w:val="16"/>
        </w:rPr>
        <w:t>World Health Organization. Compendium of WHO guidelines and associated standards: ensuring optimum delivery of the cascade of care for patients with tuberculosis. Geneva: World Health Organization; 2017.</w:t>
      </w:r>
    </w:p>
    <w:p w14:paraId="10F772BD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6.</w:t>
      </w:r>
      <w:r w:rsidRPr="004109A2">
        <w:tab/>
      </w:r>
      <w:r w:rsidRPr="004109A2">
        <w:rPr>
          <w:rFonts w:ascii="Tahoma" w:hAnsi="Tahoma"/>
          <w:sz w:val="16"/>
        </w:rPr>
        <w:t>Drobniewski FA, Hoffner S, Rusch-Gerdes S, Skenders G, Thomsen V. Recommended standards for modern tuberculosis laboratory services in Europe. Eur Respir J. 2006;28(5):903-909.</w:t>
      </w:r>
    </w:p>
    <w:p w14:paraId="7FF96F62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7.</w:t>
      </w:r>
      <w:r w:rsidRPr="004109A2">
        <w:tab/>
      </w:r>
      <w:r w:rsidRPr="004109A2">
        <w:rPr>
          <w:rFonts w:ascii="Tahoma" w:hAnsi="Tahoma"/>
          <w:sz w:val="16"/>
        </w:rPr>
        <w:t>World Health Organization Regional Office for Europe. Algorithm for laboratory diagnosis and treatment-monitoring of pulmonary tuberculosis and drug-resistant tuberculosis using state-of-the-art rapid molecular diagnostic technologies. Expert opinion of the European Tuberculosis Laboratory Initiative core group members for the WHO European Region. Copenhagen: WHO Regional Office for Europe; 2017.</w:t>
      </w:r>
    </w:p>
    <w:p w14:paraId="1F3301AF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8.</w:t>
      </w:r>
      <w:r w:rsidRPr="004109A2">
        <w:tab/>
      </w:r>
      <w:r w:rsidRPr="004109A2">
        <w:rPr>
          <w:rFonts w:ascii="Tahoma" w:hAnsi="Tahoma"/>
          <w:sz w:val="16"/>
        </w:rPr>
        <w:t>European Centre for Disease Prevention and Control. Handbook on TB laboratory diagnostic methods for the European Union. Stockholm: ECDC; 2016.</w:t>
      </w:r>
    </w:p>
    <w:p w14:paraId="02D44C74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9.</w:t>
      </w:r>
      <w:r w:rsidRPr="004109A2">
        <w:tab/>
      </w:r>
      <w:r w:rsidRPr="004109A2">
        <w:rPr>
          <w:rFonts w:ascii="Tahoma" w:hAnsi="Tahoma"/>
          <w:sz w:val="16"/>
        </w:rPr>
        <w:t>Sotgiu G, Tiberi S, D'Ambrosio L, Centis R, Zumla A, Migliori GB. WHO recommendations on shorter treatment of multidrug-resistant tuberculosis. Lancet. 2016;387(10037):2486-2487.</w:t>
      </w:r>
    </w:p>
    <w:p w14:paraId="2585A242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10.</w:t>
      </w:r>
      <w:r w:rsidRPr="004109A2">
        <w:tab/>
      </w:r>
      <w:r w:rsidRPr="004109A2">
        <w:rPr>
          <w:rFonts w:ascii="Tahoma" w:hAnsi="Tahoma"/>
          <w:sz w:val="16"/>
        </w:rPr>
        <w:t>Diel R, Goletti D, Ferrara G, Bothamley G, Cirillo D, Kampmann B, et al. Interferon-gamma release assays for the diagnosis of latent Mycobacterium tuberculosis infection: a systematic review and meta-analysis. Eur Respir J. 2011;37(1):88-99.</w:t>
      </w:r>
    </w:p>
    <w:p w14:paraId="12AE8696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11.</w:t>
      </w:r>
      <w:r w:rsidRPr="004109A2">
        <w:tab/>
      </w:r>
      <w:r w:rsidRPr="004109A2">
        <w:rPr>
          <w:rFonts w:ascii="Tahoma" w:hAnsi="Tahoma"/>
          <w:sz w:val="16"/>
        </w:rPr>
        <w:t>Sester M, Sotgiu G, Lange C, Giehl C, Girardi E, Migliori GB, et al. Interferon-gamma release assays for the diagnosis of active tuberculosis: a systematic review and meta-analysis. Eur Respir J. 2011;37(1):100-111.</w:t>
      </w:r>
    </w:p>
    <w:p w14:paraId="4C6DF358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12.</w:t>
      </w:r>
      <w:r w:rsidRPr="004109A2">
        <w:tab/>
      </w:r>
      <w:r w:rsidRPr="004109A2">
        <w:rPr>
          <w:rFonts w:ascii="Tahoma" w:hAnsi="Tahoma"/>
          <w:sz w:val="16"/>
        </w:rPr>
        <w:t>Petruccioli E, Scriba TJ, Petrone L, Hatherill M, Cirillo DM, Joosten SA, et al. Correlates of tuberculosis risk: predictive biomarkers for progression to active tuberculosis. Eur Respir J. 2016;48(6):1751-1763.</w:t>
      </w:r>
    </w:p>
    <w:p w14:paraId="311D626B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13.</w:t>
      </w:r>
      <w:r w:rsidRPr="004109A2">
        <w:tab/>
      </w:r>
      <w:r w:rsidRPr="004109A2">
        <w:rPr>
          <w:rFonts w:ascii="Tahoma" w:hAnsi="Tahoma"/>
          <w:sz w:val="16"/>
        </w:rPr>
        <w:t>Goletti D, Petruccioli E, Joosten SA, Ottenhoff TH. Tuberculosis Biomarkers: From Diagnosis to Protection. Infectious disease reports. 2016;8(2):6568.</w:t>
      </w:r>
    </w:p>
    <w:p w14:paraId="4F55687B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14.</w:t>
      </w:r>
      <w:r w:rsidRPr="004109A2">
        <w:tab/>
      </w:r>
      <w:r w:rsidRPr="004109A2">
        <w:rPr>
          <w:rFonts w:ascii="Tahoma" w:hAnsi="Tahoma"/>
          <w:sz w:val="16"/>
        </w:rPr>
        <w:t>Seddon JA, Furin JJ, Gale M, Del Castillo Barrientos H, Hurtado RM, Amanullah F, et al. Caring for children with drug-resistant tuberculosis: practice-based recommendations. Am J Respir Crit Care Med. 2012;186(10):953-964.</w:t>
      </w:r>
    </w:p>
    <w:p w14:paraId="1A9606B6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15.</w:t>
      </w:r>
      <w:r w:rsidRPr="004109A2">
        <w:tab/>
      </w:r>
      <w:r w:rsidRPr="004109A2">
        <w:rPr>
          <w:rFonts w:ascii="Tahoma" w:hAnsi="Tahoma"/>
          <w:sz w:val="16"/>
        </w:rPr>
        <w:t>World Health Organization. Guidance for national tuberculosis programmes on the management of tuberculosis in children. Second ed. Geneva: World Health Organization; 2014.</w:t>
      </w:r>
    </w:p>
    <w:p w14:paraId="088C274C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16.</w:t>
      </w:r>
      <w:r w:rsidRPr="004109A2">
        <w:tab/>
      </w:r>
      <w:r w:rsidRPr="004109A2">
        <w:rPr>
          <w:rFonts w:ascii="Tahoma" w:hAnsi="Tahoma"/>
          <w:sz w:val="16"/>
        </w:rPr>
        <w:t>World Health Organization. Report of a WHO consultation on strengthening the active engagement of civil society organizations in the global TB prevention, care and control efforts. Geneva: World Health Organization; 2010. Report No.: WHO/HTM/TB/2010.15.</w:t>
      </w:r>
    </w:p>
    <w:p w14:paraId="03CC4469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17.</w:t>
      </w:r>
      <w:r w:rsidRPr="004109A2">
        <w:tab/>
      </w:r>
      <w:r w:rsidRPr="004109A2">
        <w:rPr>
          <w:rFonts w:ascii="Tahoma" w:hAnsi="Tahoma"/>
          <w:sz w:val="16"/>
        </w:rPr>
        <w:t>Patients’ Charter for Tuberculosis Care: World Care Council; 2006.</w:t>
      </w:r>
    </w:p>
    <w:p w14:paraId="4E6933A8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18.</w:t>
      </w:r>
      <w:r w:rsidRPr="004109A2">
        <w:tab/>
      </w:r>
      <w:r w:rsidRPr="004109A2">
        <w:rPr>
          <w:rFonts w:ascii="Tahoma" w:hAnsi="Tahoma"/>
          <w:sz w:val="16"/>
        </w:rPr>
        <w:t>World Health Organization. Definitions and reporting framework for tuberculosis – 2013 revision. Geneva: Word Health Organization; 2013.</w:t>
      </w:r>
    </w:p>
    <w:p w14:paraId="34EF80C2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19.</w:t>
      </w:r>
      <w:r w:rsidRPr="004109A2">
        <w:tab/>
      </w:r>
      <w:r w:rsidRPr="004109A2">
        <w:rPr>
          <w:rFonts w:ascii="Tahoma" w:hAnsi="Tahoma"/>
          <w:sz w:val="16"/>
        </w:rPr>
        <w:t>Nahid P, Dorman SE, Alipanah N, Barry PM, Brozek JL, Cattamanchi A, et al. Official American Thoracic Society/Centers for Disease Control and Prevention/Infectious Diseases Society of America Clinical Practice Guidelines: Treatment of Drug-Susceptible Tuberculosis. Clin Infect Dis. 2016;63(7):e147-e195.</w:t>
      </w:r>
    </w:p>
    <w:p w14:paraId="632B6C50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20.</w:t>
      </w:r>
      <w:r w:rsidRPr="004109A2">
        <w:tab/>
      </w:r>
      <w:r w:rsidRPr="004109A2">
        <w:rPr>
          <w:rFonts w:ascii="Tahoma" w:hAnsi="Tahoma"/>
          <w:sz w:val="16"/>
        </w:rPr>
        <w:t>Sotgiu G, Nahid P, Loddenkemper R, Abubakar I, Miravitlles M, Migliori GB. The ERS-endorsed official ATS/CDC/IDSA clinical practice guidelines on treatment of drug-susceptible tuberculosis. Eur Respir J. 2016;48(4):963-971.</w:t>
      </w:r>
    </w:p>
    <w:p w14:paraId="13E7311A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21.</w:t>
      </w:r>
      <w:r w:rsidRPr="004109A2">
        <w:tab/>
      </w:r>
      <w:r w:rsidRPr="004109A2">
        <w:rPr>
          <w:rFonts w:ascii="Tahoma" w:hAnsi="Tahoma"/>
          <w:sz w:val="16"/>
        </w:rPr>
        <w:t>Falzon D, Jaramillo E, Schunemann HJ, Arentz M, Bauer M, Bayona J, et al. WHO guidelines for the programmatic management of drug-resistant tuberculosis: 2011 update. Eur Respir J. 2011;38(3):516-528.</w:t>
      </w:r>
    </w:p>
    <w:p w14:paraId="27536579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22.</w:t>
      </w:r>
      <w:r w:rsidRPr="004109A2">
        <w:tab/>
      </w:r>
      <w:r w:rsidRPr="004109A2">
        <w:rPr>
          <w:rFonts w:ascii="Tahoma" w:hAnsi="Tahoma"/>
          <w:sz w:val="16"/>
        </w:rPr>
        <w:t>Mitnick CD, White RA, Lu C, Rodriguez CA, Bayona J, Becerra MC, et al. on behalf of the Collaborative Group for Analysis of Bacteriology Data in MDRTBT. Multidrug-resistant tuberculosis treatment failure detection depends on monitoring interval and microbiological method. Eur Respir J. 2016;48(4):1160-1170.</w:t>
      </w:r>
    </w:p>
    <w:p w14:paraId="4568A12F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23.</w:t>
      </w:r>
      <w:r w:rsidRPr="004109A2">
        <w:tab/>
      </w:r>
      <w:r w:rsidRPr="004109A2">
        <w:rPr>
          <w:rFonts w:ascii="Tahoma" w:hAnsi="Tahoma"/>
          <w:sz w:val="16"/>
        </w:rPr>
        <w:t>World Health Organization. WHO treatment guidelines for drug-resistant tuberculosis: 2016 update. Geneva: World Health Organization; 2016.</w:t>
      </w:r>
    </w:p>
    <w:p w14:paraId="59FC53D3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24.</w:t>
      </w:r>
      <w:r w:rsidRPr="004109A2">
        <w:tab/>
      </w:r>
      <w:r w:rsidRPr="004109A2">
        <w:rPr>
          <w:rFonts w:ascii="Tahoma" w:hAnsi="Tahoma"/>
          <w:sz w:val="16"/>
        </w:rPr>
        <w:t>World Health Organization. Guidelines for treatment of drug-susceptible tuberculosis and patient care, 2017 update. Geneva: World Health Organization; 2017.</w:t>
      </w:r>
    </w:p>
    <w:p w14:paraId="4028B7FE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25.</w:t>
      </w:r>
      <w:r w:rsidRPr="004109A2">
        <w:tab/>
      </w:r>
      <w:r w:rsidRPr="004109A2">
        <w:rPr>
          <w:rFonts w:ascii="Tahoma" w:hAnsi="Tahoma"/>
          <w:sz w:val="16"/>
        </w:rPr>
        <w:t>Falzon D, Schunemann HJ, Harausz E, Gonzalez-Angulo L, Lienhardt C, Jaramillo E, et al. World Health Organization treatment guidelines for drug-resistant tuberculosis, 2016 update. Eur Respir J. 2017;49(3).</w:t>
      </w:r>
    </w:p>
    <w:p w14:paraId="75276C27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26.</w:t>
      </w:r>
      <w:r w:rsidRPr="004109A2">
        <w:tab/>
      </w:r>
      <w:r w:rsidRPr="004109A2">
        <w:rPr>
          <w:rFonts w:ascii="Tahoma" w:hAnsi="Tahoma"/>
          <w:sz w:val="16"/>
        </w:rPr>
        <w:t>van der Werf MJ, Kodmon C, Dara M, Catchpole M. Shorter regimens for multidrug-resistant tuberculosis should also be applicable in Europe. Eur Respir J 2017;49(6).</w:t>
      </w:r>
    </w:p>
    <w:p w14:paraId="046D0F0E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27.</w:t>
      </w:r>
      <w:r w:rsidRPr="004109A2">
        <w:tab/>
      </w:r>
      <w:r w:rsidRPr="004109A2">
        <w:rPr>
          <w:rFonts w:ascii="Tahoma" w:hAnsi="Tahoma"/>
          <w:sz w:val="16"/>
        </w:rPr>
        <w:t>Caminero JA, Piubello A, Scardigli A, Migliori GB. Proposal for a standardised treatment regimen to manage pre- and extensively drug-resistant tuberculosis cases. Eur Respir J. 2017;50(1).</w:t>
      </w:r>
    </w:p>
    <w:p w14:paraId="66E73B5D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28.</w:t>
      </w:r>
      <w:r w:rsidRPr="004109A2">
        <w:tab/>
      </w:r>
      <w:r w:rsidRPr="004109A2">
        <w:rPr>
          <w:rFonts w:ascii="Tahoma" w:hAnsi="Tahoma"/>
          <w:sz w:val="16"/>
        </w:rPr>
        <w:t>Esposito S, D'Ambrosio L, Tadolini M, Schaaf HS, Caminero Luna J, Marais B, et al. ERS/WHO Tuberculosis Consilium assistance with extensively drug-resistant tuberculosis management in a child: case study of compassionate delamanid use. Eur Respir J. 2014;44(3):811-815.</w:t>
      </w:r>
    </w:p>
    <w:p w14:paraId="4FDD503A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29.</w:t>
      </w:r>
      <w:r w:rsidRPr="004109A2">
        <w:tab/>
      </w:r>
      <w:r w:rsidRPr="004109A2">
        <w:rPr>
          <w:rFonts w:ascii="Tahoma" w:hAnsi="Tahoma"/>
          <w:sz w:val="16"/>
        </w:rPr>
        <w:t>Borisov SE, Dheda K, Enwerem M, Romero Leyet R, D'Ambrosio L, Centis R, et al. Effectiveness and safety of bedaquiline-containing regimens in the treatment of MDR- and XDR-TB: a multicentre study. Eur Respir J. 2017;49(5).</w:t>
      </w:r>
    </w:p>
    <w:p w14:paraId="785B9B0E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30.</w:t>
      </w:r>
      <w:r w:rsidRPr="004109A2">
        <w:tab/>
      </w:r>
      <w:r w:rsidRPr="004109A2">
        <w:rPr>
          <w:rFonts w:ascii="Tahoma" w:hAnsi="Tahoma"/>
          <w:sz w:val="16"/>
        </w:rPr>
        <w:t>Blasi F, Dara M, van der Werf MJ, Migliori GB. Supporting TB clinicians managing difficult cases: the ERS/WHO Consilium. Eur Respir J. 2013;41(3):491-494.</w:t>
      </w:r>
    </w:p>
    <w:p w14:paraId="6D586E0E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31.</w:t>
      </w:r>
      <w:r w:rsidRPr="004109A2">
        <w:tab/>
      </w:r>
      <w:r w:rsidRPr="004109A2">
        <w:rPr>
          <w:rFonts w:ascii="Tahoma" w:hAnsi="Tahoma"/>
          <w:sz w:val="16"/>
        </w:rPr>
        <w:t>Tadolini M, Garcia-Prats AJ, D'Ambrosio L, Hewison C, Centis R, Schaaf HS, et al. Compassionate use of new drugs in children and adolescents with multidrug-resistant and extensively drug-resistant tuberculosis: early experiences and challenges. Eur Respir J. 2016;48(3):938-943.</w:t>
      </w:r>
    </w:p>
    <w:p w14:paraId="74830698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32.</w:t>
      </w:r>
      <w:r w:rsidRPr="004109A2">
        <w:tab/>
      </w:r>
      <w:r w:rsidRPr="004109A2">
        <w:rPr>
          <w:rFonts w:ascii="Tahoma" w:hAnsi="Tahoma"/>
          <w:sz w:val="16"/>
        </w:rPr>
        <w:t>Lange C, Abubakar I, Alffenaar JW, Bothamley G, Caminero JA, Carvalho AC, et al. Management of patients with multidrug-resistant/extensively drug-resistant tuberculosis in Europe: a TBNET consensus statement. Eur Respir J. 2014;44(1):23-63.</w:t>
      </w:r>
    </w:p>
    <w:p w14:paraId="61A0EAA1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33.</w:t>
      </w:r>
      <w:r w:rsidRPr="004109A2">
        <w:tab/>
      </w:r>
      <w:r w:rsidRPr="004109A2">
        <w:rPr>
          <w:rFonts w:ascii="Tahoma" w:hAnsi="Tahoma"/>
          <w:sz w:val="16"/>
        </w:rPr>
        <w:t>Caminero JA. Management of multidrug-resistant tuberculosis and patients in retreatment. Eur Respir J. 2005;25(5):928-936.</w:t>
      </w:r>
    </w:p>
    <w:p w14:paraId="7556149A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34.</w:t>
      </w:r>
      <w:r w:rsidRPr="004109A2">
        <w:tab/>
      </w:r>
      <w:r w:rsidRPr="004109A2">
        <w:rPr>
          <w:rFonts w:ascii="Tahoma" w:hAnsi="Tahoma"/>
          <w:sz w:val="16"/>
        </w:rPr>
        <w:t>World Health Organization. WHO policy on collaborative TB/HIV activities: guidelines for national programmes and other stakeholders. Geneva: World Health Organization; 2012.</w:t>
      </w:r>
    </w:p>
    <w:p w14:paraId="02614A4A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35.</w:t>
      </w:r>
      <w:r w:rsidRPr="004109A2">
        <w:tab/>
      </w:r>
      <w:r w:rsidRPr="004109A2">
        <w:rPr>
          <w:rFonts w:ascii="Tahoma" w:hAnsi="Tahoma"/>
          <w:sz w:val="16"/>
        </w:rPr>
        <w:t>European Centre for Disease Prevention and Control. Management of contacts of MDRTB and XDR TB patients. Stockholm: ECDC; 2012.</w:t>
      </w:r>
    </w:p>
    <w:p w14:paraId="696BB38D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36.</w:t>
      </w:r>
      <w:r w:rsidRPr="004109A2">
        <w:tab/>
      </w:r>
      <w:r w:rsidRPr="004109A2">
        <w:rPr>
          <w:rFonts w:ascii="Tahoma" w:hAnsi="Tahoma"/>
          <w:sz w:val="16"/>
        </w:rPr>
        <w:t>World Health Organization. Guidelines on the management of latent tuberculosis infection. 2015.</w:t>
      </w:r>
    </w:p>
    <w:p w14:paraId="63D40AAE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37.</w:t>
      </w:r>
      <w:r w:rsidRPr="004109A2">
        <w:tab/>
      </w:r>
      <w:r w:rsidRPr="004109A2">
        <w:rPr>
          <w:rFonts w:ascii="Tahoma" w:hAnsi="Tahoma"/>
          <w:sz w:val="16"/>
        </w:rPr>
        <w:t>Zenner D, Beer N, Harris RJ, Lipman MC, Stagg HR, van der Werf MJ. Treatment of Latent Tuberculosis Infection: An Updated Network Meta-analysis. Ann Intern Med. 2017;167(4):248-255.</w:t>
      </w:r>
    </w:p>
    <w:p w14:paraId="58AA999D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38.</w:t>
      </w:r>
      <w:r w:rsidRPr="004109A2">
        <w:tab/>
      </w:r>
      <w:r w:rsidRPr="004109A2">
        <w:rPr>
          <w:rFonts w:ascii="Tahoma" w:hAnsi="Tahoma"/>
          <w:sz w:val="16"/>
        </w:rPr>
        <w:t>Getahun H, Matteelli A, Abubakar I, Aziz MA, Baddeley A, Barreira D, et al. Management of latent Mycobacterium tuberculosis infection: WHO guidelines for low tuberculosis burden countries. Eur Respir J. 2015;46(6):1563-1576.</w:t>
      </w:r>
    </w:p>
    <w:p w14:paraId="23D40529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39.</w:t>
      </w:r>
      <w:r w:rsidRPr="004109A2">
        <w:tab/>
      </w:r>
      <w:r w:rsidRPr="004109A2">
        <w:rPr>
          <w:rFonts w:ascii="Tahoma" w:hAnsi="Tahoma"/>
          <w:sz w:val="16"/>
        </w:rPr>
        <w:t>Creswell J, Raviglione M, Ottmani S, Migliori GB, Uplekar M, Blanc L, et al. Tuberculosis and noncommunicable diseases: neglected links and missed opportunities. Eur Respir J. 2011;37(5):1269-1282.</w:t>
      </w:r>
    </w:p>
    <w:p w14:paraId="17D6C9AB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40.</w:t>
      </w:r>
      <w:r w:rsidRPr="004109A2">
        <w:tab/>
      </w:r>
      <w:r w:rsidRPr="004109A2">
        <w:rPr>
          <w:rFonts w:ascii="Tahoma" w:hAnsi="Tahoma"/>
          <w:sz w:val="16"/>
        </w:rPr>
        <w:t>Erkens CG, Kamphorst M, Abubakar I, Bothamley GH, Chemtob D, Haas W, et al. Tuberculosis contact investigation in low prevalence countries: a European consensus. Eur Respir J. 2010;36(4):925-949.</w:t>
      </w:r>
    </w:p>
    <w:p w14:paraId="26035B72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41.</w:t>
      </w:r>
      <w:r w:rsidRPr="004109A2">
        <w:tab/>
      </w:r>
      <w:r w:rsidRPr="004109A2">
        <w:rPr>
          <w:rFonts w:ascii="Tahoma" w:hAnsi="Tahoma"/>
          <w:sz w:val="16"/>
        </w:rPr>
        <w:t>Luzzati R, Migliori G, Zignol M, Cirillo D, Maschi M, Tominz R, et al. Children under 5 years are at risk for tuberculosis after occasional contact with highly contagious patients: an out-patient outbreak from a smear positive health care worker. Eur Respir J. 2017;In press.</w:t>
      </w:r>
    </w:p>
    <w:p w14:paraId="69D7F256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42.</w:t>
      </w:r>
      <w:r w:rsidRPr="004109A2">
        <w:tab/>
      </w:r>
      <w:r w:rsidRPr="004109A2">
        <w:rPr>
          <w:rFonts w:ascii="Tahoma" w:hAnsi="Tahoma"/>
          <w:sz w:val="16"/>
        </w:rPr>
        <w:t>European Centre for Disease Prevention and Control. Guidance on tuberculosis control in vulnerable and hard-to-reach populations. Stockholm: ECDC; 2016.</w:t>
      </w:r>
    </w:p>
    <w:p w14:paraId="1C78C9DA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43.</w:t>
      </w:r>
      <w:r w:rsidRPr="004109A2">
        <w:tab/>
      </w:r>
      <w:r w:rsidRPr="004109A2">
        <w:rPr>
          <w:rFonts w:ascii="Tahoma" w:hAnsi="Tahoma"/>
          <w:sz w:val="16"/>
        </w:rPr>
        <w:t>National Instititute for Health and Care Excellence. Tuberculosis (NG33). London: NICE; 2016.</w:t>
      </w:r>
    </w:p>
    <w:p w14:paraId="60E4664B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44.</w:t>
      </w:r>
      <w:r w:rsidRPr="004109A2">
        <w:tab/>
      </w:r>
      <w:r w:rsidRPr="004109A2">
        <w:rPr>
          <w:rFonts w:ascii="Tahoma" w:hAnsi="Tahoma"/>
          <w:sz w:val="16"/>
        </w:rPr>
        <w:t>Dara M, de Colombani P, Petrova-Benedict R, Centis R, Zellweger JP, Sandgren A, et al. Wolfheze Transborder Migration Task F. Minimum package for cross-border TB control and care in the WHO European region: a Wolfheze consensus statement. Eur Respir J. 2012;40(5):1081-1090.</w:t>
      </w:r>
    </w:p>
    <w:p w14:paraId="35352AA1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45.</w:t>
      </w:r>
      <w:r w:rsidRPr="004109A2">
        <w:tab/>
      </w:r>
      <w:r w:rsidRPr="004109A2">
        <w:rPr>
          <w:rFonts w:ascii="Tahoma" w:hAnsi="Tahoma"/>
          <w:sz w:val="16"/>
        </w:rPr>
        <w:t>Leung CC, Rieder HL, Lange C, Yew WW. Treatment of latent infection with Mycobacterium tuberculosis: update 2010. Eur Respir J. 2011;37(3):690-711.</w:t>
      </w:r>
    </w:p>
    <w:p w14:paraId="53B14518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46.</w:t>
      </w:r>
      <w:r w:rsidRPr="004109A2">
        <w:tab/>
      </w:r>
      <w:r w:rsidRPr="004109A2">
        <w:rPr>
          <w:rFonts w:ascii="Tahoma" w:hAnsi="Tahoma"/>
          <w:sz w:val="16"/>
        </w:rPr>
        <w:t>Woldehanna S, Volmink J. Treatment of latent tuberculosis infection in HIV infected persons. The Cochrane database of systematic reviews. 2004(1):Cd000171.</w:t>
      </w:r>
    </w:p>
    <w:p w14:paraId="52B4850E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47.</w:t>
      </w:r>
      <w:r w:rsidRPr="004109A2">
        <w:tab/>
      </w:r>
      <w:r w:rsidRPr="004109A2">
        <w:rPr>
          <w:rFonts w:ascii="Tahoma" w:hAnsi="Tahoma"/>
          <w:sz w:val="16"/>
        </w:rPr>
        <w:t>European Centre for Disease Prevention and Control. Investigation and control of tuberculosis incidents affecting children in congregate settings. Stockholm: ECDC; 2013.</w:t>
      </w:r>
    </w:p>
    <w:p w14:paraId="72615408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48.</w:t>
      </w:r>
      <w:r w:rsidRPr="004109A2">
        <w:tab/>
      </w:r>
      <w:r w:rsidRPr="004109A2">
        <w:rPr>
          <w:rFonts w:ascii="Tahoma" w:hAnsi="Tahoma"/>
          <w:sz w:val="16"/>
        </w:rPr>
        <w:t>Mack U, Migliori GB, Sester M, Rieder HL, Ehlers S, Goletti D, et al. Tbnet. LTBI: latent tuberculosis infection or lasting immune responses to M. tuberculosis? A TBNET consensus statement. Eur Respir J. 2009;33(5):956-973.</w:t>
      </w:r>
    </w:p>
    <w:p w14:paraId="1AE1B0F8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49.</w:t>
      </w:r>
      <w:r w:rsidRPr="004109A2">
        <w:tab/>
      </w:r>
      <w:r w:rsidRPr="004109A2">
        <w:rPr>
          <w:rFonts w:ascii="Tahoma" w:hAnsi="Tahoma"/>
          <w:sz w:val="16"/>
        </w:rPr>
        <w:t>Lange C, Rieder HL. Intention to test is intention to treat. Am J Respir Crit Care Med. 2011;183(1):3-4.</w:t>
      </w:r>
    </w:p>
    <w:p w14:paraId="5F4EC986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50.</w:t>
      </w:r>
      <w:r w:rsidRPr="004109A2">
        <w:tab/>
      </w:r>
      <w:r w:rsidRPr="004109A2">
        <w:rPr>
          <w:rFonts w:ascii="Tahoma" w:hAnsi="Tahoma"/>
          <w:sz w:val="16"/>
        </w:rPr>
        <w:t>World Health Organization. WHO policy on TB infection control in health - care facilities, congregate settings and households. Geneva: World Health Organization; 2009.</w:t>
      </w:r>
    </w:p>
    <w:p w14:paraId="6C95F2B1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51.</w:t>
      </w:r>
      <w:r w:rsidRPr="004109A2">
        <w:tab/>
      </w:r>
      <w:r w:rsidRPr="004109A2">
        <w:rPr>
          <w:rFonts w:ascii="Tahoma" w:hAnsi="Tahoma"/>
          <w:sz w:val="16"/>
        </w:rPr>
        <w:t>Sotgiu G, D'Ambrosio L, Centis R, Bothamley G, Cirillo DM, De Lorenzo S, et al. TB and M/XDR-TB infection control in European TB reference centres: the Achilles' heel? Eur Respir J. 2011;38(5):1221-1223.</w:t>
      </w:r>
    </w:p>
    <w:p w14:paraId="4F8C6869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52.</w:t>
      </w:r>
      <w:r w:rsidRPr="004109A2">
        <w:tab/>
      </w:r>
      <w:r w:rsidRPr="004109A2">
        <w:rPr>
          <w:rFonts w:ascii="Tahoma" w:hAnsi="Tahoma"/>
          <w:sz w:val="16"/>
        </w:rPr>
        <w:t>Matteelli A, Centis R, D'Ambrosio L, Sotgiu G, Tadolini M, Pontali E, et al. WHO strategies for the programmatic management of drug-resistant tuberculosis. Expert Rev Respir Med. 2016;10(9):991-1002.</w:t>
      </w:r>
    </w:p>
    <w:p w14:paraId="588E6493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53.</w:t>
      </w:r>
      <w:r w:rsidRPr="004109A2">
        <w:tab/>
      </w:r>
      <w:r w:rsidRPr="004109A2">
        <w:rPr>
          <w:rFonts w:ascii="Tahoma" w:hAnsi="Tahoma"/>
          <w:sz w:val="16"/>
        </w:rPr>
        <w:t>Laserson KF, Thorpe LE, Leimane V, Weyer K, Mitnick CD, Riekstina V, et al. Speaking the same language: treatment outcome definitions for multidrug-resistant tuberculosis. Int J Tuberc Lung Dis. 2005;9(6):640-645.</w:t>
      </w:r>
    </w:p>
    <w:p w14:paraId="69B552D6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54.</w:t>
      </w:r>
      <w:r w:rsidRPr="004109A2">
        <w:tab/>
      </w:r>
      <w:r w:rsidRPr="004109A2">
        <w:rPr>
          <w:rFonts w:ascii="Tahoma" w:hAnsi="Tahoma"/>
          <w:sz w:val="16"/>
        </w:rPr>
        <w:t>European Centre for Disease Prevention and Control, World Health Organization. Regional Office for Europe. Tuberculosis surveillance and monitoring in Europe: 2017. Stockholm: ECDC; 2017. Available from: http://dx.doi.org/10.2900/2767.</w:t>
      </w:r>
    </w:p>
    <w:p w14:paraId="6C37CA1C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55.</w:t>
      </w:r>
      <w:r w:rsidRPr="004109A2">
        <w:tab/>
      </w:r>
      <w:r w:rsidRPr="004109A2">
        <w:rPr>
          <w:rFonts w:ascii="Tahoma" w:hAnsi="Tahoma"/>
          <w:sz w:val="16"/>
        </w:rPr>
        <w:t>Mor Z, Migliori GB, Althomsons SP, Loddenkemper R, Trnka L, Iademarco MF. Comparison of tuberculosis surveillance systems in low-incidence industrialised countries. Eur Respir J. 2008;32(6):1616-1624.</w:t>
      </w:r>
    </w:p>
    <w:p w14:paraId="3351835E" w14:textId="77777777" w:rsidR="00DA3A70" w:rsidRPr="004109A2" w:rsidRDefault="0052485E" w:rsidP="0028467E">
      <w:pPr>
        <w:pStyle w:val="EndNoteBibliography"/>
        <w:spacing w:after="0"/>
        <w:ind w:left="426" w:hanging="426"/>
        <w:jc w:val="left"/>
        <w:rPr>
          <w:rFonts w:ascii="Tahoma" w:hAnsi="Tahoma" w:cs="Tahoma"/>
          <w:sz w:val="16"/>
          <w:szCs w:val="16"/>
        </w:rPr>
      </w:pPr>
      <w:r w:rsidRPr="004109A2">
        <w:rPr>
          <w:rFonts w:ascii="Tahoma" w:hAnsi="Tahoma"/>
          <w:sz w:val="16"/>
        </w:rPr>
        <w:t>56.</w:t>
      </w:r>
      <w:r w:rsidRPr="004109A2">
        <w:tab/>
      </w:r>
      <w:r w:rsidRPr="004109A2">
        <w:rPr>
          <w:rFonts w:ascii="Tahoma" w:hAnsi="Tahoma"/>
          <w:sz w:val="16"/>
        </w:rPr>
        <w:t>Uplekar M, Atre S, Wells WA, Weil D, Lopez R, Migliori G, et al. Mandatory tuberculosis case notification in high tuberculosis-incidence countries: policy and practices. Eur Respir J. 2016(48):1571-1581.</w:t>
      </w:r>
    </w:p>
    <w:p w14:paraId="592975E7" w14:textId="77777777" w:rsidR="008B2FFB" w:rsidRPr="004109A2" w:rsidRDefault="0052485E" w:rsidP="0028467E">
      <w:pPr>
        <w:pStyle w:val="EndNoteBibliography"/>
        <w:ind w:left="426" w:hanging="426"/>
        <w:jc w:val="left"/>
      </w:pPr>
      <w:r w:rsidRPr="004109A2">
        <w:rPr>
          <w:rFonts w:ascii="Tahoma" w:hAnsi="Tahoma"/>
          <w:sz w:val="16"/>
        </w:rPr>
        <w:t>57.</w:t>
      </w:r>
      <w:r w:rsidRPr="004109A2">
        <w:tab/>
      </w:r>
      <w:r w:rsidRPr="004109A2">
        <w:rPr>
          <w:rFonts w:ascii="Tahoma" w:hAnsi="Tahoma"/>
          <w:sz w:val="16"/>
        </w:rPr>
        <w:t>Heldal E, Kuyvenhoven JV, Wares F, Migliori GB, Ditiu L, Fernandez de la Hoz K, et al. Diagnosis and treatment of tuberculosis in undocumented migrants in low- or intermediate-incidence countries. Int J Tuberc Lung Dis. 2008;12(8):878-888.</w:t>
      </w:r>
    </w:p>
    <w:sectPr w:rsidR="008B2FFB" w:rsidRPr="004109A2" w:rsidSect="000D0DB0">
      <w:footerReference w:type="default" r:id="rId10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19344" w14:textId="77777777" w:rsidR="00FA765F" w:rsidRDefault="0052485E">
      <w:pPr>
        <w:spacing w:after="0" w:line="240" w:lineRule="auto"/>
      </w:pPr>
      <w:r>
        <w:separator/>
      </w:r>
    </w:p>
  </w:endnote>
  <w:endnote w:type="continuationSeparator" w:id="0">
    <w:p w14:paraId="61E1D81E" w14:textId="77777777" w:rsidR="00FA765F" w:rsidRDefault="0052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4B5C" w14:textId="77777777" w:rsidR="00DE2656" w:rsidRPr="004109A2" w:rsidRDefault="00DE2656" w:rsidP="00847A9F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6177C869" w14:textId="03BCB3D9" w:rsidR="00DE2656" w:rsidRPr="004109A2" w:rsidRDefault="0052485E" w:rsidP="00847A9F">
    <w:pPr>
      <w:pStyle w:val="Footer"/>
      <w:spacing w:after="0" w:line="240" w:lineRule="auto"/>
      <w:jc w:val="center"/>
      <w:rPr>
        <w:rFonts w:ascii="Arial" w:hAnsi="Arial" w:cs="Arial"/>
        <w:sz w:val="20"/>
        <w:szCs w:val="20"/>
      </w:rPr>
    </w:pPr>
    <w:r w:rsidRPr="004109A2">
      <w:rPr>
        <w:rFonts w:ascii="Arial" w:hAnsi="Arial"/>
        <w:sz w:val="20"/>
      </w:rPr>
      <w:t xml:space="preserve">- </w:t>
    </w:r>
    <w:r w:rsidRPr="004109A2">
      <w:rPr>
        <w:rFonts w:ascii="Arial" w:hAnsi="Arial" w:cs="Arial"/>
        <w:sz w:val="20"/>
        <w:szCs w:val="20"/>
      </w:rPr>
      <w:fldChar w:fldCharType="begin"/>
    </w:r>
    <w:r w:rsidRPr="004109A2">
      <w:rPr>
        <w:rFonts w:ascii="Arial" w:hAnsi="Arial" w:cs="Arial"/>
        <w:sz w:val="20"/>
        <w:szCs w:val="20"/>
      </w:rPr>
      <w:instrText xml:space="preserve"> PAGE   \* MERGEFORMAT </w:instrText>
    </w:r>
    <w:r w:rsidRPr="004109A2">
      <w:rPr>
        <w:rFonts w:ascii="Arial" w:hAnsi="Arial" w:cs="Arial"/>
        <w:sz w:val="20"/>
        <w:szCs w:val="20"/>
      </w:rPr>
      <w:fldChar w:fldCharType="separate"/>
    </w:r>
    <w:r w:rsidR="00B00B12">
      <w:rPr>
        <w:rFonts w:ascii="Arial" w:hAnsi="Arial" w:cs="Arial"/>
        <w:noProof/>
        <w:sz w:val="20"/>
        <w:szCs w:val="20"/>
      </w:rPr>
      <w:t>11</w:t>
    </w:r>
    <w:r w:rsidRPr="004109A2">
      <w:rPr>
        <w:rFonts w:ascii="Arial" w:hAnsi="Arial" w:cs="Arial"/>
        <w:sz w:val="20"/>
        <w:szCs w:val="20"/>
      </w:rPr>
      <w:fldChar w:fldCharType="end"/>
    </w:r>
    <w:r w:rsidRPr="004109A2">
      <w:rPr>
        <w:rFonts w:ascii="Arial" w:hAnsi="Aria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E00A1" w14:textId="77777777" w:rsidR="00FA765F" w:rsidRDefault="0052485E">
      <w:pPr>
        <w:spacing w:after="0" w:line="240" w:lineRule="auto"/>
      </w:pPr>
      <w:r>
        <w:separator/>
      </w:r>
    </w:p>
  </w:footnote>
  <w:footnote w:type="continuationSeparator" w:id="0">
    <w:p w14:paraId="58ACBBFF" w14:textId="77777777" w:rsidR="00FA765F" w:rsidRDefault="00524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C0C0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9E6C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9EEE6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2D86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0AA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443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082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8666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407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8E4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75C6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55751"/>
    <w:multiLevelType w:val="hybridMultilevel"/>
    <w:tmpl w:val="B3A8BCD6"/>
    <w:lvl w:ilvl="0" w:tplc="46E88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36F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ECF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A2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20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6E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23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A3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22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55784F"/>
    <w:multiLevelType w:val="hybridMultilevel"/>
    <w:tmpl w:val="81F29F4C"/>
    <w:lvl w:ilvl="0" w:tplc="A342BE8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F448F8A8" w:tentative="1">
      <w:start w:val="1"/>
      <w:numFmt w:val="lowerLetter"/>
      <w:lvlText w:val="%2."/>
      <w:lvlJc w:val="left"/>
      <w:pPr>
        <w:ind w:left="1440" w:hanging="360"/>
      </w:pPr>
    </w:lvl>
    <w:lvl w:ilvl="2" w:tplc="EE1A15DC" w:tentative="1">
      <w:start w:val="1"/>
      <w:numFmt w:val="lowerRoman"/>
      <w:lvlText w:val="%3."/>
      <w:lvlJc w:val="right"/>
      <w:pPr>
        <w:ind w:left="2160" w:hanging="180"/>
      </w:pPr>
    </w:lvl>
    <w:lvl w:ilvl="3" w:tplc="ECE8283E" w:tentative="1">
      <w:start w:val="1"/>
      <w:numFmt w:val="decimal"/>
      <w:lvlText w:val="%4."/>
      <w:lvlJc w:val="left"/>
      <w:pPr>
        <w:ind w:left="2880" w:hanging="360"/>
      </w:pPr>
    </w:lvl>
    <w:lvl w:ilvl="4" w:tplc="382440F4" w:tentative="1">
      <w:start w:val="1"/>
      <w:numFmt w:val="lowerLetter"/>
      <w:lvlText w:val="%5."/>
      <w:lvlJc w:val="left"/>
      <w:pPr>
        <w:ind w:left="3600" w:hanging="360"/>
      </w:pPr>
    </w:lvl>
    <w:lvl w:ilvl="5" w:tplc="2258D9A6" w:tentative="1">
      <w:start w:val="1"/>
      <w:numFmt w:val="lowerRoman"/>
      <w:lvlText w:val="%6."/>
      <w:lvlJc w:val="right"/>
      <w:pPr>
        <w:ind w:left="4320" w:hanging="180"/>
      </w:pPr>
    </w:lvl>
    <w:lvl w:ilvl="6" w:tplc="7904091C" w:tentative="1">
      <w:start w:val="1"/>
      <w:numFmt w:val="decimal"/>
      <w:lvlText w:val="%7."/>
      <w:lvlJc w:val="left"/>
      <w:pPr>
        <w:ind w:left="5040" w:hanging="360"/>
      </w:pPr>
    </w:lvl>
    <w:lvl w:ilvl="7" w:tplc="BB100CD8" w:tentative="1">
      <w:start w:val="1"/>
      <w:numFmt w:val="lowerLetter"/>
      <w:lvlText w:val="%8."/>
      <w:lvlJc w:val="left"/>
      <w:pPr>
        <w:ind w:left="5760" w:hanging="360"/>
      </w:pPr>
    </w:lvl>
    <w:lvl w:ilvl="8" w:tplc="382A1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5302E4"/>
    <w:multiLevelType w:val="hybridMultilevel"/>
    <w:tmpl w:val="40FA02FC"/>
    <w:lvl w:ilvl="0" w:tplc="21F04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E8AD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67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8B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86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BC2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6F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2C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DAD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6A1D1C"/>
    <w:multiLevelType w:val="hybridMultilevel"/>
    <w:tmpl w:val="D9367CA4"/>
    <w:lvl w:ilvl="0" w:tplc="7C4ABD3A">
      <w:start w:val="1"/>
      <w:numFmt w:val="decimal"/>
      <w:lvlText w:val="%1."/>
      <w:lvlJc w:val="left"/>
      <w:pPr>
        <w:ind w:left="720" w:hanging="360"/>
      </w:pPr>
    </w:lvl>
    <w:lvl w:ilvl="1" w:tplc="E8744A2E" w:tentative="1">
      <w:start w:val="1"/>
      <w:numFmt w:val="lowerLetter"/>
      <w:lvlText w:val="%2."/>
      <w:lvlJc w:val="left"/>
      <w:pPr>
        <w:ind w:left="1440" w:hanging="360"/>
      </w:pPr>
    </w:lvl>
    <w:lvl w:ilvl="2" w:tplc="51C8E508" w:tentative="1">
      <w:start w:val="1"/>
      <w:numFmt w:val="lowerRoman"/>
      <w:lvlText w:val="%3."/>
      <w:lvlJc w:val="right"/>
      <w:pPr>
        <w:ind w:left="2160" w:hanging="180"/>
      </w:pPr>
    </w:lvl>
    <w:lvl w:ilvl="3" w:tplc="FCEC7842" w:tentative="1">
      <w:start w:val="1"/>
      <w:numFmt w:val="decimal"/>
      <w:lvlText w:val="%4."/>
      <w:lvlJc w:val="left"/>
      <w:pPr>
        <w:ind w:left="2880" w:hanging="360"/>
      </w:pPr>
    </w:lvl>
    <w:lvl w:ilvl="4" w:tplc="EF3C9A5E" w:tentative="1">
      <w:start w:val="1"/>
      <w:numFmt w:val="lowerLetter"/>
      <w:lvlText w:val="%5."/>
      <w:lvlJc w:val="left"/>
      <w:pPr>
        <w:ind w:left="3600" w:hanging="360"/>
      </w:pPr>
    </w:lvl>
    <w:lvl w:ilvl="5" w:tplc="9A9E3728" w:tentative="1">
      <w:start w:val="1"/>
      <w:numFmt w:val="lowerRoman"/>
      <w:lvlText w:val="%6."/>
      <w:lvlJc w:val="right"/>
      <w:pPr>
        <w:ind w:left="4320" w:hanging="180"/>
      </w:pPr>
    </w:lvl>
    <w:lvl w:ilvl="6" w:tplc="53F2EC26" w:tentative="1">
      <w:start w:val="1"/>
      <w:numFmt w:val="decimal"/>
      <w:lvlText w:val="%7."/>
      <w:lvlJc w:val="left"/>
      <w:pPr>
        <w:ind w:left="5040" w:hanging="360"/>
      </w:pPr>
    </w:lvl>
    <w:lvl w:ilvl="7" w:tplc="29E22578" w:tentative="1">
      <w:start w:val="1"/>
      <w:numFmt w:val="lowerLetter"/>
      <w:lvlText w:val="%8."/>
      <w:lvlJc w:val="left"/>
      <w:pPr>
        <w:ind w:left="5760" w:hanging="360"/>
      </w:pPr>
    </w:lvl>
    <w:lvl w:ilvl="8" w:tplc="CADC1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F70A20"/>
    <w:multiLevelType w:val="hybridMultilevel"/>
    <w:tmpl w:val="3AD68A96"/>
    <w:lvl w:ilvl="0" w:tplc="67768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7A074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8CDC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8C36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C282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62AC4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74CC0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09C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BE465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1180650"/>
    <w:multiLevelType w:val="hybridMultilevel"/>
    <w:tmpl w:val="C2165144"/>
    <w:lvl w:ilvl="0" w:tplc="80F6C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A5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89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20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20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89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EB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C1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86C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D441C"/>
    <w:multiLevelType w:val="hybridMultilevel"/>
    <w:tmpl w:val="6BCC0BE8"/>
    <w:lvl w:ilvl="0" w:tplc="17DEE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CF7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A0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2B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E0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08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E9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87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A11B89"/>
    <w:multiLevelType w:val="hybridMultilevel"/>
    <w:tmpl w:val="ECD67F78"/>
    <w:lvl w:ilvl="0" w:tplc="48EE2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9E30C0" w:tentative="1">
      <w:start w:val="1"/>
      <w:numFmt w:val="lowerLetter"/>
      <w:lvlText w:val="%2."/>
      <w:lvlJc w:val="left"/>
      <w:pPr>
        <w:ind w:left="1440" w:hanging="360"/>
      </w:pPr>
    </w:lvl>
    <w:lvl w:ilvl="2" w:tplc="9FE45860" w:tentative="1">
      <w:start w:val="1"/>
      <w:numFmt w:val="lowerRoman"/>
      <w:lvlText w:val="%3."/>
      <w:lvlJc w:val="right"/>
      <w:pPr>
        <w:ind w:left="2160" w:hanging="180"/>
      </w:pPr>
    </w:lvl>
    <w:lvl w:ilvl="3" w:tplc="E3B06E84" w:tentative="1">
      <w:start w:val="1"/>
      <w:numFmt w:val="decimal"/>
      <w:lvlText w:val="%4."/>
      <w:lvlJc w:val="left"/>
      <w:pPr>
        <w:ind w:left="2880" w:hanging="360"/>
      </w:pPr>
    </w:lvl>
    <w:lvl w:ilvl="4" w:tplc="1ED64378" w:tentative="1">
      <w:start w:val="1"/>
      <w:numFmt w:val="lowerLetter"/>
      <w:lvlText w:val="%5."/>
      <w:lvlJc w:val="left"/>
      <w:pPr>
        <w:ind w:left="3600" w:hanging="360"/>
      </w:pPr>
    </w:lvl>
    <w:lvl w:ilvl="5" w:tplc="B4E0AD0A" w:tentative="1">
      <w:start w:val="1"/>
      <w:numFmt w:val="lowerRoman"/>
      <w:lvlText w:val="%6."/>
      <w:lvlJc w:val="right"/>
      <w:pPr>
        <w:ind w:left="4320" w:hanging="180"/>
      </w:pPr>
    </w:lvl>
    <w:lvl w:ilvl="6" w:tplc="D7348B52" w:tentative="1">
      <w:start w:val="1"/>
      <w:numFmt w:val="decimal"/>
      <w:lvlText w:val="%7."/>
      <w:lvlJc w:val="left"/>
      <w:pPr>
        <w:ind w:left="5040" w:hanging="360"/>
      </w:pPr>
    </w:lvl>
    <w:lvl w:ilvl="7" w:tplc="60C4C9F2" w:tentative="1">
      <w:start w:val="1"/>
      <w:numFmt w:val="lowerLetter"/>
      <w:lvlText w:val="%8."/>
      <w:lvlJc w:val="left"/>
      <w:pPr>
        <w:ind w:left="5760" w:hanging="360"/>
      </w:pPr>
    </w:lvl>
    <w:lvl w:ilvl="8" w:tplc="ED707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153C81"/>
    <w:multiLevelType w:val="hybridMultilevel"/>
    <w:tmpl w:val="B4BC1B50"/>
    <w:lvl w:ilvl="0" w:tplc="79B0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A4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08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F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CE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C7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0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4C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2B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C051EA"/>
    <w:multiLevelType w:val="hybridMultilevel"/>
    <w:tmpl w:val="709CAB64"/>
    <w:lvl w:ilvl="0" w:tplc="998E8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A0FC5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5E2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69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40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6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8B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4D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69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43C67"/>
    <w:multiLevelType w:val="hybridMultilevel"/>
    <w:tmpl w:val="B9D8218C"/>
    <w:lvl w:ilvl="0" w:tplc="74822B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C126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4AA252" w:tentative="1">
      <w:start w:val="1"/>
      <w:numFmt w:val="lowerRoman"/>
      <w:lvlText w:val="%3."/>
      <w:lvlJc w:val="right"/>
      <w:pPr>
        <w:ind w:left="2160" w:hanging="180"/>
      </w:pPr>
    </w:lvl>
    <w:lvl w:ilvl="3" w:tplc="A39893FA" w:tentative="1">
      <w:start w:val="1"/>
      <w:numFmt w:val="decimal"/>
      <w:lvlText w:val="%4."/>
      <w:lvlJc w:val="left"/>
      <w:pPr>
        <w:ind w:left="2880" w:hanging="360"/>
      </w:pPr>
    </w:lvl>
    <w:lvl w:ilvl="4" w:tplc="775A50B6" w:tentative="1">
      <w:start w:val="1"/>
      <w:numFmt w:val="lowerLetter"/>
      <w:lvlText w:val="%5."/>
      <w:lvlJc w:val="left"/>
      <w:pPr>
        <w:ind w:left="3600" w:hanging="360"/>
      </w:pPr>
    </w:lvl>
    <w:lvl w:ilvl="5" w:tplc="EDAA2FF8" w:tentative="1">
      <w:start w:val="1"/>
      <w:numFmt w:val="lowerRoman"/>
      <w:lvlText w:val="%6."/>
      <w:lvlJc w:val="right"/>
      <w:pPr>
        <w:ind w:left="4320" w:hanging="180"/>
      </w:pPr>
    </w:lvl>
    <w:lvl w:ilvl="6" w:tplc="8C6A368E" w:tentative="1">
      <w:start w:val="1"/>
      <w:numFmt w:val="decimal"/>
      <w:lvlText w:val="%7."/>
      <w:lvlJc w:val="left"/>
      <w:pPr>
        <w:ind w:left="5040" w:hanging="360"/>
      </w:pPr>
    </w:lvl>
    <w:lvl w:ilvl="7" w:tplc="4AFADF48" w:tentative="1">
      <w:start w:val="1"/>
      <w:numFmt w:val="lowerLetter"/>
      <w:lvlText w:val="%8."/>
      <w:lvlJc w:val="left"/>
      <w:pPr>
        <w:ind w:left="5760" w:hanging="360"/>
      </w:pPr>
    </w:lvl>
    <w:lvl w:ilvl="8" w:tplc="5810B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A277D"/>
    <w:multiLevelType w:val="hybridMultilevel"/>
    <w:tmpl w:val="58A2B94A"/>
    <w:lvl w:ilvl="0" w:tplc="CE6C82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D94EE6E" w:tentative="1">
      <w:start w:val="1"/>
      <w:numFmt w:val="lowerLetter"/>
      <w:lvlText w:val="%2."/>
      <w:lvlJc w:val="left"/>
      <w:pPr>
        <w:ind w:left="1440" w:hanging="360"/>
      </w:pPr>
    </w:lvl>
    <w:lvl w:ilvl="2" w:tplc="8C6A51C2" w:tentative="1">
      <w:start w:val="1"/>
      <w:numFmt w:val="lowerRoman"/>
      <w:lvlText w:val="%3."/>
      <w:lvlJc w:val="right"/>
      <w:pPr>
        <w:ind w:left="2160" w:hanging="180"/>
      </w:pPr>
    </w:lvl>
    <w:lvl w:ilvl="3" w:tplc="00F409E0" w:tentative="1">
      <w:start w:val="1"/>
      <w:numFmt w:val="decimal"/>
      <w:lvlText w:val="%4."/>
      <w:lvlJc w:val="left"/>
      <w:pPr>
        <w:ind w:left="2880" w:hanging="360"/>
      </w:pPr>
    </w:lvl>
    <w:lvl w:ilvl="4" w:tplc="2566090C" w:tentative="1">
      <w:start w:val="1"/>
      <w:numFmt w:val="lowerLetter"/>
      <w:lvlText w:val="%5."/>
      <w:lvlJc w:val="left"/>
      <w:pPr>
        <w:ind w:left="3600" w:hanging="360"/>
      </w:pPr>
    </w:lvl>
    <w:lvl w:ilvl="5" w:tplc="717AED90" w:tentative="1">
      <w:start w:val="1"/>
      <w:numFmt w:val="lowerRoman"/>
      <w:lvlText w:val="%6."/>
      <w:lvlJc w:val="right"/>
      <w:pPr>
        <w:ind w:left="4320" w:hanging="180"/>
      </w:pPr>
    </w:lvl>
    <w:lvl w:ilvl="6" w:tplc="62A6D336" w:tentative="1">
      <w:start w:val="1"/>
      <w:numFmt w:val="decimal"/>
      <w:lvlText w:val="%7."/>
      <w:lvlJc w:val="left"/>
      <w:pPr>
        <w:ind w:left="5040" w:hanging="360"/>
      </w:pPr>
    </w:lvl>
    <w:lvl w:ilvl="7" w:tplc="72EC47D8" w:tentative="1">
      <w:start w:val="1"/>
      <w:numFmt w:val="lowerLetter"/>
      <w:lvlText w:val="%8."/>
      <w:lvlJc w:val="left"/>
      <w:pPr>
        <w:ind w:left="5760" w:hanging="360"/>
      </w:pPr>
    </w:lvl>
    <w:lvl w:ilvl="8" w:tplc="7A021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C1440"/>
    <w:multiLevelType w:val="hybridMultilevel"/>
    <w:tmpl w:val="43F80820"/>
    <w:lvl w:ilvl="0" w:tplc="B6020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0A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6D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A6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45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FE8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EC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CF2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F6FD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55F88"/>
    <w:multiLevelType w:val="hybridMultilevel"/>
    <w:tmpl w:val="74DA41A0"/>
    <w:lvl w:ilvl="0" w:tplc="4E5EF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80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C7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65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EF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4D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CA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C6E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65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577DC4"/>
    <w:multiLevelType w:val="hybridMultilevel"/>
    <w:tmpl w:val="6DC476D2"/>
    <w:lvl w:ilvl="0" w:tplc="1826D7E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AB2C1A8" w:tentative="1">
      <w:start w:val="1"/>
      <w:numFmt w:val="lowerLetter"/>
      <w:lvlText w:val="%2."/>
      <w:lvlJc w:val="left"/>
      <w:pPr>
        <w:ind w:left="1440" w:hanging="360"/>
      </w:pPr>
    </w:lvl>
    <w:lvl w:ilvl="2" w:tplc="EBE8BBA4" w:tentative="1">
      <w:start w:val="1"/>
      <w:numFmt w:val="lowerRoman"/>
      <w:lvlText w:val="%3."/>
      <w:lvlJc w:val="right"/>
      <w:pPr>
        <w:ind w:left="2160" w:hanging="180"/>
      </w:pPr>
    </w:lvl>
    <w:lvl w:ilvl="3" w:tplc="25C67E72" w:tentative="1">
      <w:start w:val="1"/>
      <w:numFmt w:val="decimal"/>
      <w:lvlText w:val="%4."/>
      <w:lvlJc w:val="left"/>
      <w:pPr>
        <w:ind w:left="2880" w:hanging="360"/>
      </w:pPr>
    </w:lvl>
    <w:lvl w:ilvl="4" w:tplc="3E98B2B6" w:tentative="1">
      <w:start w:val="1"/>
      <w:numFmt w:val="lowerLetter"/>
      <w:lvlText w:val="%5."/>
      <w:lvlJc w:val="left"/>
      <w:pPr>
        <w:ind w:left="3600" w:hanging="360"/>
      </w:pPr>
    </w:lvl>
    <w:lvl w:ilvl="5" w:tplc="770ED956" w:tentative="1">
      <w:start w:val="1"/>
      <w:numFmt w:val="lowerRoman"/>
      <w:lvlText w:val="%6."/>
      <w:lvlJc w:val="right"/>
      <w:pPr>
        <w:ind w:left="4320" w:hanging="180"/>
      </w:pPr>
    </w:lvl>
    <w:lvl w:ilvl="6" w:tplc="4B148EB0" w:tentative="1">
      <w:start w:val="1"/>
      <w:numFmt w:val="decimal"/>
      <w:lvlText w:val="%7."/>
      <w:lvlJc w:val="left"/>
      <w:pPr>
        <w:ind w:left="5040" w:hanging="360"/>
      </w:pPr>
    </w:lvl>
    <w:lvl w:ilvl="7" w:tplc="9BC8B50E" w:tentative="1">
      <w:start w:val="1"/>
      <w:numFmt w:val="lowerLetter"/>
      <w:lvlText w:val="%8."/>
      <w:lvlJc w:val="left"/>
      <w:pPr>
        <w:ind w:left="5760" w:hanging="360"/>
      </w:pPr>
    </w:lvl>
    <w:lvl w:ilvl="8" w:tplc="899CD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B5821"/>
    <w:multiLevelType w:val="hybridMultilevel"/>
    <w:tmpl w:val="F00CB6B6"/>
    <w:lvl w:ilvl="0" w:tplc="27E6EA0E">
      <w:start w:val="1"/>
      <w:numFmt w:val="decimal"/>
      <w:pStyle w:val="Paragrafoelenco1"/>
      <w:lvlText w:val="%1."/>
      <w:lvlJc w:val="left"/>
      <w:pPr>
        <w:ind w:left="720" w:hanging="360"/>
      </w:pPr>
      <w:rPr>
        <w:rFonts w:ascii="Tahoma" w:hAnsi="Tahoma" w:cs="Tahoma" w:hint="default"/>
        <w:b w:val="0"/>
        <w:i w:val="0"/>
        <w:caps w:val="0"/>
        <w:color w:val="auto"/>
        <w:sz w:val="20"/>
        <w:szCs w:val="20"/>
        <w:u w:val="none"/>
      </w:rPr>
    </w:lvl>
    <w:lvl w:ilvl="1" w:tplc="CF6C09FE" w:tentative="1">
      <w:start w:val="1"/>
      <w:numFmt w:val="lowerLetter"/>
      <w:lvlText w:val="%2."/>
      <w:lvlJc w:val="left"/>
      <w:pPr>
        <w:ind w:left="1440" w:hanging="360"/>
      </w:pPr>
    </w:lvl>
    <w:lvl w:ilvl="2" w:tplc="B58402F2" w:tentative="1">
      <w:start w:val="1"/>
      <w:numFmt w:val="lowerRoman"/>
      <w:lvlText w:val="%3."/>
      <w:lvlJc w:val="right"/>
      <w:pPr>
        <w:ind w:left="2160" w:hanging="180"/>
      </w:pPr>
    </w:lvl>
    <w:lvl w:ilvl="3" w:tplc="69160880" w:tentative="1">
      <w:start w:val="1"/>
      <w:numFmt w:val="decimal"/>
      <w:lvlText w:val="%4."/>
      <w:lvlJc w:val="left"/>
      <w:pPr>
        <w:ind w:left="2880" w:hanging="360"/>
      </w:pPr>
    </w:lvl>
    <w:lvl w:ilvl="4" w:tplc="55122A1E" w:tentative="1">
      <w:start w:val="1"/>
      <w:numFmt w:val="lowerLetter"/>
      <w:lvlText w:val="%5."/>
      <w:lvlJc w:val="left"/>
      <w:pPr>
        <w:ind w:left="3600" w:hanging="360"/>
      </w:pPr>
    </w:lvl>
    <w:lvl w:ilvl="5" w:tplc="3C201E98" w:tentative="1">
      <w:start w:val="1"/>
      <w:numFmt w:val="lowerRoman"/>
      <w:lvlText w:val="%6."/>
      <w:lvlJc w:val="right"/>
      <w:pPr>
        <w:ind w:left="4320" w:hanging="180"/>
      </w:pPr>
    </w:lvl>
    <w:lvl w:ilvl="6" w:tplc="266A2AC6" w:tentative="1">
      <w:start w:val="1"/>
      <w:numFmt w:val="decimal"/>
      <w:lvlText w:val="%7."/>
      <w:lvlJc w:val="left"/>
      <w:pPr>
        <w:ind w:left="5040" w:hanging="360"/>
      </w:pPr>
    </w:lvl>
    <w:lvl w:ilvl="7" w:tplc="31028F0E" w:tentative="1">
      <w:start w:val="1"/>
      <w:numFmt w:val="lowerLetter"/>
      <w:lvlText w:val="%8."/>
      <w:lvlJc w:val="left"/>
      <w:pPr>
        <w:ind w:left="5760" w:hanging="360"/>
      </w:pPr>
    </w:lvl>
    <w:lvl w:ilvl="8" w:tplc="B53C7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85BAD"/>
    <w:multiLevelType w:val="hybridMultilevel"/>
    <w:tmpl w:val="902A2180"/>
    <w:lvl w:ilvl="0" w:tplc="67AC9D68">
      <w:start w:val="1"/>
      <w:numFmt w:val="decimal"/>
      <w:lvlText w:val="%1."/>
      <w:lvlJc w:val="left"/>
      <w:pPr>
        <w:ind w:left="360" w:hanging="360"/>
      </w:pPr>
    </w:lvl>
    <w:lvl w:ilvl="1" w:tplc="47DAFA86" w:tentative="1">
      <w:start w:val="1"/>
      <w:numFmt w:val="lowerLetter"/>
      <w:lvlText w:val="%2."/>
      <w:lvlJc w:val="left"/>
      <w:pPr>
        <w:ind w:left="1080" w:hanging="360"/>
      </w:pPr>
    </w:lvl>
    <w:lvl w:ilvl="2" w:tplc="97FA00C6" w:tentative="1">
      <w:start w:val="1"/>
      <w:numFmt w:val="lowerRoman"/>
      <w:lvlText w:val="%3."/>
      <w:lvlJc w:val="right"/>
      <w:pPr>
        <w:ind w:left="1800" w:hanging="180"/>
      </w:pPr>
    </w:lvl>
    <w:lvl w:ilvl="3" w:tplc="28F21C90" w:tentative="1">
      <w:start w:val="1"/>
      <w:numFmt w:val="decimal"/>
      <w:lvlText w:val="%4."/>
      <w:lvlJc w:val="left"/>
      <w:pPr>
        <w:ind w:left="2520" w:hanging="360"/>
      </w:pPr>
    </w:lvl>
    <w:lvl w:ilvl="4" w:tplc="1F2ADCEA" w:tentative="1">
      <w:start w:val="1"/>
      <w:numFmt w:val="lowerLetter"/>
      <w:lvlText w:val="%5."/>
      <w:lvlJc w:val="left"/>
      <w:pPr>
        <w:ind w:left="3240" w:hanging="360"/>
      </w:pPr>
    </w:lvl>
    <w:lvl w:ilvl="5" w:tplc="B39C036E" w:tentative="1">
      <w:start w:val="1"/>
      <w:numFmt w:val="lowerRoman"/>
      <w:lvlText w:val="%6."/>
      <w:lvlJc w:val="right"/>
      <w:pPr>
        <w:ind w:left="3960" w:hanging="180"/>
      </w:pPr>
    </w:lvl>
    <w:lvl w:ilvl="6" w:tplc="F426D80A" w:tentative="1">
      <w:start w:val="1"/>
      <w:numFmt w:val="decimal"/>
      <w:lvlText w:val="%7."/>
      <w:lvlJc w:val="left"/>
      <w:pPr>
        <w:ind w:left="4680" w:hanging="360"/>
      </w:pPr>
    </w:lvl>
    <w:lvl w:ilvl="7" w:tplc="AD284816" w:tentative="1">
      <w:start w:val="1"/>
      <w:numFmt w:val="lowerLetter"/>
      <w:lvlText w:val="%8."/>
      <w:lvlJc w:val="left"/>
      <w:pPr>
        <w:ind w:left="5400" w:hanging="360"/>
      </w:pPr>
    </w:lvl>
    <w:lvl w:ilvl="8" w:tplc="C23894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7867A3"/>
    <w:multiLevelType w:val="hybridMultilevel"/>
    <w:tmpl w:val="F15E2EA6"/>
    <w:lvl w:ilvl="0" w:tplc="530C53BA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9996934E" w:tentative="1">
      <w:start w:val="1"/>
      <w:numFmt w:val="lowerLetter"/>
      <w:lvlText w:val="%2."/>
      <w:lvlJc w:val="left"/>
      <w:pPr>
        <w:ind w:left="1440" w:hanging="360"/>
      </w:pPr>
    </w:lvl>
    <w:lvl w:ilvl="2" w:tplc="8ED2BAA6" w:tentative="1">
      <w:start w:val="1"/>
      <w:numFmt w:val="lowerRoman"/>
      <w:lvlText w:val="%3."/>
      <w:lvlJc w:val="right"/>
      <w:pPr>
        <w:ind w:left="2160" w:hanging="180"/>
      </w:pPr>
    </w:lvl>
    <w:lvl w:ilvl="3" w:tplc="FC9CB88E" w:tentative="1">
      <w:start w:val="1"/>
      <w:numFmt w:val="decimal"/>
      <w:lvlText w:val="%4."/>
      <w:lvlJc w:val="left"/>
      <w:pPr>
        <w:ind w:left="2880" w:hanging="360"/>
      </w:pPr>
    </w:lvl>
    <w:lvl w:ilvl="4" w:tplc="B2F6126C" w:tentative="1">
      <w:start w:val="1"/>
      <w:numFmt w:val="lowerLetter"/>
      <w:lvlText w:val="%5."/>
      <w:lvlJc w:val="left"/>
      <w:pPr>
        <w:ind w:left="3600" w:hanging="360"/>
      </w:pPr>
    </w:lvl>
    <w:lvl w:ilvl="5" w:tplc="190C3082" w:tentative="1">
      <w:start w:val="1"/>
      <w:numFmt w:val="lowerRoman"/>
      <w:lvlText w:val="%6."/>
      <w:lvlJc w:val="right"/>
      <w:pPr>
        <w:ind w:left="4320" w:hanging="180"/>
      </w:pPr>
    </w:lvl>
    <w:lvl w:ilvl="6" w:tplc="31782B7A" w:tentative="1">
      <w:start w:val="1"/>
      <w:numFmt w:val="decimal"/>
      <w:lvlText w:val="%7."/>
      <w:lvlJc w:val="left"/>
      <w:pPr>
        <w:ind w:left="5040" w:hanging="360"/>
      </w:pPr>
    </w:lvl>
    <w:lvl w:ilvl="7" w:tplc="530EA638" w:tentative="1">
      <w:start w:val="1"/>
      <w:numFmt w:val="lowerLetter"/>
      <w:lvlText w:val="%8."/>
      <w:lvlJc w:val="left"/>
      <w:pPr>
        <w:ind w:left="5760" w:hanging="360"/>
      </w:pPr>
    </w:lvl>
    <w:lvl w:ilvl="8" w:tplc="4E0CB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32E"/>
    <w:multiLevelType w:val="hybridMultilevel"/>
    <w:tmpl w:val="8A7EA14C"/>
    <w:lvl w:ilvl="0" w:tplc="8F9E04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5853CA" w:tentative="1">
      <w:start w:val="1"/>
      <w:numFmt w:val="lowerLetter"/>
      <w:lvlText w:val="%2."/>
      <w:lvlJc w:val="left"/>
      <w:pPr>
        <w:ind w:left="1440" w:hanging="360"/>
      </w:pPr>
    </w:lvl>
    <w:lvl w:ilvl="2" w:tplc="DF927E76" w:tentative="1">
      <w:start w:val="1"/>
      <w:numFmt w:val="lowerRoman"/>
      <w:lvlText w:val="%3."/>
      <w:lvlJc w:val="right"/>
      <w:pPr>
        <w:ind w:left="2160" w:hanging="180"/>
      </w:pPr>
    </w:lvl>
    <w:lvl w:ilvl="3" w:tplc="F1D2C2AA" w:tentative="1">
      <w:start w:val="1"/>
      <w:numFmt w:val="decimal"/>
      <w:lvlText w:val="%4."/>
      <w:lvlJc w:val="left"/>
      <w:pPr>
        <w:ind w:left="2880" w:hanging="360"/>
      </w:pPr>
    </w:lvl>
    <w:lvl w:ilvl="4" w:tplc="8B26C238" w:tentative="1">
      <w:start w:val="1"/>
      <w:numFmt w:val="lowerLetter"/>
      <w:lvlText w:val="%5."/>
      <w:lvlJc w:val="left"/>
      <w:pPr>
        <w:ind w:left="3600" w:hanging="360"/>
      </w:pPr>
    </w:lvl>
    <w:lvl w:ilvl="5" w:tplc="737E385C" w:tentative="1">
      <w:start w:val="1"/>
      <w:numFmt w:val="lowerRoman"/>
      <w:lvlText w:val="%6."/>
      <w:lvlJc w:val="right"/>
      <w:pPr>
        <w:ind w:left="4320" w:hanging="180"/>
      </w:pPr>
    </w:lvl>
    <w:lvl w:ilvl="6" w:tplc="75804680" w:tentative="1">
      <w:start w:val="1"/>
      <w:numFmt w:val="decimal"/>
      <w:lvlText w:val="%7."/>
      <w:lvlJc w:val="left"/>
      <w:pPr>
        <w:ind w:left="5040" w:hanging="360"/>
      </w:pPr>
    </w:lvl>
    <w:lvl w:ilvl="7" w:tplc="0F22DCC6" w:tentative="1">
      <w:start w:val="1"/>
      <w:numFmt w:val="lowerLetter"/>
      <w:lvlText w:val="%8."/>
      <w:lvlJc w:val="left"/>
      <w:pPr>
        <w:ind w:left="5760" w:hanging="360"/>
      </w:pPr>
    </w:lvl>
    <w:lvl w:ilvl="8" w:tplc="533E0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F7A9A"/>
    <w:multiLevelType w:val="hybridMultilevel"/>
    <w:tmpl w:val="83FCF316"/>
    <w:lvl w:ilvl="0" w:tplc="856CE5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3E497AA" w:tentative="1">
      <w:start w:val="1"/>
      <w:numFmt w:val="lowerLetter"/>
      <w:lvlText w:val="%2."/>
      <w:lvlJc w:val="left"/>
      <w:pPr>
        <w:ind w:left="1440" w:hanging="360"/>
      </w:pPr>
    </w:lvl>
    <w:lvl w:ilvl="2" w:tplc="CEC298BC" w:tentative="1">
      <w:start w:val="1"/>
      <w:numFmt w:val="lowerRoman"/>
      <w:lvlText w:val="%3."/>
      <w:lvlJc w:val="right"/>
      <w:pPr>
        <w:ind w:left="2160" w:hanging="180"/>
      </w:pPr>
    </w:lvl>
    <w:lvl w:ilvl="3" w:tplc="09FA0A18" w:tentative="1">
      <w:start w:val="1"/>
      <w:numFmt w:val="decimal"/>
      <w:lvlText w:val="%4."/>
      <w:lvlJc w:val="left"/>
      <w:pPr>
        <w:ind w:left="2880" w:hanging="360"/>
      </w:pPr>
    </w:lvl>
    <w:lvl w:ilvl="4" w:tplc="8FCE6C88" w:tentative="1">
      <w:start w:val="1"/>
      <w:numFmt w:val="lowerLetter"/>
      <w:lvlText w:val="%5."/>
      <w:lvlJc w:val="left"/>
      <w:pPr>
        <w:ind w:left="3600" w:hanging="360"/>
      </w:pPr>
    </w:lvl>
    <w:lvl w:ilvl="5" w:tplc="11124A5C" w:tentative="1">
      <w:start w:val="1"/>
      <w:numFmt w:val="lowerRoman"/>
      <w:lvlText w:val="%6."/>
      <w:lvlJc w:val="right"/>
      <w:pPr>
        <w:ind w:left="4320" w:hanging="180"/>
      </w:pPr>
    </w:lvl>
    <w:lvl w:ilvl="6" w:tplc="34AAD526" w:tentative="1">
      <w:start w:val="1"/>
      <w:numFmt w:val="decimal"/>
      <w:lvlText w:val="%7."/>
      <w:lvlJc w:val="left"/>
      <w:pPr>
        <w:ind w:left="5040" w:hanging="360"/>
      </w:pPr>
    </w:lvl>
    <w:lvl w:ilvl="7" w:tplc="B09E2122" w:tentative="1">
      <w:start w:val="1"/>
      <w:numFmt w:val="lowerLetter"/>
      <w:lvlText w:val="%8."/>
      <w:lvlJc w:val="left"/>
      <w:pPr>
        <w:ind w:left="5760" w:hanging="360"/>
      </w:pPr>
    </w:lvl>
    <w:lvl w:ilvl="8" w:tplc="60D40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564D6"/>
    <w:multiLevelType w:val="hybridMultilevel"/>
    <w:tmpl w:val="D26AC7E6"/>
    <w:lvl w:ilvl="0" w:tplc="D512C0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5CA0D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27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42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42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2AF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C7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0A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C1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5"/>
  </w:num>
  <w:num w:numId="4">
    <w:abstractNumId w:val="20"/>
  </w:num>
  <w:num w:numId="5">
    <w:abstractNumId w:val="12"/>
  </w:num>
  <w:num w:numId="6">
    <w:abstractNumId w:val="11"/>
  </w:num>
  <w:num w:numId="7">
    <w:abstractNumId w:val="26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9"/>
  </w:num>
  <w:num w:numId="19">
    <w:abstractNumId w:val="24"/>
  </w:num>
  <w:num w:numId="20">
    <w:abstractNumId w:val="19"/>
  </w:num>
  <w:num w:numId="21">
    <w:abstractNumId w:val="22"/>
  </w:num>
  <w:num w:numId="22">
    <w:abstractNumId w:val="30"/>
  </w:num>
  <w:num w:numId="23">
    <w:abstractNumId w:val="25"/>
  </w:num>
  <w:num w:numId="24">
    <w:abstractNumId w:val="0"/>
  </w:num>
  <w:num w:numId="25">
    <w:abstractNumId w:val="14"/>
  </w:num>
  <w:num w:numId="26">
    <w:abstractNumId w:val="18"/>
  </w:num>
  <w:num w:numId="27">
    <w:abstractNumId w:val="17"/>
  </w:num>
  <w:num w:numId="28">
    <w:abstractNumId w:val="27"/>
  </w:num>
  <w:num w:numId="29">
    <w:abstractNumId w:val="23"/>
  </w:num>
  <w:num w:numId="30">
    <w:abstractNumId w:val="13"/>
  </w:num>
  <w:num w:numId="31">
    <w:abstractNumId w:val="1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A3A70"/>
    <w:rsid w:val="00000350"/>
    <w:rsid w:val="00000B03"/>
    <w:rsid w:val="000026F4"/>
    <w:rsid w:val="00002EF3"/>
    <w:rsid w:val="000034CF"/>
    <w:rsid w:val="000071D2"/>
    <w:rsid w:val="00011B54"/>
    <w:rsid w:val="000124B6"/>
    <w:rsid w:val="00012ADD"/>
    <w:rsid w:val="00014162"/>
    <w:rsid w:val="0001487C"/>
    <w:rsid w:val="00023F18"/>
    <w:rsid w:val="00024F83"/>
    <w:rsid w:val="00026A77"/>
    <w:rsid w:val="000279A6"/>
    <w:rsid w:val="00032C1C"/>
    <w:rsid w:val="0003464B"/>
    <w:rsid w:val="000347EA"/>
    <w:rsid w:val="00037B0F"/>
    <w:rsid w:val="00041534"/>
    <w:rsid w:val="0004182E"/>
    <w:rsid w:val="00042858"/>
    <w:rsid w:val="000466F2"/>
    <w:rsid w:val="000479A2"/>
    <w:rsid w:val="00052E50"/>
    <w:rsid w:val="00053CE8"/>
    <w:rsid w:val="00054BA2"/>
    <w:rsid w:val="00055EC2"/>
    <w:rsid w:val="00056E42"/>
    <w:rsid w:val="000606C7"/>
    <w:rsid w:val="000634B3"/>
    <w:rsid w:val="00067414"/>
    <w:rsid w:val="00070458"/>
    <w:rsid w:val="0007118B"/>
    <w:rsid w:val="00071A2E"/>
    <w:rsid w:val="00071CA9"/>
    <w:rsid w:val="000726E4"/>
    <w:rsid w:val="00073EA2"/>
    <w:rsid w:val="000740EA"/>
    <w:rsid w:val="000753CB"/>
    <w:rsid w:val="0008382C"/>
    <w:rsid w:val="00083CEE"/>
    <w:rsid w:val="000840C5"/>
    <w:rsid w:val="00085C5F"/>
    <w:rsid w:val="000872D3"/>
    <w:rsid w:val="00090759"/>
    <w:rsid w:val="00091034"/>
    <w:rsid w:val="0009164E"/>
    <w:rsid w:val="00093100"/>
    <w:rsid w:val="00093675"/>
    <w:rsid w:val="00094D5A"/>
    <w:rsid w:val="00094E61"/>
    <w:rsid w:val="000953B5"/>
    <w:rsid w:val="00097EA7"/>
    <w:rsid w:val="000A2B79"/>
    <w:rsid w:val="000A2B9B"/>
    <w:rsid w:val="000A3A87"/>
    <w:rsid w:val="000A3E29"/>
    <w:rsid w:val="000A3F03"/>
    <w:rsid w:val="000A40BC"/>
    <w:rsid w:val="000A60C4"/>
    <w:rsid w:val="000A7B26"/>
    <w:rsid w:val="000B0623"/>
    <w:rsid w:val="000B0CFE"/>
    <w:rsid w:val="000B0D43"/>
    <w:rsid w:val="000B2922"/>
    <w:rsid w:val="000B7864"/>
    <w:rsid w:val="000C1461"/>
    <w:rsid w:val="000C2136"/>
    <w:rsid w:val="000C21E9"/>
    <w:rsid w:val="000C28F4"/>
    <w:rsid w:val="000C3973"/>
    <w:rsid w:val="000C46C9"/>
    <w:rsid w:val="000C4F54"/>
    <w:rsid w:val="000C5921"/>
    <w:rsid w:val="000C5E86"/>
    <w:rsid w:val="000C63A3"/>
    <w:rsid w:val="000C672A"/>
    <w:rsid w:val="000C6EA1"/>
    <w:rsid w:val="000D0DB0"/>
    <w:rsid w:val="000D1274"/>
    <w:rsid w:val="000D1427"/>
    <w:rsid w:val="000D1B85"/>
    <w:rsid w:val="000D3A2D"/>
    <w:rsid w:val="000D5670"/>
    <w:rsid w:val="000E1278"/>
    <w:rsid w:val="000E1758"/>
    <w:rsid w:val="000F23C9"/>
    <w:rsid w:val="000F2946"/>
    <w:rsid w:val="000F2C5B"/>
    <w:rsid w:val="000F2E44"/>
    <w:rsid w:val="000F4226"/>
    <w:rsid w:val="000F5AA3"/>
    <w:rsid w:val="000F5F9C"/>
    <w:rsid w:val="000F76CA"/>
    <w:rsid w:val="0010105C"/>
    <w:rsid w:val="001035A5"/>
    <w:rsid w:val="00110B29"/>
    <w:rsid w:val="00110B63"/>
    <w:rsid w:val="00120CF3"/>
    <w:rsid w:val="00121291"/>
    <w:rsid w:val="00125B6D"/>
    <w:rsid w:val="00126616"/>
    <w:rsid w:val="001269EE"/>
    <w:rsid w:val="001304C7"/>
    <w:rsid w:val="00136802"/>
    <w:rsid w:val="00136E20"/>
    <w:rsid w:val="00136ED6"/>
    <w:rsid w:val="0014061E"/>
    <w:rsid w:val="0014258F"/>
    <w:rsid w:val="00143D62"/>
    <w:rsid w:val="001449C6"/>
    <w:rsid w:val="00146FC2"/>
    <w:rsid w:val="0015365C"/>
    <w:rsid w:val="0015455B"/>
    <w:rsid w:val="00155B28"/>
    <w:rsid w:val="00162F60"/>
    <w:rsid w:val="0016337C"/>
    <w:rsid w:val="00163959"/>
    <w:rsid w:val="00166790"/>
    <w:rsid w:val="00170B6E"/>
    <w:rsid w:val="00171A18"/>
    <w:rsid w:val="00172D5C"/>
    <w:rsid w:val="001730CE"/>
    <w:rsid w:val="001736AD"/>
    <w:rsid w:val="00173820"/>
    <w:rsid w:val="0017517E"/>
    <w:rsid w:val="001752D3"/>
    <w:rsid w:val="00176AC3"/>
    <w:rsid w:val="001771D6"/>
    <w:rsid w:val="00177FAC"/>
    <w:rsid w:val="001855AB"/>
    <w:rsid w:val="00185AFB"/>
    <w:rsid w:val="00190101"/>
    <w:rsid w:val="00190308"/>
    <w:rsid w:val="00192273"/>
    <w:rsid w:val="00192B0D"/>
    <w:rsid w:val="00193DC5"/>
    <w:rsid w:val="001959C6"/>
    <w:rsid w:val="00196487"/>
    <w:rsid w:val="001A3531"/>
    <w:rsid w:val="001A4728"/>
    <w:rsid w:val="001A4CCF"/>
    <w:rsid w:val="001A5261"/>
    <w:rsid w:val="001B1BA1"/>
    <w:rsid w:val="001B37CB"/>
    <w:rsid w:val="001B5D93"/>
    <w:rsid w:val="001B6412"/>
    <w:rsid w:val="001B68DA"/>
    <w:rsid w:val="001C393A"/>
    <w:rsid w:val="001C5792"/>
    <w:rsid w:val="001C5873"/>
    <w:rsid w:val="001C6951"/>
    <w:rsid w:val="001C779B"/>
    <w:rsid w:val="001C77C5"/>
    <w:rsid w:val="001D233F"/>
    <w:rsid w:val="001D3415"/>
    <w:rsid w:val="001D515B"/>
    <w:rsid w:val="001D536F"/>
    <w:rsid w:val="001D70E6"/>
    <w:rsid w:val="001E19FE"/>
    <w:rsid w:val="001E1F01"/>
    <w:rsid w:val="001E20E9"/>
    <w:rsid w:val="001E2F2E"/>
    <w:rsid w:val="001E4CEB"/>
    <w:rsid w:val="001E6775"/>
    <w:rsid w:val="001F10C9"/>
    <w:rsid w:val="001F2685"/>
    <w:rsid w:val="001F47EF"/>
    <w:rsid w:val="001F5C22"/>
    <w:rsid w:val="001F6F3E"/>
    <w:rsid w:val="002059D7"/>
    <w:rsid w:val="002076D3"/>
    <w:rsid w:val="00207E50"/>
    <w:rsid w:val="0021121E"/>
    <w:rsid w:val="00211980"/>
    <w:rsid w:val="00213427"/>
    <w:rsid w:val="00217017"/>
    <w:rsid w:val="00222311"/>
    <w:rsid w:val="002227A7"/>
    <w:rsid w:val="0022344C"/>
    <w:rsid w:val="002250CC"/>
    <w:rsid w:val="00226B76"/>
    <w:rsid w:val="0023067B"/>
    <w:rsid w:val="00230B5C"/>
    <w:rsid w:val="0023121D"/>
    <w:rsid w:val="00232D78"/>
    <w:rsid w:val="00232E0C"/>
    <w:rsid w:val="00234417"/>
    <w:rsid w:val="00234B85"/>
    <w:rsid w:val="00236007"/>
    <w:rsid w:val="002362B5"/>
    <w:rsid w:val="002377D4"/>
    <w:rsid w:val="00237A50"/>
    <w:rsid w:val="00240F94"/>
    <w:rsid w:val="00242164"/>
    <w:rsid w:val="002425A4"/>
    <w:rsid w:val="00243203"/>
    <w:rsid w:val="00243FFC"/>
    <w:rsid w:val="002444B5"/>
    <w:rsid w:val="00250D1C"/>
    <w:rsid w:val="00251222"/>
    <w:rsid w:val="00251710"/>
    <w:rsid w:val="00251911"/>
    <w:rsid w:val="00251953"/>
    <w:rsid w:val="00251BE7"/>
    <w:rsid w:val="00252ABC"/>
    <w:rsid w:val="00254EDF"/>
    <w:rsid w:val="00256D28"/>
    <w:rsid w:val="00257944"/>
    <w:rsid w:val="002613E6"/>
    <w:rsid w:val="00264E5E"/>
    <w:rsid w:val="00266EAE"/>
    <w:rsid w:val="00267443"/>
    <w:rsid w:val="002701E1"/>
    <w:rsid w:val="0027030B"/>
    <w:rsid w:val="0027045A"/>
    <w:rsid w:val="00270D45"/>
    <w:rsid w:val="00274D20"/>
    <w:rsid w:val="0027624E"/>
    <w:rsid w:val="0027775B"/>
    <w:rsid w:val="00280DC0"/>
    <w:rsid w:val="00283609"/>
    <w:rsid w:val="0028467E"/>
    <w:rsid w:val="00287121"/>
    <w:rsid w:val="00291433"/>
    <w:rsid w:val="0029231A"/>
    <w:rsid w:val="002939B8"/>
    <w:rsid w:val="0029556C"/>
    <w:rsid w:val="002961B5"/>
    <w:rsid w:val="00297557"/>
    <w:rsid w:val="0029793E"/>
    <w:rsid w:val="00297F7C"/>
    <w:rsid w:val="002A11F0"/>
    <w:rsid w:val="002A533F"/>
    <w:rsid w:val="002A5D0B"/>
    <w:rsid w:val="002B2477"/>
    <w:rsid w:val="002B346A"/>
    <w:rsid w:val="002B4136"/>
    <w:rsid w:val="002B6751"/>
    <w:rsid w:val="002C278C"/>
    <w:rsid w:val="002C2A75"/>
    <w:rsid w:val="002C2EBF"/>
    <w:rsid w:val="002C331F"/>
    <w:rsid w:val="002C5489"/>
    <w:rsid w:val="002C5A7D"/>
    <w:rsid w:val="002C5F15"/>
    <w:rsid w:val="002C654D"/>
    <w:rsid w:val="002D0D81"/>
    <w:rsid w:val="002D130E"/>
    <w:rsid w:val="002D2934"/>
    <w:rsid w:val="002D4BDD"/>
    <w:rsid w:val="002D6B2B"/>
    <w:rsid w:val="002E0B13"/>
    <w:rsid w:val="002E4529"/>
    <w:rsid w:val="002E47FD"/>
    <w:rsid w:val="002E4F4E"/>
    <w:rsid w:val="002E5F96"/>
    <w:rsid w:val="002E69D3"/>
    <w:rsid w:val="002E714E"/>
    <w:rsid w:val="002E7EE0"/>
    <w:rsid w:val="002F2A5A"/>
    <w:rsid w:val="002F3F70"/>
    <w:rsid w:val="002F45F2"/>
    <w:rsid w:val="002F4926"/>
    <w:rsid w:val="002F49F5"/>
    <w:rsid w:val="002F623E"/>
    <w:rsid w:val="002F6C23"/>
    <w:rsid w:val="002F6F3E"/>
    <w:rsid w:val="003003DA"/>
    <w:rsid w:val="003073B3"/>
    <w:rsid w:val="00312CFB"/>
    <w:rsid w:val="00313CA4"/>
    <w:rsid w:val="00314886"/>
    <w:rsid w:val="00314A47"/>
    <w:rsid w:val="00320170"/>
    <w:rsid w:val="00322570"/>
    <w:rsid w:val="00322F85"/>
    <w:rsid w:val="003247C6"/>
    <w:rsid w:val="00325CF7"/>
    <w:rsid w:val="00327791"/>
    <w:rsid w:val="00327D7E"/>
    <w:rsid w:val="0033246A"/>
    <w:rsid w:val="00332575"/>
    <w:rsid w:val="0033381B"/>
    <w:rsid w:val="00334B37"/>
    <w:rsid w:val="00340B09"/>
    <w:rsid w:val="00341005"/>
    <w:rsid w:val="003450AE"/>
    <w:rsid w:val="00352241"/>
    <w:rsid w:val="00352431"/>
    <w:rsid w:val="00353103"/>
    <w:rsid w:val="0035545C"/>
    <w:rsid w:val="003562DF"/>
    <w:rsid w:val="003571C8"/>
    <w:rsid w:val="00360484"/>
    <w:rsid w:val="00360784"/>
    <w:rsid w:val="00360A97"/>
    <w:rsid w:val="00362946"/>
    <w:rsid w:val="00363A61"/>
    <w:rsid w:val="00363B8A"/>
    <w:rsid w:val="00363C6B"/>
    <w:rsid w:val="00363D85"/>
    <w:rsid w:val="00364A59"/>
    <w:rsid w:val="003663F5"/>
    <w:rsid w:val="00366496"/>
    <w:rsid w:val="00370A99"/>
    <w:rsid w:val="0037108F"/>
    <w:rsid w:val="00371D7A"/>
    <w:rsid w:val="00372ACE"/>
    <w:rsid w:val="0037414E"/>
    <w:rsid w:val="003751DE"/>
    <w:rsid w:val="003771C2"/>
    <w:rsid w:val="00377D0B"/>
    <w:rsid w:val="00380057"/>
    <w:rsid w:val="00381656"/>
    <w:rsid w:val="00382546"/>
    <w:rsid w:val="003830D8"/>
    <w:rsid w:val="00387647"/>
    <w:rsid w:val="00391B04"/>
    <w:rsid w:val="00392E2D"/>
    <w:rsid w:val="00394E0D"/>
    <w:rsid w:val="00396373"/>
    <w:rsid w:val="00396855"/>
    <w:rsid w:val="00397D0C"/>
    <w:rsid w:val="003A4098"/>
    <w:rsid w:val="003A4444"/>
    <w:rsid w:val="003B02DC"/>
    <w:rsid w:val="003B07C8"/>
    <w:rsid w:val="003B106F"/>
    <w:rsid w:val="003B431F"/>
    <w:rsid w:val="003B753E"/>
    <w:rsid w:val="003C0153"/>
    <w:rsid w:val="003C06B1"/>
    <w:rsid w:val="003C0936"/>
    <w:rsid w:val="003C0B22"/>
    <w:rsid w:val="003C18EB"/>
    <w:rsid w:val="003C2516"/>
    <w:rsid w:val="003C3ACF"/>
    <w:rsid w:val="003C4057"/>
    <w:rsid w:val="003C40FE"/>
    <w:rsid w:val="003C545A"/>
    <w:rsid w:val="003C75A7"/>
    <w:rsid w:val="003D04FB"/>
    <w:rsid w:val="003D0D61"/>
    <w:rsid w:val="003D3F58"/>
    <w:rsid w:val="003E2A85"/>
    <w:rsid w:val="003E4C55"/>
    <w:rsid w:val="003E5976"/>
    <w:rsid w:val="003E5F1C"/>
    <w:rsid w:val="003E66D6"/>
    <w:rsid w:val="003E69A1"/>
    <w:rsid w:val="003E76A2"/>
    <w:rsid w:val="003E7DFF"/>
    <w:rsid w:val="003F0450"/>
    <w:rsid w:val="003F0B0C"/>
    <w:rsid w:val="003F1CE8"/>
    <w:rsid w:val="003F5EEE"/>
    <w:rsid w:val="003F6FBF"/>
    <w:rsid w:val="004025D9"/>
    <w:rsid w:val="00402E1D"/>
    <w:rsid w:val="00403259"/>
    <w:rsid w:val="00406F24"/>
    <w:rsid w:val="004076FC"/>
    <w:rsid w:val="004109A2"/>
    <w:rsid w:val="00410A6B"/>
    <w:rsid w:val="00410EF0"/>
    <w:rsid w:val="00411296"/>
    <w:rsid w:val="004141A8"/>
    <w:rsid w:val="0041589D"/>
    <w:rsid w:val="00415CD3"/>
    <w:rsid w:val="0041632C"/>
    <w:rsid w:val="004222D7"/>
    <w:rsid w:val="004238D6"/>
    <w:rsid w:val="004246F1"/>
    <w:rsid w:val="00424941"/>
    <w:rsid w:val="00425C05"/>
    <w:rsid w:val="00427F35"/>
    <w:rsid w:val="00431534"/>
    <w:rsid w:val="0043285B"/>
    <w:rsid w:val="00434411"/>
    <w:rsid w:val="00437D86"/>
    <w:rsid w:val="0044267B"/>
    <w:rsid w:val="004446C0"/>
    <w:rsid w:val="00446C50"/>
    <w:rsid w:val="0044763D"/>
    <w:rsid w:val="00450C22"/>
    <w:rsid w:val="0045142D"/>
    <w:rsid w:val="0045145C"/>
    <w:rsid w:val="00452236"/>
    <w:rsid w:val="0046235A"/>
    <w:rsid w:val="00463005"/>
    <w:rsid w:val="004646B1"/>
    <w:rsid w:val="004647E8"/>
    <w:rsid w:val="004658A8"/>
    <w:rsid w:val="004739EF"/>
    <w:rsid w:val="0047445E"/>
    <w:rsid w:val="00477D39"/>
    <w:rsid w:val="00481C51"/>
    <w:rsid w:val="00481EB6"/>
    <w:rsid w:val="004827ED"/>
    <w:rsid w:val="00482B66"/>
    <w:rsid w:val="004839B6"/>
    <w:rsid w:val="0048487E"/>
    <w:rsid w:val="00484D43"/>
    <w:rsid w:val="0048703C"/>
    <w:rsid w:val="00491664"/>
    <w:rsid w:val="00491EF4"/>
    <w:rsid w:val="00492ED6"/>
    <w:rsid w:val="00494D55"/>
    <w:rsid w:val="004956D4"/>
    <w:rsid w:val="004957EF"/>
    <w:rsid w:val="00495E27"/>
    <w:rsid w:val="00496312"/>
    <w:rsid w:val="00497B7C"/>
    <w:rsid w:val="004A0599"/>
    <w:rsid w:val="004A2C44"/>
    <w:rsid w:val="004A2D43"/>
    <w:rsid w:val="004A39B1"/>
    <w:rsid w:val="004B1F0B"/>
    <w:rsid w:val="004B1FDD"/>
    <w:rsid w:val="004B37AA"/>
    <w:rsid w:val="004B4AA2"/>
    <w:rsid w:val="004B4EB0"/>
    <w:rsid w:val="004B5890"/>
    <w:rsid w:val="004B69FD"/>
    <w:rsid w:val="004B6FC5"/>
    <w:rsid w:val="004C18C1"/>
    <w:rsid w:val="004C1C75"/>
    <w:rsid w:val="004C28FB"/>
    <w:rsid w:val="004C3DD6"/>
    <w:rsid w:val="004C4531"/>
    <w:rsid w:val="004D2373"/>
    <w:rsid w:val="004D36BF"/>
    <w:rsid w:val="004D3907"/>
    <w:rsid w:val="004D44B4"/>
    <w:rsid w:val="004D4F8D"/>
    <w:rsid w:val="004D55B3"/>
    <w:rsid w:val="004D6F34"/>
    <w:rsid w:val="004D724D"/>
    <w:rsid w:val="004E0655"/>
    <w:rsid w:val="004E08F4"/>
    <w:rsid w:val="004E1242"/>
    <w:rsid w:val="004E36AA"/>
    <w:rsid w:val="004E5168"/>
    <w:rsid w:val="004E72AD"/>
    <w:rsid w:val="004E7878"/>
    <w:rsid w:val="004F1574"/>
    <w:rsid w:val="004F1FA2"/>
    <w:rsid w:val="004F2590"/>
    <w:rsid w:val="004F2757"/>
    <w:rsid w:val="004F2FA7"/>
    <w:rsid w:val="004F344C"/>
    <w:rsid w:val="004F5376"/>
    <w:rsid w:val="004F618E"/>
    <w:rsid w:val="004F7210"/>
    <w:rsid w:val="004F7661"/>
    <w:rsid w:val="00502CA7"/>
    <w:rsid w:val="00507351"/>
    <w:rsid w:val="00507844"/>
    <w:rsid w:val="00510CF2"/>
    <w:rsid w:val="00510F35"/>
    <w:rsid w:val="0051147D"/>
    <w:rsid w:val="00511A12"/>
    <w:rsid w:val="00514487"/>
    <w:rsid w:val="00515792"/>
    <w:rsid w:val="00516913"/>
    <w:rsid w:val="00517228"/>
    <w:rsid w:val="00520E55"/>
    <w:rsid w:val="00521D21"/>
    <w:rsid w:val="00522A25"/>
    <w:rsid w:val="00524376"/>
    <w:rsid w:val="0052485E"/>
    <w:rsid w:val="005257F9"/>
    <w:rsid w:val="00525E02"/>
    <w:rsid w:val="005267C9"/>
    <w:rsid w:val="00526D61"/>
    <w:rsid w:val="00530616"/>
    <w:rsid w:val="00532606"/>
    <w:rsid w:val="00533CE4"/>
    <w:rsid w:val="0053661F"/>
    <w:rsid w:val="00536FB6"/>
    <w:rsid w:val="0054062F"/>
    <w:rsid w:val="00543015"/>
    <w:rsid w:val="00546107"/>
    <w:rsid w:val="00546BCD"/>
    <w:rsid w:val="005503FE"/>
    <w:rsid w:val="00550A13"/>
    <w:rsid w:val="00552208"/>
    <w:rsid w:val="00552593"/>
    <w:rsid w:val="00555543"/>
    <w:rsid w:val="0055593C"/>
    <w:rsid w:val="00556052"/>
    <w:rsid w:val="0055733C"/>
    <w:rsid w:val="005619F1"/>
    <w:rsid w:val="00563401"/>
    <w:rsid w:val="00563F8F"/>
    <w:rsid w:val="00564730"/>
    <w:rsid w:val="00571926"/>
    <w:rsid w:val="005731B7"/>
    <w:rsid w:val="005739A7"/>
    <w:rsid w:val="0057481C"/>
    <w:rsid w:val="00577395"/>
    <w:rsid w:val="0058068E"/>
    <w:rsid w:val="00581F5B"/>
    <w:rsid w:val="00583785"/>
    <w:rsid w:val="005849B0"/>
    <w:rsid w:val="00586908"/>
    <w:rsid w:val="00587A44"/>
    <w:rsid w:val="00592DCC"/>
    <w:rsid w:val="00593AC8"/>
    <w:rsid w:val="00593C5A"/>
    <w:rsid w:val="00595BCD"/>
    <w:rsid w:val="005A002F"/>
    <w:rsid w:val="005A045B"/>
    <w:rsid w:val="005A06E9"/>
    <w:rsid w:val="005A08DD"/>
    <w:rsid w:val="005A0DF5"/>
    <w:rsid w:val="005A29FD"/>
    <w:rsid w:val="005A57F3"/>
    <w:rsid w:val="005A714F"/>
    <w:rsid w:val="005B0D9E"/>
    <w:rsid w:val="005B2A34"/>
    <w:rsid w:val="005B2BDD"/>
    <w:rsid w:val="005B361F"/>
    <w:rsid w:val="005C0D3B"/>
    <w:rsid w:val="005C16A7"/>
    <w:rsid w:val="005C1F7D"/>
    <w:rsid w:val="005C2159"/>
    <w:rsid w:val="005C26AD"/>
    <w:rsid w:val="005C564F"/>
    <w:rsid w:val="005C62D9"/>
    <w:rsid w:val="005C6765"/>
    <w:rsid w:val="005C7523"/>
    <w:rsid w:val="005D1D2E"/>
    <w:rsid w:val="005D2955"/>
    <w:rsid w:val="005D52C6"/>
    <w:rsid w:val="005D600A"/>
    <w:rsid w:val="005D7F2E"/>
    <w:rsid w:val="005E673D"/>
    <w:rsid w:val="005E69D6"/>
    <w:rsid w:val="005F0264"/>
    <w:rsid w:val="005F0BA4"/>
    <w:rsid w:val="005F3B1D"/>
    <w:rsid w:val="005F7187"/>
    <w:rsid w:val="005F7C8B"/>
    <w:rsid w:val="00601169"/>
    <w:rsid w:val="00601545"/>
    <w:rsid w:val="00602E21"/>
    <w:rsid w:val="00604B0D"/>
    <w:rsid w:val="00607054"/>
    <w:rsid w:val="00607AE7"/>
    <w:rsid w:val="00611252"/>
    <w:rsid w:val="0061345F"/>
    <w:rsid w:val="006167B1"/>
    <w:rsid w:val="00617F98"/>
    <w:rsid w:val="00627127"/>
    <w:rsid w:val="006314E3"/>
    <w:rsid w:val="00632004"/>
    <w:rsid w:val="006348B6"/>
    <w:rsid w:val="00640C2F"/>
    <w:rsid w:val="00640F13"/>
    <w:rsid w:val="00644B49"/>
    <w:rsid w:val="00652197"/>
    <w:rsid w:val="00654620"/>
    <w:rsid w:val="006553B5"/>
    <w:rsid w:val="00656283"/>
    <w:rsid w:val="0065761A"/>
    <w:rsid w:val="006631F0"/>
    <w:rsid w:val="00663E32"/>
    <w:rsid w:val="00664E84"/>
    <w:rsid w:val="00664FB0"/>
    <w:rsid w:val="00665A11"/>
    <w:rsid w:val="00665BF3"/>
    <w:rsid w:val="00667584"/>
    <w:rsid w:val="00667CB2"/>
    <w:rsid w:val="00672326"/>
    <w:rsid w:val="00672AEB"/>
    <w:rsid w:val="0067307F"/>
    <w:rsid w:val="00673E0F"/>
    <w:rsid w:val="00675E72"/>
    <w:rsid w:val="00676223"/>
    <w:rsid w:val="00676A69"/>
    <w:rsid w:val="00676D5D"/>
    <w:rsid w:val="00680ED8"/>
    <w:rsid w:val="00690A70"/>
    <w:rsid w:val="006920D1"/>
    <w:rsid w:val="0069291B"/>
    <w:rsid w:val="006933C9"/>
    <w:rsid w:val="0069416F"/>
    <w:rsid w:val="00695293"/>
    <w:rsid w:val="00696357"/>
    <w:rsid w:val="00696485"/>
    <w:rsid w:val="00696D47"/>
    <w:rsid w:val="006A6423"/>
    <w:rsid w:val="006A6F25"/>
    <w:rsid w:val="006A7047"/>
    <w:rsid w:val="006B0DBA"/>
    <w:rsid w:val="006B0F4C"/>
    <w:rsid w:val="006B249E"/>
    <w:rsid w:val="006B3571"/>
    <w:rsid w:val="006B42AA"/>
    <w:rsid w:val="006B4C9A"/>
    <w:rsid w:val="006B50B6"/>
    <w:rsid w:val="006B520C"/>
    <w:rsid w:val="006B58F2"/>
    <w:rsid w:val="006C071D"/>
    <w:rsid w:val="006C1882"/>
    <w:rsid w:val="006C1FAD"/>
    <w:rsid w:val="006C2B1A"/>
    <w:rsid w:val="006C2BDC"/>
    <w:rsid w:val="006C38C1"/>
    <w:rsid w:val="006C3D4F"/>
    <w:rsid w:val="006C3DFF"/>
    <w:rsid w:val="006C40D1"/>
    <w:rsid w:val="006C4A0E"/>
    <w:rsid w:val="006C5383"/>
    <w:rsid w:val="006C5A10"/>
    <w:rsid w:val="006C5DBB"/>
    <w:rsid w:val="006C7512"/>
    <w:rsid w:val="006D08E4"/>
    <w:rsid w:val="006D0C4D"/>
    <w:rsid w:val="006D2DF6"/>
    <w:rsid w:val="006D31DF"/>
    <w:rsid w:val="006D41FD"/>
    <w:rsid w:val="006D44DF"/>
    <w:rsid w:val="006D5205"/>
    <w:rsid w:val="006D7F79"/>
    <w:rsid w:val="006E0574"/>
    <w:rsid w:val="006E24D4"/>
    <w:rsid w:val="006E4834"/>
    <w:rsid w:val="006E56E3"/>
    <w:rsid w:val="006E5773"/>
    <w:rsid w:val="006E58D6"/>
    <w:rsid w:val="006E74A2"/>
    <w:rsid w:val="006E7CB1"/>
    <w:rsid w:val="006F3340"/>
    <w:rsid w:val="006F6381"/>
    <w:rsid w:val="006F7186"/>
    <w:rsid w:val="006F7CE6"/>
    <w:rsid w:val="00700413"/>
    <w:rsid w:val="0070136A"/>
    <w:rsid w:val="00703112"/>
    <w:rsid w:val="007062DA"/>
    <w:rsid w:val="00707676"/>
    <w:rsid w:val="00710388"/>
    <w:rsid w:val="007174B8"/>
    <w:rsid w:val="00717C8B"/>
    <w:rsid w:val="00720FE4"/>
    <w:rsid w:val="0072270C"/>
    <w:rsid w:val="007231CD"/>
    <w:rsid w:val="0072496D"/>
    <w:rsid w:val="00727553"/>
    <w:rsid w:val="0073144A"/>
    <w:rsid w:val="0073150F"/>
    <w:rsid w:val="0073288F"/>
    <w:rsid w:val="00732DAC"/>
    <w:rsid w:val="00735157"/>
    <w:rsid w:val="00736FF0"/>
    <w:rsid w:val="00737730"/>
    <w:rsid w:val="0074004A"/>
    <w:rsid w:val="00740B81"/>
    <w:rsid w:val="0074309E"/>
    <w:rsid w:val="00743643"/>
    <w:rsid w:val="00743DD5"/>
    <w:rsid w:val="00745E86"/>
    <w:rsid w:val="00746BB9"/>
    <w:rsid w:val="00750858"/>
    <w:rsid w:val="00751A70"/>
    <w:rsid w:val="007529D3"/>
    <w:rsid w:val="0075326E"/>
    <w:rsid w:val="0075422C"/>
    <w:rsid w:val="007542ED"/>
    <w:rsid w:val="00754629"/>
    <w:rsid w:val="007579EF"/>
    <w:rsid w:val="00760DA0"/>
    <w:rsid w:val="0076186B"/>
    <w:rsid w:val="00763F72"/>
    <w:rsid w:val="007646A2"/>
    <w:rsid w:val="0076561E"/>
    <w:rsid w:val="00772B5A"/>
    <w:rsid w:val="00775C7E"/>
    <w:rsid w:val="00777A8A"/>
    <w:rsid w:val="00781944"/>
    <w:rsid w:val="00781A3D"/>
    <w:rsid w:val="00785886"/>
    <w:rsid w:val="00785BB3"/>
    <w:rsid w:val="00785BC6"/>
    <w:rsid w:val="007863DB"/>
    <w:rsid w:val="007874B0"/>
    <w:rsid w:val="00787F0F"/>
    <w:rsid w:val="007917B2"/>
    <w:rsid w:val="00792037"/>
    <w:rsid w:val="007925C3"/>
    <w:rsid w:val="00792C6D"/>
    <w:rsid w:val="00792D92"/>
    <w:rsid w:val="007965F5"/>
    <w:rsid w:val="007A2CA0"/>
    <w:rsid w:val="007A4BFB"/>
    <w:rsid w:val="007A5A67"/>
    <w:rsid w:val="007A684B"/>
    <w:rsid w:val="007A6A97"/>
    <w:rsid w:val="007A7103"/>
    <w:rsid w:val="007A7392"/>
    <w:rsid w:val="007A7AAD"/>
    <w:rsid w:val="007B0370"/>
    <w:rsid w:val="007B1A06"/>
    <w:rsid w:val="007B23B1"/>
    <w:rsid w:val="007B437C"/>
    <w:rsid w:val="007B57C5"/>
    <w:rsid w:val="007B5F88"/>
    <w:rsid w:val="007C4A53"/>
    <w:rsid w:val="007C5582"/>
    <w:rsid w:val="007C5935"/>
    <w:rsid w:val="007C69B5"/>
    <w:rsid w:val="007C6E10"/>
    <w:rsid w:val="007D278F"/>
    <w:rsid w:val="007D44A8"/>
    <w:rsid w:val="007D4FE6"/>
    <w:rsid w:val="007D59EB"/>
    <w:rsid w:val="007D6F72"/>
    <w:rsid w:val="007D724D"/>
    <w:rsid w:val="007D76FC"/>
    <w:rsid w:val="007E0461"/>
    <w:rsid w:val="007E1A15"/>
    <w:rsid w:val="007E296E"/>
    <w:rsid w:val="007E3481"/>
    <w:rsid w:val="007E4364"/>
    <w:rsid w:val="007E447B"/>
    <w:rsid w:val="007E7600"/>
    <w:rsid w:val="007F0D85"/>
    <w:rsid w:val="007F27F1"/>
    <w:rsid w:val="007F3DC9"/>
    <w:rsid w:val="0080349D"/>
    <w:rsid w:val="008062BD"/>
    <w:rsid w:val="008071EA"/>
    <w:rsid w:val="00807369"/>
    <w:rsid w:val="00807EF2"/>
    <w:rsid w:val="008104F9"/>
    <w:rsid w:val="00810EF4"/>
    <w:rsid w:val="0081147A"/>
    <w:rsid w:val="00811D92"/>
    <w:rsid w:val="00811E0D"/>
    <w:rsid w:val="00814325"/>
    <w:rsid w:val="00816443"/>
    <w:rsid w:val="00817DFE"/>
    <w:rsid w:val="008205C7"/>
    <w:rsid w:val="00822B41"/>
    <w:rsid w:val="00824235"/>
    <w:rsid w:val="008249D1"/>
    <w:rsid w:val="008260F5"/>
    <w:rsid w:val="0082752D"/>
    <w:rsid w:val="008309DB"/>
    <w:rsid w:val="00830F53"/>
    <w:rsid w:val="00832224"/>
    <w:rsid w:val="0083234E"/>
    <w:rsid w:val="00832AE9"/>
    <w:rsid w:val="00832CE5"/>
    <w:rsid w:val="00835340"/>
    <w:rsid w:val="00836DC0"/>
    <w:rsid w:val="00837587"/>
    <w:rsid w:val="00837CE6"/>
    <w:rsid w:val="00837EF1"/>
    <w:rsid w:val="00842B2B"/>
    <w:rsid w:val="0084330E"/>
    <w:rsid w:val="00843845"/>
    <w:rsid w:val="00847A9F"/>
    <w:rsid w:val="00847E1B"/>
    <w:rsid w:val="0085308C"/>
    <w:rsid w:val="00854F21"/>
    <w:rsid w:val="00855741"/>
    <w:rsid w:val="0086025C"/>
    <w:rsid w:val="0086177C"/>
    <w:rsid w:val="0086228D"/>
    <w:rsid w:val="00862A04"/>
    <w:rsid w:val="00864464"/>
    <w:rsid w:val="00864C0C"/>
    <w:rsid w:val="0086570A"/>
    <w:rsid w:val="0086705F"/>
    <w:rsid w:val="0087368A"/>
    <w:rsid w:val="00874579"/>
    <w:rsid w:val="008745B1"/>
    <w:rsid w:val="00876060"/>
    <w:rsid w:val="008770BF"/>
    <w:rsid w:val="00880A30"/>
    <w:rsid w:val="00893043"/>
    <w:rsid w:val="00894F6F"/>
    <w:rsid w:val="0089621F"/>
    <w:rsid w:val="008970C1"/>
    <w:rsid w:val="008A049F"/>
    <w:rsid w:val="008A39C9"/>
    <w:rsid w:val="008A4017"/>
    <w:rsid w:val="008A4A71"/>
    <w:rsid w:val="008A5017"/>
    <w:rsid w:val="008A69C6"/>
    <w:rsid w:val="008B0B11"/>
    <w:rsid w:val="008B2FFB"/>
    <w:rsid w:val="008B3297"/>
    <w:rsid w:val="008B5D95"/>
    <w:rsid w:val="008B6A9D"/>
    <w:rsid w:val="008C003E"/>
    <w:rsid w:val="008C0AAF"/>
    <w:rsid w:val="008C154E"/>
    <w:rsid w:val="008C2AB2"/>
    <w:rsid w:val="008C7B4C"/>
    <w:rsid w:val="008D07DC"/>
    <w:rsid w:val="008D3402"/>
    <w:rsid w:val="008D49FE"/>
    <w:rsid w:val="008D5CCE"/>
    <w:rsid w:val="008D6E3C"/>
    <w:rsid w:val="008D6F89"/>
    <w:rsid w:val="008E0DAC"/>
    <w:rsid w:val="008E4323"/>
    <w:rsid w:val="008E6EBA"/>
    <w:rsid w:val="008F22B9"/>
    <w:rsid w:val="008F2C33"/>
    <w:rsid w:val="008F673E"/>
    <w:rsid w:val="009004A9"/>
    <w:rsid w:val="00900879"/>
    <w:rsid w:val="009056D0"/>
    <w:rsid w:val="00906041"/>
    <w:rsid w:val="00906B47"/>
    <w:rsid w:val="009112EB"/>
    <w:rsid w:val="00911D9F"/>
    <w:rsid w:val="009124F5"/>
    <w:rsid w:val="00912F2C"/>
    <w:rsid w:val="00913A9A"/>
    <w:rsid w:val="00913E6A"/>
    <w:rsid w:val="00920292"/>
    <w:rsid w:val="0092204B"/>
    <w:rsid w:val="00922199"/>
    <w:rsid w:val="00923E13"/>
    <w:rsid w:val="00924D06"/>
    <w:rsid w:val="009269A4"/>
    <w:rsid w:val="00927EF3"/>
    <w:rsid w:val="00931F4C"/>
    <w:rsid w:val="00934088"/>
    <w:rsid w:val="00935647"/>
    <w:rsid w:val="0093566D"/>
    <w:rsid w:val="009366BB"/>
    <w:rsid w:val="009426D1"/>
    <w:rsid w:val="00942D10"/>
    <w:rsid w:val="009469FE"/>
    <w:rsid w:val="00955166"/>
    <w:rsid w:val="00957744"/>
    <w:rsid w:val="00957B73"/>
    <w:rsid w:val="009614A0"/>
    <w:rsid w:val="0096318E"/>
    <w:rsid w:val="00963B1E"/>
    <w:rsid w:val="00965857"/>
    <w:rsid w:val="0097021B"/>
    <w:rsid w:val="0097049A"/>
    <w:rsid w:val="0097070D"/>
    <w:rsid w:val="009707BE"/>
    <w:rsid w:val="00970FCE"/>
    <w:rsid w:val="00974920"/>
    <w:rsid w:val="00974937"/>
    <w:rsid w:val="00974C94"/>
    <w:rsid w:val="0097587B"/>
    <w:rsid w:val="0098145B"/>
    <w:rsid w:val="00984A6B"/>
    <w:rsid w:val="00992305"/>
    <w:rsid w:val="009930DB"/>
    <w:rsid w:val="009A210F"/>
    <w:rsid w:val="009A2B5F"/>
    <w:rsid w:val="009A3645"/>
    <w:rsid w:val="009A4574"/>
    <w:rsid w:val="009A50CB"/>
    <w:rsid w:val="009A5874"/>
    <w:rsid w:val="009A602D"/>
    <w:rsid w:val="009B0993"/>
    <w:rsid w:val="009B225F"/>
    <w:rsid w:val="009B2476"/>
    <w:rsid w:val="009B3DCE"/>
    <w:rsid w:val="009B492C"/>
    <w:rsid w:val="009B4C93"/>
    <w:rsid w:val="009B512F"/>
    <w:rsid w:val="009B5451"/>
    <w:rsid w:val="009B5FA7"/>
    <w:rsid w:val="009B7835"/>
    <w:rsid w:val="009B7BDE"/>
    <w:rsid w:val="009C03B7"/>
    <w:rsid w:val="009C1651"/>
    <w:rsid w:val="009C4579"/>
    <w:rsid w:val="009C4B08"/>
    <w:rsid w:val="009C60B2"/>
    <w:rsid w:val="009C7F17"/>
    <w:rsid w:val="009D066D"/>
    <w:rsid w:val="009D7A44"/>
    <w:rsid w:val="009E0BD0"/>
    <w:rsid w:val="009E2C4D"/>
    <w:rsid w:val="009E4055"/>
    <w:rsid w:val="009E52F3"/>
    <w:rsid w:val="009E6DDE"/>
    <w:rsid w:val="009F0F2D"/>
    <w:rsid w:val="009F55BF"/>
    <w:rsid w:val="009F6E6C"/>
    <w:rsid w:val="009F7408"/>
    <w:rsid w:val="009F7CCE"/>
    <w:rsid w:val="00A0112E"/>
    <w:rsid w:val="00A019DC"/>
    <w:rsid w:val="00A02375"/>
    <w:rsid w:val="00A02690"/>
    <w:rsid w:val="00A11047"/>
    <w:rsid w:val="00A11C1B"/>
    <w:rsid w:val="00A120A9"/>
    <w:rsid w:val="00A13E19"/>
    <w:rsid w:val="00A145DF"/>
    <w:rsid w:val="00A152C5"/>
    <w:rsid w:val="00A175B5"/>
    <w:rsid w:val="00A17E48"/>
    <w:rsid w:val="00A202C1"/>
    <w:rsid w:val="00A21D38"/>
    <w:rsid w:val="00A22950"/>
    <w:rsid w:val="00A2538B"/>
    <w:rsid w:val="00A26450"/>
    <w:rsid w:val="00A3398D"/>
    <w:rsid w:val="00A343E7"/>
    <w:rsid w:val="00A34B2E"/>
    <w:rsid w:val="00A34F15"/>
    <w:rsid w:val="00A430FC"/>
    <w:rsid w:val="00A4560A"/>
    <w:rsid w:val="00A505E6"/>
    <w:rsid w:val="00A50987"/>
    <w:rsid w:val="00A52960"/>
    <w:rsid w:val="00A55398"/>
    <w:rsid w:val="00A57641"/>
    <w:rsid w:val="00A6098B"/>
    <w:rsid w:val="00A61689"/>
    <w:rsid w:val="00A702A0"/>
    <w:rsid w:val="00A70C68"/>
    <w:rsid w:val="00A752BF"/>
    <w:rsid w:val="00A75603"/>
    <w:rsid w:val="00A7718D"/>
    <w:rsid w:val="00A804B2"/>
    <w:rsid w:val="00A80996"/>
    <w:rsid w:val="00A82B43"/>
    <w:rsid w:val="00A84A13"/>
    <w:rsid w:val="00A85363"/>
    <w:rsid w:val="00A92F11"/>
    <w:rsid w:val="00A93840"/>
    <w:rsid w:val="00A9429F"/>
    <w:rsid w:val="00A9572C"/>
    <w:rsid w:val="00AA1BDB"/>
    <w:rsid w:val="00AA23A4"/>
    <w:rsid w:val="00AA2831"/>
    <w:rsid w:val="00AA2B6F"/>
    <w:rsid w:val="00AA2C08"/>
    <w:rsid w:val="00AA440D"/>
    <w:rsid w:val="00AA459D"/>
    <w:rsid w:val="00AA5B0E"/>
    <w:rsid w:val="00AA5E4B"/>
    <w:rsid w:val="00AA6545"/>
    <w:rsid w:val="00AA7FB1"/>
    <w:rsid w:val="00AB088E"/>
    <w:rsid w:val="00AB3A45"/>
    <w:rsid w:val="00AB3BC7"/>
    <w:rsid w:val="00AB587B"/>
    <w:rsid w:val="00AB5F63"/>
    <w:rsid w:val="00AC0886"/>
    <w:rsid w:val="00AC099B"/>
    <w:rsid w:val="00AC0B61"/>
    <w:rsid w:val="00AC3758"/>
    <w:rsid w:val="00AC37B6"/>
    <w:rsid w:val="00AC4B51"/>
    <w:rsid w:val="00AC503E"/>
    <w:rsid w:val="00AD18DC"/>
    <w:rsid w:val="00AD3B70"/>
    <w:rsid w:val="00AD3E99"/>
    <w:rsid w:val="00AD5F2F"/>
    <w:rsid w:val="00AE377E"/>
    <w:rsid w:val="00AE43F6"/>
    <w:rsid w:val="00AE610A"/>
    <w:rsid w:val="00AE6410"/>
    <w:rsid w:val="00AE6DD8"/>
    <w:rsid w:val="00AF02DC"/>
    <w:rsid w:val="00AF0569"/>
    <w:rsid w:val="00AF0FD4"/>
    <w:rsid w:val="00AF35A2"/>
    <w:rsid w:val="00AF5DD4"/>
    <w:rsid w:val="00AF5F04"/>
    <w:rsid w:val="00AF60E8"/>
    <w:rsid w:val="00B005DF"/>
    <w:rsid w:val="00B00B12"/>
    <w:rsid w:val="00B0261E"/>
    <w:rsid w:val="00B10CB2"/>
    <w:rsid w:val="00B12846"/>
    <w:rsid w:val="00B13454"/>
    <w:rsid w:val="00B13E55"/>
    <w:rsid w:val="00B177FA"/>
    <w:rsid w:val="00B17E3C"/>
    <w:rsid w:val="00B210E1"/>
    <w:rsid w:val="00B2130F"/>
    <w:rsid w:val="00B213D6"/>
    <w:rsid w:val="00B23375"/>
    <w:rsid w:val="00B264D1"/>
    <w:rsid w:val="00B267BF"/>
    <w:rsid w:val="00B273B6"/>
    <w:rsid w:val="00B27A6E"/>
    <w:rsid w:val="00B30874"/>
    <w:rsid w:val="00B311C4"/>
    <w:rsid w:val="00B3424A"/>
    <w:rsid w:val="00B34820"/>
    <w:rsid w:val="00B3568F"/>
    <w:rsid w:val="00B3586E"/>
    <w:rsid w:val="00B37B9F"/>
    <w:rsid w:val="00B41685"/>
    <w:rsid w:val="00B41E6C"/>
    <w:rsid w:val="00B42BAC"/>
    <w:rsid w:val="00B44601"/>
    <w:rsid w:val="00B45340"/>
    <w:rsid w:val="00B469E9"/>
    <w:rsid w:val="00B52136"/>
    <w:rsid w:val="00B52CB3"/>
    <w:rsid w:val="00B540EF"/>
    <w:rsid w:val="00B54212"/>
    <w:rsid w:val="00B56A06"/>
    <w:rsid w:val="00B63F33"/>
    <w:rsid w:val="00B65A54"/>
    <w:rsid w:val="00B665E4"/>
    <w:rsid w:val="00B70192"/>
    <w:rsid w:val="00B70D4F"/>
    <w:rsid w:val="00B7389A"/>
    <w:rsid w:val="00B73A3E"/>
    <w:rsid w:val="00B7516C"/>
    <w:rsid w:val="00B75BF9"/>
    <w:rsid w:val="00B76236"/>
    <w:rsid w:val="00B80A1E"/>
    <w:rsid w:val="00B84874"/>
    <w:rsid w:val="00B90A35"/>
    <w:rsid w:val="00B932CB"/>
    <w:rsid w:val="00B94AE8"/>
    <w:rsid w:val="00B94CF8"/>
    <w:rsid w:val="00B94FAC"/>
    <w:rsid w:val="00B9537F"/>
    <w:rsid w:val="00B95859"/>
    <w:rsid w:val="00BA0DE0"/>
    <w:rsid w:val="00BA12C8"/>
    <w:rsid w:val="00BA1C3F"/>
    <w:rsid w:val="00BA2181"/>
    <w:rsid w:val="00BB0F20"/>
    <w:rsid w:val="00BB213F"/>
    <w:rsid w:val="00BB6C12"/>
    <w:rsid w:val="00BB6FA9"/>
    <w:rsid w:val="00BB72E3"/>
    <w:rsid w:val="00BC44A1"/>
    <w:rsid w:val="00BC662A"/>
    <w:rsid w:val="00BD3F81"/>
    <w:rsid w:val="00BD4FDA"/>
    <w:rsid w:val="00BD7FD4"/>
    <w:rsid w:val="00BE0183"/>
    <w:rsid w:val="00BE11F5"/>
    <w:rsid w:val="00BE259C"/>
    <w:rsid w:val="00BE59AD"/>
    <w:rsid w:val="00BE5AF1"/>
    <w:rsid w:val="00BE7A45"/>
    <w:rsid w:val="00BF0AEA"/>
    <w:rsid w:val="00BF1369"/>
    <w:rsid w:val="00BF2D5E"/>
    <w:rsid w:val="00BF40D6"/>
    <w:rsid w:val="00BF55F1"/>
    <w:rsid w:val="00BF5B9D"/>
    <w:rsid w:val="00BF6E2E"/>
    <w:rsid w:val="00BF6EC0"/>
    <w:rsid w:val="00BF746C"/>
    <w:rsid w:val="00C03958"/>
    <w:rsid w:val="00C05265"/>
    <w:rsid w:val="00C05635"/>
    <w:rsid w:val="00C0627D"/>
    <w:rsid w:val="00C06763"/>
    <w:rsid w:val="00C06D61"/>
    <w:rsid w:val="00C0704B"/>
    <w:rsid w:val="00C074DD"/>
    <w:rsid w:val="00C1171A"/>
    <w:rsid w:val="00C163AC"/>
    <w:rsid w:val="00C16C42"/>
    <w:rsid w:val="00C17704"/>
    <w:rsid w:val="00C206D2"/>
    <w:rsid w:val="00C21E09"/>
    <w:rsid w:val="00C21ED3"/>
    <w:rsid w:val="00C23FEF"/>
    <w:rsid w:val="00C252B8"/>
    <w:rsid w:val="00C26BF7"/>
    <w:rsid w:val="00C26EE6"/>
    <w:rsid w:val="00C302C4"/>
    <w:rsid w:val="00C318AA"/>
    <w:rsid w:val="00C34F04"/>
    <w:rsid w:val="00C36EB3"/>
    <w:rsid w:val="00C3772F"/>
    <w:rsid w:val="00C37C78"/>
    <w:rsid w:val="00C4198B"/>
    <w:rsid w:val="00C423A2"/>
    <w:rsid w:val="00C424EC"/>
    <w:rsid w:val="00C42A8E"/>
    <w:rsid w:val="00C44BC5"/>
    <w:rsid w:val="00C4507B"/>
    <w:rsid w:val="00C50B06"/>
    <w:rsid w:val="00C53A13"/>
    <w:rsid w:val="00C54FDC"/>
    <w:rsid w:val="00C55A05"/>
    <w:rsid w:val="00C568C1"/>
    <w:rsid w:val="00C57F2D"/>
    <w:rsid w:val="00C6031A"/>
    <w:rsid w:val="00C620BF"/>
    <w:rsid w:val="00C62275"/>
    <w:rsid w:val="00C62897"/>
    <w:rsid w:val="00C62C01"/>
    <w:rsid w:val="00C63523"/>
    <w:rsid w:val="00C63F5C"/>
    <w:rsid w:val="00C6426D"/>
    <w:rsid w:val="00C65C59"/>
    <w:rsid w:val="00C65C5D"/>
    <w:rsid w:val="00C6614D"/>
    <w:rsid w:val="00C664D5"/>
    <w:rsid w:val="00C72FE5"/>
    <w:rsid w:val="00C76C44"/>
    <w:rsid w:val="00C828C8"/>
    <w:rsid w:val="00C8316A"/>
    <w:rsid w:val="00C83342"/>
    <w:rsid w:val="00C86081"/>
    <w:rsid w:val="00C9140C"/>
    <w:rsid w:val="00C91D61"/>
    <w:rsid w:val="00C91E4A"/>
    <w:rsid w:val="00C93E2C"/>
    <w:rsid w:val="00C94426"/>
    <w:rsid w:val="00C95058"/>
    <w:rsid w:val="00C967F4"/>
    <w:rsid w:val="00C9683A"/>
    <w:rsid w:val="00C96E63"/>
    <w:rsid w:val="00C971FB"/>
    <w:rsid w:val="00CA17B5"/>
    <w:rsid w:val="00CA3721"/>
    <w:rsid w:val="00CA3C2A"/>
    <w:rsid w:val="00CA41E3"/>
    <w:rsid w:val="00CA57C6"/>
    <w:rsid w:val="00CA57FC"/>
    <w:rsid w:val="00CA5846"/>
    <w:rsid w:val="00CB0709"/>
    <w:rsid w:val="00CB1970"/>
    <w:rsid w:val="00CB238E"/>
    <w:rsid w:val="00CC0F38"/>
    <w:rsid w:val="00CC174D"/>
    <w:rsid w:val="00CC1C3E"/>
    <w:rsid w:val="00CC4A51"/>
    <w:rsid w:val="00CC51EA"/>
    <w:rsid w:val="00CC61BE"/>
    <w:rsid w:val="00CC655F"/>
    <w:rsid w:val="00CC66F3"/>
    <w:rsid w:val="00CC6A64"/>
    <w:rsid w:val="00CC749A"/>
    <w:rsid w:val="00CD08C9"/>
    <w:rsid w:val="00CD2374"/>
    <w:rsid w:val="00CD29B6"/>
    <w:rsid w:val="00CD38FE"/>
    <w:rsid w:val="00CD3C91"/>
    <w:rsid w:val="00CD414E"/>
    <w:rsid w:val="00CD42C5"/>
    <w:rsid w:val="00CD48E9"/>
    <w:rsid w:val="00CD4CB1"/>
    <w:rsid w:val="00CD767D"/>
    <w:rsid w:val="00CE1923"/>
    <w:rsid w:val="00CE446F"/>
    <w:rsid w:val="00CE57FD"/>
    <w:rsid w:val="00CF061D"/>
    <w:rsid w:val="00CF5449"/>
    <w:rsid w:val="00D0189F"/>
    <w:rsid w:val="00D02891"/>
    <w:rsid w:val="00D02C21"/>
    <w:rsid w:val="00D05118"/>
    <w:rsid w:val="00D05149"/>
    <w:rsid w:val="00D05A69"/>
    <w:rsid w:val="00D10293"/>
    <w:rsid w:val="00D10ABC"/>
    <w:rsid w:val="00D15364"/>
    <w:rsid w:val="00D15DD0"/>
    <w:rsid w:val="00D1675C"/>
    <w:rsid w:val="00D214C3"/>
    <w:rsid w:val="00D22BD5"/>
    <w:rsid w:val="00D25736"/>
    <w:rsid w:val="00D25A72"/>
    <w:rsid w:val="00D25B20"/>
    <w:rsid w:val="00D25CDC"/>
    <w:rsid w:val="00D30868"/>
    <w:rsid w:val="00D316E4"/>
    <w:rsid w:val="00D31A43"/>
    <w:rsid w:val="00D3465F"/>
    <w:rsid w:val="00D35CC1"/>
    <w:rsid w:val="00D3644F"/>
    <w:rsid w:val="00D36572"/>
    <w:rsid w:val="00D37C4C"/>
    <w:rsid w:val="00D40336"/>
    <w:rsid w:val="00D40AC5"/>
    <w:rsid w:val="00D414FB"/>
    <w:rsid w:val="00D41552"/>
    <w:rsid w:val="00D41663"/>
    <w:rsid w:val="00D4329B"/>
    <w:rsid w:val="00D44641"/>
    <w:rsid w:val="00D447B0"/>
    <w:rsid w:val="00D45D56"/>
    <w:rsid w:val="00D461A8"/>
    <w:rsid w:val="00D46DB7"/>
    <w:rsid w:val="00D556ED"/>
    <w:rsid w:val="00D577A9"/>
    <w:rsid w:val="00D62849"/>
    <w:rsid w:val="00D64EE2"/>
    <w:rsid w:val="00D6572E"/>
    <w:rsid w:val="00D6674E"/>
    <w:rsid w:val="00D66FE3"/>
    <w:rsid w:val="00D6705D"/>
    <w:rsid w:val="00D67988"/>
    <w:rsid w:val="00D70E63"/>
    <w:rsid w:val="00D71D71"/>
    <w:rsid w:val="00D72D96"/>
    <w:rsid w:val="00D75507"/>
    <w:rsid w:val="00D767F4"/>
    <w:rsid w:val="00D800C6"/>
    <w:rsid w:val="00D80A65"/>
    <w:rsid w:val="00D81CC5"/>
    <w:rsid w:val="00D830C5"/>
    <w:rsid w:val="00D836ED"/>
    <w:rsid w:val="00D83D8D"/>
    <w:rsid w:val="00D8437A"/>
    <w:rsid w:val="00D856B6"/>
    <w:rsid w:val="00D858DD"/>
    <w:rsid w:val="00D93188"/>
    <w:rsid w:val="00D936F3"/>
    <w:rsid w:val="00D93FA9"/>
    <w:rsid w:val="00D96C94"/>
    <w:rsid w:val="00DA035C"/>
    <w:rsid w:val="00DA3177"/>
    <w:rsid w:val="00DA3A70"/>
    <w:rsid w:val="00DA4AB9"/>
    <w:rsid w:val="00DA4E53"/>
    <w:rsid w:val="00DA5C61"/>
    <w:rsid w:val="00DA5EBB"/>
    <w:rsid w:val="00DA6377"/>
    <w:rsid w:val="00DA7E9E"/>
    <w:rsid w:val="00DB08BC"/>
    <w:rsid w:val="00DB12C5"/>
    <w:rsid w:val="00DB42C7"/>
    <w:rsid w:val="00DB4D60"/>
    <w:rsid w:val="00DB519A"/>
    <w:rsid w:val="00DB5CCC"/>
    <w:rsid w:val="00DB6B14"/>
    <w:rsid w:val="00DC0FA4"/>
    <w:rsid w:val="00DC29EA"/>
    <w:rsid w:val="00DC2CD9"/>
    <w:rsid w:val="00DC2FBF"/>
    <w:rsid w:val="00DC4763"/>
    <w:rsid w:val="00DC4792"/>
    <w:rsid w:val="00DC6705"/>
    <w:rsid w:val="00DC7D07"/>
    <w:rsid w:val="00DD04E9"/>
    <w:rsid w:val="00DD09D8"/>
    <w:rsid w:val="00DD0CA8"/>
    <w:rsid w:val="00DD3AF9"/>
    <w:rsid w:val="00DD51DC"/>
    <w:rsid w:val="00DD5410"/>
    <w:rsid w:val="00DD6054"/>
    <w:rsid w:val="00DD7BE3"/>
    <w:rsid w:val="00DE0849"/>
    <w:rsid w:val="00DE2656"/>
    <w:rsid w:val="00DE2EE9"/>
    <w:rsid w:val="00DE3C64"/>
    <w:rsid w:val="00DE41F7"/>
    <w:rsid w:val="00DE4FB8"/>
    <w:rsid w:val="00DE7BD5"/>
    <w:rsid w:val="00DF0FCE"/>
    <w:rsid w:val="00DF2117"/>
    <w:rsid w:val="00DF2866"/>
    <w:rsid w:val="00DF2AF7"/>
    <w:rsid w:val="00DF2CA0"/>
    <w:rsid w:val="00DF31F5"/>
    <w:rsid w:val="00DF337F"/>
    <w:rsid w:val="00DF397F"/>
    <w:rsid w:val="00DF5B05"/>
    <w:rsid w:val="00DF5B56"/>
    <w:rsid w:val="00DF60B9"/>
    <w:rsid w:val="00DF6F62"/>
    <w:rsid w:val="00DF75B9"/>
    <w:rsid w:val="00E02147"/>
    <w:rsid w:val="00E063A5"/>
    <w:rsid w:val="00E10EDD"/>
    <w:rsid w:val="00E12236"/>
    <w:rsid w:val="00E130AA"/>
    <w:rsid w:val="00E153DB"/>
    <w:rsid w:val="00E1592C"/>
    <w:rsid w:val="00E203CD"/>
    <w:rsid w:val="00E2106F"/>
    <w:rsid w:val="00E23086"/>
    <w:rsid w:val="00E23785"/>
    <w:rsid w:val="00E24A10"/>
    <w:rsid w:val="00E25A06"/>
    <w:rsid w:val="00E25E96"/>
    <w:rsid w:val="00E26AA5"/>
    <w:rsid w:val="00E3006B"/>
    <w:rsid w:val="00E335F1"/>
    <w:rsid w:val="00E33787"/>
    <w:rsid w:val="00E34A79"/>
    <w:rsid w:val="00E34C47"/>
    <w:rsid w:val="00E34DF9"/>
    <w:rsid w:val="00E35B6F"/>
    <w:rsid w:val="00E372E9"/>
    <w:rsid w:val="00E37A38"/>
    <w:rsid w:val="00E37FC7"/>
    <w:rsid w:val="00E430BD"/>
    <w:rsid w:val="00E44496"/>
    <w:rsid w:val="00E45FA9"/>
    <w:rsid w:val="00E47DA6"/>
    <w:rsid w:val="00E50DAF"/>
    <w:rsid w:val="00E54190"/>
    <w:rsid w:val="00E60016"/>
    <w:rsid w:val="00E61125"/>
    <w:rsid w:val="00E6221C"/>
    <w:rsid w:val="00E62B81"/>
    <w:rsid w:val="00E6325E"/>
    <w:rsid w:val="00E6687B"/>
    <w:rsid w:val="00E7294B"/>
    <w:rsid w:val="00E73019"/>
    <w:rsid w:val="00E80312"/>
    <w:rsid w:val="00E804AE"/>
    <w:rsid w:val="00E81791"/>
    <w:rsid w:val="00E81EA6"/>
    <w:rsid w:val="00E84567"/>
    <w:rsid w:val="00E86173"/>
    <w:rsid w:val="00E90D6E"/>
    <w:rsid w:val="00E91237"/>
    <w:rsid w:val="00E92173"/>
    <w:rsid w:val="00E9311A"/>
    <w:rsid w:val="00E9347F"/>
    <w:rsid w:val="00E93802"/>
    <w:rsid w:val="00E95FBF"/>
    <w:rsid w:val="00EA078F"/>
    <w:rsid w:val="00EA1C4B"/>
    <w:rsid w:val="00EA1DD2"/>
    <w:rsid w:val="00EA274D"/>
    <w:rsid w:val="00EB2C2C"/>
    <w:rsid w:val="00EB5B09"/>
    <w:rsid w:val="00EB5E82"/>
    <w:rsid w:val="00EB6E51"/>
    <w:rsid w:val="00EB713B"/>
    <w:rsid w:val="00EB7B12"/>
    <w:rsid w:val="00EC16FB"/>
    <w:rsid w:val="00EC2F4D"/>
    <w:rsid w:val="00EC444B"/>
    <w:rsid w:val="00EC6C62"/>
    <w:rsid w:val="00EC75FD"/>
    <w:rsid w:val="00EC7CD2"/>
    <w:rsid w:val="00ED19B7"/>
    <w:rsid w:val="00ED245D"/>
    <w:rsid w:val="00ED39DC"/>
    <w:rsid w:val="00ED3A13"/>
    <w:rsid w:val="00ED4793"/>
    <w:rsid w:val="00ED51D9"/>
    <w:rsid w:val="00ED5411"/>
    <w:rsid w:val="00ED5B42"/>
    <w:rsid w:val="00EE0213"/>
    <w:rsid w:val="00EE4F53"/>
    <w:rsid w:val="00EE7670"/>
    <w:rsid w:val="00EE7EB5"/>
    <w:rsid w:val="00EF22AA"/>
    <w:rsid w:val="00EF355D"/>
    <w:rsid w:val="00EF6C85"/>
    <w:rsid w:val="00F026FA"/>
    <w:rsid w:val="00F02794"/>
    <w:rsid w:val="00F032B0"/>
    <w:rsid w:val="00F03325"/>
    <w:rsid w:val="00F035A9"/>
    <w:rsid w:val="00F061B5"/>
    <w:rsid w:val="00F0729E"/>
    <w:rsid w:val="00F102A7"/>
    <w:rsid w:val="00F10761"/>
    <w:rsid w:val="00F11E69"/>
    <w:rsid w:val="00F13C33"/>
    <w:rsid w:val="00F1602D"/>
    <w:rsid w:val="00F16ACF"/>
    <w:rsid w:val="00F16F5C"/>
    <w:rsid w:val="00F17E1D"/>
    <w:rsid w:val="00F25799"/>
    <w:rsid w:val="00F25BD5"/>
    <w:rsid w:val="00F34357"/>
    <w:rsid w:val="00F34F3F"/>
    <w:rsid w:val="00F37A02"/>
    <w:rsid w:val="00F40B94"/>
    <w:rsid w:val="00F4135D"/>
    <w:rsid w:val="00F41679"/>
    <w:rsid w:val="00F41717"/>
    <w:rsid w:val="00F433DB"/>
    <w:rsid w:val="00F4410E"/>
    <w:rsid w:val="00F448E2"/>
    <w:rsid w:val="00F54A6D"/>
    <w:rsid w:val="00F54C7F"/>
    <w:rsid w:val="00F55903"/>
    <w:rsid w:val="00F56E40"/>
    <w:rsid w:val="00F573EC"/>
    <w:rsid w:val="00F57F8E"/>
    <w:rsid w:val="00F62D06"/>
    <w:rsid w:val="00F63EDC"/>
    <w:rsid w:val="00F65845"/>
    <w:rsid w:val="00F66278"/>
    <w:rsid w:val="00F66D96"/>
    <w:rsid w:val="00F67273"/>
    <w:rsid w:val="00F70396"/>
    <w:rsid w:val="00F74C87"/>
    <w:rsid w:val="00F75F1E"/>
    <w:rsid w:val="00F77573"/>
    <w:rsid w:val="00F80660"/>
    <w:rsid w:val="00F80C60"/>
    <w:rsid w:val="00F81A31"/>
    <w:rsid w:val="00F82610"/>
    <w:rsid w:val="00F85B51"/>
    <w:rsid w:val="00F85C82"/>
    <w:rsid w:val="00F87529"/>
    <w:rsid w:val="00F90721"/>
    <w:rsid w:val="00F90E5D"/>
    <w:rsid w:val="00F9239E"/>
    <w:rsid w:val="00F945B0"/>
    <w:rsid w:val="00F94D5D"/>
    <w:rsid w:val="00F95109"/>
    <w:rsid w:val="00FA0B5B"/>
    <w:rsid w:val="00FA1C0D"/>
    <w:rsid w:val="00FA2674"/>
    <w:rsid w:val="00FA297F"/>
    <w:rsid w:val="00FA474C"/>
    <w:rsid w:val="00FA4F59"/>
    <w:rsid w:val="00FA6D58"/>
    <w:rsid w:val="00FA765F"/>
    <w:rsid w:val="00FA770D"/>
    <w:rsid w:val="00FA7AA5"/>
    <w:rsid w:val="00FB0E61"/>
    <w:rsid w:val="00FB187F"/>
    <w:rsid w:val="00FB221B"/>
    <w:rsid w:val="00FB3A94"/>
    <w:rsid w:val="00FB3B9B"/>
    <w:rsid w:val="00FB4430"/>
    <w:rsid w:val="00FB4C6F"/>
    <w:rsid w:val="00FB5475"/>
    <w:rsid w:val="00FB5F1D"/>
    <w:rsid w:val="00FB63E9"/>
    <w:rsid w:val="00FB63EA"/>
    <w:rsid w:val="00FB6E9A"/>
    <w:rsid w:val="00FC0D47"/>
    <w:rsid w:val="00FC0ED1"/>
    <w:rsid w:val="00FC3191"/>
    <w:rsid w:val="00FC4891"/>
    <w:rsid w:val="00FC60B8"/>
    <w:rsid w:val="00FD17E9"/>
    <w:rsid w:val="00FD1BD5"/>
    <w:rsid w:val="00FD43CF"/>
    <w:rsid w:val="00FD4584"/>
    <w:rsid w:val="00FD7105"/>
    <w:rsid w:val="00FE0694"/>
    <w:rsid w:val="00FE1001"/>
    <w:rsid w:val="00FE168B"/>
    <w:rsid w:val="00FE234E"/>
    <w:rsid w:val="00FE2CB3"/>
    <w:rsid w:val="00FE3B7B"/>
    <w:rsid w:val="00FE546B"/>
    <w:rsid w:val="00FE54CE"/>
    <w:rsid w:val="00FE67B0"/>
    <w:rsid w:val="00FF1160"/>
    <w:rsid w:val="00FF3DF1"/>
    <w:rsid w:val="00FF424F"/>
    <w:rsid w:val="00FF5A6F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D74A"/>
  <w15:docId w15:val="{460E007A-2364-49BF-891C-850E056A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hr-H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0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7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aliases w:val="ECDC AF Heading 1"/>
    <w:basedOn w:val="Normal"/>
    <w:next w:val="Normal"/>
    <w:link w:val="Heading1Char"/>
    <w:qFormat/>
    <w:rsid w:val="00DA3A70"/>
    <w:pPr>
      <w:keepNext/>
      <w:spacing w:after="0" w:line="240" w:lineRule="auto"/>
      <w:outlineLvl w:val="0"/>
    </w:pPr>
    <w:rPr>
      <w:rFonts w:ascii="Times New Roman" w:eastAsia="MS Mincho" w:hAnsi="Times New Roman"/>
      <w:b/>
      <w:sz w:val="24"/>
      <w:szCs w:val="24"/>
    </w:rPr>
  </w:style>
  <w:style w:type="paragraph" w:styleId="Heading2">
    <w:name w:val="heading 2"/>
    <w:aliases w:val="ECDC AF Heading 2"/>
    <w:basedOn w:val="Normal"/>
    <w:next w:val="Paragrafoelenco1"/>
    <w:link w:val="Heading2Char"/>
    <w:autoRedefine/>
    <w:uiPriority w:val="9"/>
    <w:qFormat/>
    <w:rsid w:val="00DA3A70"/>
    <w:pPr>
      <w:keepNext/>
      <w:keepLines/>
      <w:spacing w:before="240" w:after="240" w:line="240" w:lineRule="auto"/>
      <w:jc w:val="both"/>
      <w:outlineLvl w:val="1"/>
    </w:pPr>
    <w:rPr>
      <w:rFonts w:ascii="Tahoma" w:hAnsi="Tahoma"/>
      <w:b/>
      <w:bCs/>
      <w:i/>
      <w:color w:val="008000"/>
      <w:sz w:val="26"/>
      <w:szCs w:val="26"/>
    </w:rPr>
  </w:style>
  <w:style w:type="paragraph" w:styleId="Heading3">
    <w:name w:val="heading 3"/>
    <w:aliases w:val="ECDC AF Heading 3"/>
    <w:basedOn w:val="Normal"/>
    <w:next w:val="Normal"/>
    <w:link w:val="Heading3Char"/>
    <w:autoRedefine/>
    <w:uiPriority w:val="9"/>
    <w:qFormat/>
    <w:rsid w:val="00DA3A70"/>
    <w:pPr>
      <w:keepNext/>
      <w:keepLines/>
      <w:spacing w:before="240" w:after="240" w:line="240" w:lineRule="auto"/>
      <w:outlineLvl w:val="2"/>
    </w:pPr>
    <w:rPr>
      <w:rFonts w:ascii="Tahoma" w:hAnsi="Tahoma"/>
      <w:b/>
      <w:bCs/>
      <w:color w:val="1F497D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1D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8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DC AF Heading 1 Char"/>
    <w:link w:val="Heading1"/>
    <w:rsid w:val="00DA3A70"/>
    <w:rPr>
      <w:rFonts w:ascii="Times New Roman" w:eastAsia="MS Mincho" w:hAnsi="Times New Roman" w:cs="Times New Roman"/>
      <w:b/>
      <w:sz w:val="24"/>
      <w:szCs w:val="24"/>
      <w:lang w:eastAsia="hr-HR"/>
    </w:rPr>
  </w:style>
  <w:style w:type="character" w:customStyle="1" w:styleId="Heading2Char">
    <w:name w:val="Heading 2 Char"/>
    <w:aliases w:val="ECDC AF Heading 2 Char"/>
    <w:link w:val="Heading2"/>
    <w:uiPriority w:val="9"/>
    <w:rsid w:val="00DA3A70"/>
    <w:rPr>
      <w:rFonts w:ascii="Tahoma" w:eastAsia="Times New Roman" w:hAnsi="Tahoma" w:cs="Times New Roman"/>
      <w:b/>
      <w:bCs/>
      <w:i/>
      <w:color w:val="008000"/>
      <w:sz w:val="26"/>
      <w:szCs w:val="26"/>
    </w:rPr>
  </w:style>
  <w:style w:type="character" w:customStyle="1" w:styleId="Heading3Char">
    <w:name w:val="Heading 3 Char"/>
    <w:aliases w:val="ECDC AF Heading 3 Char"/>
    <w:link w:val="Heading3"/>
    <w:uiPriority w:val="9"/>
    <w:rsid w:val="00DA3A70"/>
    <w:rPr>
      <w:rFonts w:ascii="Tahoma" w:eastAsia="Times New Roman" w:hAnsi="Tahoma" w:cs="Times New Roman"/>
      <w:b/>
      <w:bCs/>
      <w:color w:val="1F497D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A3A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3A70"/>
    <w:rPr>
      <w:rFonts w:ascii="Tahoma" w:eastAsia="Times New Roman" w:hAnsi="Tahoma" w:cs="Times New Roman"/>
      <w:sz w:val="16"/>
      <w:szCs w:val="16"/>
      <w:lang w:val="hr-HR" w:eastAsia="hr-HR"/>
    </w:rPr>
  </w:style>
  <w:style w:type="paragraph" w:customStyle="1" w:styleId="ListParagraph1">
    <w:name w:val="List Paragraph1"/>
    <w:basedOn w:val="Normal"/>
    <w:uiPriority w:val="34"/>
    <w:qFormat/>
    <w:rsid w:val="00DA3A70"/>
    <w:pPr>
      <w:ind w:left="720"/>
      <w:contextualSpacing/>
    </w:pPr>
  </w:style>
  <w:style w:type="character" w:styleId="Hyperlink">
    <w:name w:val="Hyperlink"/>
    <w:rsid w:val="00DA3A70"/>
    <w:rPr>
      <w:color w:val="0000FF"/>
      <w:u w:val="single"/>
    </w:rPr>
  </w:style>
  <w:style w:type="paragraph" w:styleId="CommentText">
    <w:name w:val="annotation text"/>
    <w:basedOn w:val="Normal"/>
    <w:link w:val="CommentTextChar1"/>
    <w:uiPriority w:val="99"/>
    <w:unhideWhenUsed/>
    <w:rsid w:val="00DA3A7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uiPriority w:val="99"/>
    <w:rsid w:val="00DA3A70"/>
    <w:rPr>
      <w:rFonts w:eastAsia="Times New Roman" w:cs="Times New Roman"/>
      <w:lang w:val="hr-HR" w:eastAsia="hr-HR"/>
    </w:rPr>
  </w:style>
  <w:style w:type="character" w:customStyle="1" w:styleId="CommentTextChar1">
    <w:name w:val="Comment Text Char1"/>
    <w:link w:val="CommentText"/>
    <w:uiPriority w:val="99"/>
    <w:rsid w:val="00DA3A70"/>
    <w:rPr>
      <w:rFonts w:ascii="Calibri" w:eastAsia="Calibri" w:hAnsi="Calibri" w:cs="Times New Roman"/>
      <w:sz w:val="20"/>
      <w:szCs w:val="20"/>
      <w:lang w:val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A3A70"/>
    <w:rPr>
      <w:rFonts w:ascii="Courier New" w:eastAsia="Times New Roman" w:hAnsi="Courier New" w:cs="Times New Roman"/>
      <w:sz w:val="20"/>
      <w:szCs w:val="20"/>
      <w:lang w:val="hr-HR" w:eastAsia="hr-HR"/>
    </w:rPr>
  </w:style>
  <w:style w:type="character" w:styleId="CommentReference">
    <w:name w:val="annotation reference"/>
    <w:uiPriority w:val="99"/>
    <w:semiHidden/>
    <w:unhideWhenUsed/>
    <w:rsid w:val="00DA3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A70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3A70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DA3A7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DA3A70"/>
    <w:rPr>
      <w:rFonts w:ascii="Calibri" w:eastAsia="Times New Roman" w:hAnsi="Calibri" w:cs="Times New Roman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DA3A7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DA3A70"/>
    <w:rPr>
      <w:rFonts w:ascii="Calibri" w:eastAsia="Times New Roman" w:hAnsi="Calibri" w:cs="Times New Roman"/>
      <w:lang w:val="hr-HR" w:eastAsia="hr-HR"/>
    </w:rPr>
  </w:style>
  <w:style w:type="paragraph" w:styleId="FootnoteText">
    <w:name w:val="footnote text"/>
    <w:basedOn w:val="Normal"/>
    <w:link w:val="FootnoteTextChar"/>
    <w:unhideWhenUsed/>
    <w:rsid w:val="00DA3A70"/>
    <w:rPr>
      <w:sz w:val="20"/>
      <w:szCs w:val="20"/>
    </w:rPr>
  </w:style>
  <w:style w:type="character" w:customStyle="1" w:styleId="FootnoteTextChar">
    <w:name w:val="Footnote Text Char"/>
    <w:link w:val="FootnoteText"/>
    <w:rsid w:val="00DA3A70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unhideWhenUsed/>
    <w:rsid w:val="00DA3A70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3A7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A3A70"/>
    <w:rPr>
      <w:rFonts w:ascii="Consolas" w:eastAsia="Calibri" w:hAnsi="Consolas" w:cs="Times New Roman"/>
      <w:sz w:val="21"/>
      <w:szCs w:val="21"/>
      <w:lang w:val="hr-HR"/>
    </w:rPr>
  </w:style>
  <w:style w:type="paragraph" w:customStyle="1" w:styleId="Revision1">
    <w:name w:val="Revision1"/>
    <w:hidden/>
    <w:uiPriority w:val="99"/>
    <w:semiHidden/>
    <w:rsid w:val="00DA3A70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DA3A70"/>
    <w:rPr>
      <w:i/>
      <w:iCs/>
    </w:rPr>
  </w:style>
  <w:style w:type="character" w:styleId="Strong">
    <w:name w:val="Strong"/>
    <w:uiPriority w:val="22"/>
    <w:qFormat/>
    <w:rsid w:val="00DA3A70"/>
    <w:rPr>
      <w:b/>
      <w:bCs/>
    </w:rPr>
  </w:style>
  <w:style w:type="character" w:customStyle="1" w:styleId="cit-sep3">
    <w:name w:val="cit-sep3"/>
    <w:basedOn w:val="DefaultParagraphFont"/>
    <w:rsid w:val="00DA3A70"/>
  </w:style>
  <w:style w:type="character" w:styleId="HTMLCite">
    <w:name w:val="HTML Cite"/>
    <w:uiPriority w:val="99"/>
    <w:semiHidden/>
    <w:unhideWhenUsed/>
    <w:rsid w:val="00DA3A70"/>
    <w:rPr>
      <w:i/>
      <w:iCs/>
    </w:rPr>
  </w:style>
  <w:style w:type="character" w:customStyle="1" w:styleId="cit-title3">
    <w:name w:val="cit-title3"/>
    <w:basedOn w:val="DefaultParagraphFont"/>
    <w:rsid w:val="00DA3A70"/>
  </w:style>
  <w:style w:type="character" w:customStyle="1" w:styleId="cit-print-date">
    <w:name w:val="cit-print-date"/>
    <w:basedOn w:val="DefaultParagraphFont"/>
    <w:rsid w:val="00DA3A70"/>
  </w:style>
  <w:style w:type="character" w:customStyle="1" w:styleId="cit-vol">
    <w:name w:val="cit-vol"/>
    <w:basedOn w:val="DefaultParagraphFont"/>
    <w:rsid w:val="00DA3A70"/>
  </w:style>
  <w:style w:type="character" w:customStyle="1" w:styleId="cit-first-page">
    <w:name w:val="cit-first-page"/>
    <w:basedOn w:val="DefaultParagraphFont"/>
    <w:rsid w:val="00DA3A70"/>
  </w:style>
  <w:style w:type="character" w:customStyle="1" w:styleId="cit-last-page">
    <w:name w:val="cit-last-page"/>
    <w:basedOn w:val="DefaultParagraphFont"/>
    <w:rsid w:val="00DA3A70"/>
  </w:style>
  <w:style w:type="character" w:customStyle="1" w:styleId="search-result-highlight1">
    <w:name w:val="search-result-highlight1"/>
    <w:rsid w:val="00DA3A70"/>
    <w:rPr>
      <w:b/>
      <w:bCs/>
      <w:color w:val="CC0000"/>
    </w:rPr>
  </w:style>
  <w:style w:type="character" w:customStyle="1" w:styleId="cit-auth2">
    <w:name w:val="cit-auth2"/>
    <w:basedOn w:val="DefaultParagraphFont"/>
    <w:rsid w:val="00DA3A70"/>
  </w:style>
  <w:style w:type="character" w:customStyle="1" w:styleId="cit-sep4">
    <w:name w:val="cit-sep4"/>
    <w:basedOn w:val="DefaultParagraphFont"/>
    <w:rsid w:val="00DA3A70"/>
  </w:style>
  <w:style w:type="character" w:customStyle="1" w:styleId="cit-title9">
    <w:name w:val="cit-title9"/>
    <w:basedOn w:val="DefaultParagraphFont"/>
    <w:rsid w:val="00DA3A70"/>
  </w:style>
  <w:style w:type="character" w:customStyle="1" w:styleId="cit-subtitle">
    <w:name w:val="cit-subtitle"/>
    <w:basedOn w:val="DefaultParagraphFont"/>
    <w:rsid w:val="00DA3A70"/>
  </w:style>
  <w:style w:type="character" w:customStyle="1" w:styleId="cit-vol2">
    <w:name w:val="cit-vol2"/>
    <w:basedOn w:val="DefaultParagraphFont"/>
    <w:rsid w:val="00DA3A70"/>
  </w:style>
  <w:style w:type="character" w:customStyle="1" w:styleId="cit-issue">
    <w:name w:val="cit-issue"/>
    <w:basedOn w:val="DefaultParagraphFont"/>
    <w:rsid w:val="00DA3A70"/>
  </w:style>
  <w:style w:type="character" w:customStyle="1" w:styleId="cit-last-page2">
    <w:name w:val="cit-last-page2"/>
    <w:basedOn w:val="DefaultParagraphFont"/>
    <w:rsid w:val="00DA3A70"/>
  </w:style>
  <w:style w:type="paragraph" w:customStyle="1" w:styleId="Pa4">
    <w:name w:val="Pa4"/>
    <w:basedOn w:val="Normal"/>
    <w:next w:val="Normal"/>
    <w:uiPriority w:val="99"/>
    <w:rsid w:val="00DA3A70"/>
    <w:pPr>
      <w:autoSpaceDE w:val="0"/>
      <w:autoSpaceDN w:val="0"/>
      <w:adjustRightInd w:val="0"/>
      <w:spacing w:after="0" w:line="201" w:lineRule="atLeast"/>
    </w:pPr>
    <w:rPr>
      <w:rFonts w:ascii="Minion Pro" w:eastAsia="MS Mincho" w:hAnsi="Minion Pro"/>
      <w:sz w:val="24"/>
      <w:szCs w:val="24"/>
    </w:rPr>
  </w:style>
  <w:style w:type="character" w:customStyle="1" w:styleId="ja50-ce-author1">
    <w:name w:val="ja50-ce-author1"/>
    <w:rsid w:val="00DA3A70"/>
    <w:rPr>
      <w:color w:val="808080"/>
      <w:sz w:val="23"/>
      <w:szCs w:val="23"/>
    </w:rPr>
  </w:style>
  <w:style w:type="character" w:customStyle="1" w:styleId="ja50-ce-title2">
    <w:name w:val="ja50-ce-title2"/>
    <w:rsid w:val="00DA3A70"/>
    <w:rPr>
      <w:b/>
      <w:bCs/>
      <w:color w:val="000000"/>
      <w:sz w:val="24"/>
      <w:szCs w:val="24"/>
    </w:rPr>
  </w:style>
  <w:style w:type="paragraph" w:customStyle="1" w:styleId="Elencoacolori-Colore11">
    <w:name w:val="Elenco a colori - Colore 11"/>
    <w:basedOn w:val="Normal"/>
    <w:uiPriority w:val="34"/>
    <w:qFormat/>
    <w:rsid w:val="00DA3A70"/>
    <w:pPr>
      <w:ind w:left="720"/>
      <w:contextualSpacing/>
    </w:pPr>
  </w:style>
  <w:style w:type="paragraph" w:customStyle="1" w:styleId="Elencoacolori-Colore12">
    <w:name w:val="Elenco a colori - Colore 12"/>
    <w:basedOn w:val="Normal"/>
    <w:qFormat/>
    <w:rsid w:val="00DA3A70"/>
    <w:pPr>
      <w:ind w:left="720"/>
      <w:contextualSpacing/>
    </w:pPr>
  </w:style>
  <w:style w:type="table" w:styleId="TableGrid">
    <w:name w:val="Table Grid"/>
    <w:basedOn w:val="TableNormal"/>
    <w:uiPriority w:val="39"/>
    <w:rsid w:val="00DA3A70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0"/>
    <w:rsid w:val="00DA3A70"/>
    <w:pPr>
      <w:spacing w:after="0" w:line="240" w:lineRule="auto"/>
    </w:pPr>
    <w:rPr>
      <w:rFonts w:ascii="Tahoma" w:eastAsia="Calibri" w:hAnsi="Tahoma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TOCHeading">
    <w:name w:val="TOC Heading"/>
    <w:basedOn w:val="Heading1"/>
    <w:next w:val="Normal"/>
    <w:uiPriority w:val="39"/>
    <w:qFormat/>
    <w:rsid w:val="00DA3A70"/>
    <w:pPr>
      <w:keepLines/>
      <w:spacing w:before="240" w:after="600"/>
      <w:jc w:val="center"/>
      <w:outlineLvl w:val="9"/>
    </w:pPr>
    <w:rPr>
      <w:rFonts w:ascii="Tahoma" w:eastAsia="Times New Roman" w:hAnsi="Tahoma"/>
      <w:bCs/>
      <w:color w:val="008000"/>
      <w:sz w:val="28"/>
      <w:szCs w:val="28"/>
    </w:rPr>
  </w:style>
  <w:style w:type="paragraph" w:styleId="Title">
    <w:name w:val="Title"/>
    <w:aliases w:val="ECDC AF Title"/>
    <w:basedOn w:val="Normal"/>
    <w:next w:val="Normal"/>
    <w:link w:val="TitleChar"/>
    <w:autoRedefine/>
    <w:uiPriority w:val="10"/>
    <w:qFormat/>
    <w:rsid w:val="00DA3A70"/>
    <w:pPr>
      <w:spacing w:before="240" w:after="360" w:line="240" w:lineRule="auto"/>
      <w:jc w:val="center"/>
    </w:pPr>
    <w:rPr>
      <w:rFonts w:ascii="Tahoma" w:hAnsi="Tahoma"/>
      <w:b/>
      <w:spacing w:val="5"/>
      <w:kern w:val="28"/>
      <w:sz w:val="28"/>
      <w:szCs w:val="52"/>
    </w:rPr>
  </w:style>
  <w:style w:type="character" w:customStyle="1" w:styleId="TitleChar">
    <w:name w:val="Title Char"/>
    <w:aliases w:val="ECDC AF Title Char"/>
    <w:link w:val="Title"/>
    <w:uiPriority w:val="10"/>
    <w:rsid w:val="00DA3A70"/>
    <w:rPr>
      <w:rFonts w:ascii="Tahoma" w:eastAsia="Times New Roman" w:hAnsi="Tahoma" w:cs="Times New Roman"/>
      <w:b/>
      <w:spacing w:val="5"/>
      <w:kern w:val="28"/>
      <w:sz w:val="28"/>
      <w:szCs w:val="52"/>
    </w:rPr>
  </w:style>
  <w:style w:type="paragraph" w:customStyle="1" w:styleId="Paragrafoelenco1">
    <w:name w:val="Paragrafo elenco1"/>
    <w:aliases w:val="ECDC AF Paragraph"/>
    <w:basedOn w:val="Normal"/>
    <w:autoRedefine/>
    <w:uiPriority w:val="34"/>
    <w:qFormat/>
    <w:rsid w:val="00DA3A70"/>
    <w:pPr>
      <w:numPr>
        <w:numId w:val="7"/>
      </w:numPr>
      <w:tabs>
        <w:tab w:val="left" w:pos="567"/>
      </w:tabs>
      <w:spacing w:before="120" w:after="120" w:line="240" w:lineRule="auto"/>
      <w:ind w:left="0" w:firstLine="0"/>
      <w:jc w:val="both"/>
    </w:pPr>
    <w:rPr>
      <w:rFonts w:ascii="Tahoma" w:eastAsia="Calibri" w:hAnsi="Tahoma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3A70"/>
    <w:pPr>
      <w:spacing w:before="120" w:after="100" w:line="240" w:lineRule="auto"/>
    </w:pPr>
    <w:rPr>
      <w:rFonts w:ascii="Tahoma" w:eastAsia="Calibri" w:hAnsi="Tahom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200"/>
    </w:pPr>
    <w:rPr>
      <w:rFonts w:ascii="Tahoma" w:eastAsia="Calibri" w:hAnsi="Tahom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A3A70"/>
    <w:pPr>
      <w:spacing w:before="120" w:after="100" w:line="240" w:lineRule="auto"/>
      <w:ind w:left="400"/>
    </w:pPr>
    <w:rPr>
      <w:rFonts w:ascii="Tahoma" w:eastAsia="Calibri" w:hAnsi="Tahoma"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DA3A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DA3A7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DA3A70"/>
    <w:rPr>
      <w:rFonts w:ascii="Times New Roman" w:hAnsi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A3A70"/>
    <w:pPr>
      <w:spacing w:after="0"/>
      <w:jc w:val="center"/>
    </w:pPr>
    <w:rPr>
      <w:noProof/>
      <w:sz w:val="20"/>
    </w:rPr>
  </w:style>
  <w:style w:type="character" w:customStyle="1" w:styleId="EndNoteBibliographyTitleChar">
    <w:name w:val="EndNote Bibliography Title Char"/>
    <w:link w:val="EndNoteBibliographyTitle"/>
    <w:rsid w:val="00DA3A70"/>
    <w:rPr>
      <w:rFonts w:ascii="Calibri" w:eastAsia="Times New Roman" w:hAnsi="Calibri" w:cs="Times New Roman"/>
      <w:noProof/>
      <w:sz w:val="20"/>
      <w:lang w:val="hr-HR" w:eastAsia="hr-HR"/>
    </w:rPr>
  </w:style>
  <w:style w:type="paragraph" w:customStyle="1" w:styleId="EndNoteBibliography">
    <w:name w:val="EndNote Bibliography"/>
    <w:basedOn w:val="Normal"/>
    <w:link w:val="EndNoteBibliographyChar"/>
    <w:rsid w:val="00DA3A70"/>
    <w:pPr>
      <w:spacing w:line="240" w:lineRule="auto"/>
      <w:jc w:val="both"/>
    </w:pPr>
    <w:rPr>
      <w:noProof/>
      <w:sz w:val="20"/>
    </w:rPr>
  </w:style>
  <w:style w:type="character" w:customStyle="1" w:styleId="EndNoteBibliographyChar">
    <w:name w:val="EndNote Bibliography Char"/>
    <w:link w:val="EndNoteBibliography"/>
    <w:rsid w:val="00DA3A70"/>
    <w:rPr>
      <w:rFonts w:ascii="Calibri" w:eastAsia="Times New Roman" w:hAnsi="Calibri" w:cs="Times New Roman"/>
      <w:noProof/>
      <w:sz w:val="20"/>
      <w:lang w:val="hr-HR" w:eastAsia="hr-HR"/>
    </w:rPr>
  </w:style>
  <w:style w:type="character" w:styleId="FollowedHyperlink">
    <w:name w:val="FollowedHyperlink"/>
    <w:uiPriority w:val="99"/>
    <w:semiHidden/>
    <w:unhideWhenUsed/>
    <w:rsid w:val="00DA3A70"/>
    <w:rPr>
      <w:color w:val="954F72"/>
      <w:u w:val="single"/>
    </w:rPr>
  </w:style>
  <w:style w:type="paragraph" w:customStyle="1" w:styleId="MediumGrid21">
    <w:name w:val="Medium Grid 21"/>
    <w:uiPriority w:val="1"/>
    <w:qFormat/>
    <w:rsid w:val="00DA3A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yperlink0">
    <w:name w:val="Hyperlink.0"/>
    <w:rsid w:val="00DA3A70"/>
  </w:style>
  <w:style w:type="character" w:customStyle="1" w:styleId="hide1">
    <w:name w:val="hide1"/>
    <w:rsid w:val="00DA3A70"/>
    <w:rPr>
      <w:vanish/>
      <w:webHidden w:val="0"/>
      <w:specVanish w:val="0"/>
    </w:rPr>
  </w:style>
  <w:style w:type="paragraph" w:customStyle="1" w:styleId="Default">
    <w:name w:val="Default"/>
    <w:rsid w:val="00DA3A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DA3A70"/>
    <w:pPr>
      <w:ind w:left="720"/>
    </w:pPr>
  </w:style>
  <w:style w:type="table" w:customStyle="1" w:styleId="GridTable4-Accent31">
    <w:name w:val="Grid Table 4 - Accent 31"/>
    <w:basedOn w:val="TableNormal"/>
    <w:next w:val="GridTable4-Accent32"/>
    <w:uiPriority w:val="49"/>
    <w:rsid w:val="00DA3A7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2">
    <w:name w:val="Grid Table 4 - Accent 32"/>
    <w:basedOn w:val="TableNormal"/>
    <w:uiPriority w:val="49"/>
    <w:rsid w:val="00DA3A7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m2344583173576020509msolistparagraph">
    <w:name w:val="m_2344583173576020509msolistparagraph"/>
    <w:basedOn w:val="Normal"/>
    <w:rsid w:val="00DA3A7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table" w:styleId="MediumShading2-Accent4">
    <w:name w:val="Medium Shading 2 Accent 4"/>
    <w:basedOn w:val="TableNormal"/>
    <w:uiPriority w:val="60"/>
    <w:rsid w:val="00DA3A70"/>
    <w:pPr>
      <w:spacing w:after="0" w:line="240" w:lineRule="auto"/>
    </w:pPr>
    <w:rPr>
      <w:rFonts w:ascii="Tahoma" w:eastAsia="Calibri" w:hAnsi="Tahoma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odyText">
    <w:name w:val="Body Text"/>
    <w:basedOn w:val="Normal"/>
    <w:link w:val="BodyTextChar"/>
    <w:uiPriority w:val="1"/>
    <w:qFormat/>
    <w:rsid w:val="00DA3A70"/>
    <w:pPr>
      <w:widowControl w:val="0"/>
      <w:spacing w:after="0" w:line="240" w:lineRule="auto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A3A70"/>
    <w:rPr>
      <w:rFonts w:ascii="Calibri" w:eastAsia="Calibri" w:hAnsi="Calibri" w:cs="Calibri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EA1DD2"/>
    <w:rPr>
      <w:rFonts w:asciiTheme="majorHAnsi" w:eastAsiaTheme="majorEastAsia" w:hAnsiTheme="majorHAnsi" w:cstheme="majorBidi"/>
      <w:i/>
      <w:iCs/>
      <w:color w:val="2E74B5" w:themeColor="accent1" w:themeShade="BF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E93802"/>
    <w:rPr>
      <w:rFonts w:asciiTheme="majorHAnsi" w:eastAsiaTheme="majorEastAsia" w:hAnsiTheme="majorHAnsi" w:cstheme="majorBidi"/>
      <w:color w:val="2E74B5" w:themeColor="accent1" w:themeShade="BF"/>
      <w:lang w:val="hr-HR" w:eastAsia="hr-HR"/>
    </w:rPr>
  </w:style>
  <w:style w:type="paragraph" w:customStyle="1" w:styleId="EC-Title-5">
    <w:name w:val="EC-Title-5"/>
    <w:next w:val="Normal"/>
    <w:link w:val="EC-Title-5CharChar"/>
    <w:qFormat/>
    <w:rsid w:val="00E93802"/>
    <w:pPr>
      <w:autoSpaceDE w:val="0"/>
      <w:autoSpaceDN w:val="0"/>
      <w:adjustRightInd w:val="0"/>
      <w:spacing w:before="240" w:after="120" w:line="241" w:lineRule="atLeast"/>
      <w:outlineLvl w:val="1"/>
    </w:pPr>
    <w:rPr>
      <w:rFonts w:ascii="Tahoma" w:eastAsia="Batang" w:hAnsi="Tahoma" w:cs="Tahoma"/>
      <w:b/>
      <w:bCs/>
      <w:color w:val="69AE23"/>
      <w:sz w:val="30"/>
      <w:szCs w:val="30"/>
    </w:rPr>
  </w:style>
  <w:style w:type="character" w:customStyle="1" w:styleId="EC-Title-5CharChar">
    <w:name w:val="EC-Title-5 Char Char"/>
    <w:basedOn w:val="DefaultParagraphFont"/>
    <w:link w:val="EC-Title-5"/>
    <w:rsid w:val="00E93802"/>
    <w:rPr>
      <w:rFonts w:ascii="Tahoma" w:eastAsia="Batang" w:hAnsi="Tahoma" w:cs="Tahoma"/>
      <w:b/>
      <w:bCs/>
      <w:color w:val="69AE23"/>
      <w:sz w:val="30"/>
      <w:szCs w:val="30"/>
    </w:rPr>
  </w:style>
  <w:style w:type="paragraph" w:customStyle="1" w:styleId="EC-Title-6">
    <w:name w:val="EC-Title-6"/>
    <w:next w:val="Normal"/>
    <w:link w:val="EC-Title-6CharChar"/>
    <w:qFormat/>
    <w:rsid w:val="00E93802"/>
    <w:pPr>
      <w:widowControl w:val="0"/>
      <w:spacing w:before="120" w:after="120" w:line="240" w:lineRule="auto"/>
      <w:outlineLvl w:val="2"/>
    </w:pPr>
    <w:rPr>
      <w:rFonts w:ascii="Tahoma" w:eastAsia="Batang" w:hAnsi="Tahoma" w:cs="Tahoma"/>
      <w:b/>
      <w:bCs/>
      <w:color w:val="69AE23"/>
      <w:sz w:val="26"/>
      <w:szCs w:val="26"/>
    </w:rPr>
  </w:style>
  <w:style w:type="character" w:customStyle="1" w:styleId="EC-Title-6CharChar">
    <w:name w:val="EC-Title-6 Char Char"/>
    <w:link w:val="EC-Title-6"/>
    <w:rsid w:val="00E93802"/>
    <w:rPr>
      <w:rFonts w:ascii="Tahoma" w:eastAsia="Batang" w:hAnsi="Tahoma" w:cs="Tahoma"/>
      <w:b/>
      <w:bCs/>
      <w:color w:val="69AE23"/>
      <w:sz w:val="26"/>
      <w:szCs w:val="26"/>
    </w:rPr>
  </w:style>
  <w:style w:type="paragraph" w:customStyle="1" w:styleId="EC-Title-7">
    <w:name w:val="EC-Title-7"/>
    <w:next w:val="Normal"/>
    <w:link w:val="EC-Title-7Char"/>
    <w:qFormat/>
    <w:rsid w:val="00083CEE"/>
    <w:pPr>
      <w:spacing w:before="120" w:after="0" w:line="240" w:lineRule="auto"/>
      <w:outlineLvl w:val="3"/>
    </w:pPr>
    <w:rPr>
      <w:rFonts w:ascii="Tahoma" w:eastAsia="Times New Roman" w:hAnsi="Tahoma" w:cs="Tahoma"/>
      <w:b/>
      <w:bCs/>
      <w:i/>
      <w:color w:val="69AE23"/>
    </w:rPr>
  </w:style>
  <w:style w:type="character" w:customStyle="1" w:styleId="EC-Title-7Char">
    <w:name w:val="EC-Title-7 Char"/>
    <w:basedOn w:val="DefaultParagraphFont"/>
    <w:link w:val="EC-Title-7"/>
    <w:rsid w:val="00083CEE"/>
    <w:rPr>
      <w:rFonts w:ascii="Tahoma" w:eastAsia="Times New Roman" w:hAnsi="Tahoma" w:cs="Tahoma"/>
      <w:b/>
      <w:bCs/>
      <w:i/>
      <w:color w:val="69AE23"/>
    </w:rPr>
  </w:style>
  <w:style w:type="paragraph" w:styleId="Revision">
    <w:name w:val="Revision"/>
    <w:hidden/>
    <w:uiPriority w:val="99"/>
    <w:semiHidden/>
    <w:rsid w:val="00CA57F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dc.europa.eu/en/tuberculos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sne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F20F6-5AC0-4A10-B460-1B513C02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6324</Words>
  <Characters>36052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42292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Nea Pakarinen</cp:lastModifiedBy>
  <cp:revision>3</cp:revision>
  <cp:lastPrinted>2018-05-24T11:29:00Z</cp:lastPrinted>
  <dcterms:created xsi:type="dcterms:W3CDTF">2018-09-07T13:51:00Z</dcterms:created>
  <dcterms:modified xsi:type="dcterms:W3CDTF">2018-09-07T13:58:00Z</dcterms:modified>
</cp:coreProperties>
</file>