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 w:rsidR="00DA3A70" w:rsidRPr="00D17AE2" w:rsidP="000D0DB0">
      <w:pPr>
        <w:pStyle w:val="EC-Title-5"/>
        <w:rPr>
          <w:b w:val="0"/>
          <w:spacing w:val="-10"/>
          <w:sz w:val="24"/>
        </w:rPr>
      </w:pPr>
      <w:r w:rsidRPr="00D17AE2">
        <w:t>Štandardy Európskej únie na liečbu tuberkulózy - aktualizácia 2017</w:t>
      </w:r>
    </w:p>
    <w:p w:rsidR="008745B1" w:rsidRPr="00D17AE2" w:rsidP="000D0DB0">
      <w:pPr>
        <w:autoSpaceDE w:val="0"/>
        <w:autoSpaceDN w:val="0"/>
        <w:adjustRightInd w:val="0"/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Európske centrum pre prevenciu a kontrolu chorôb (ECDC) a</w:t>
      </w:r>
      <w:r w:rsidRPr="00D17AE2" w:rsidR="008A6A68">
        <w:rPr>
          <w:rFonts w:ascii="Tahoma" w:hAnsi="Tahoma"/>
          <w:sz w:val="18"/>
        </w:rPr>
        <w:t> </w:t>
      </w:r>
      <w:r w:rsidRPr="00D17AE2">
        <w:rPr>
          <w:rFonts w:ascii="Tahoma" w:hAnsi="Tahoma"/>
          <w:sz w:val="18"/>
        </w:rPr>
        <w:t>Európska</w:t>
      </w:r>
      <w:r w:rsidRPr="00D17AE2" w:rsidR="008A6A68">
        <w:rPr>
          <w:rFonts w:ascii="Tahoma" w:hAnsi="Tahoma"/>
          <w:sz w:val="18"/>
        </w:rPr>
        <w:t xml:space="preserve"> respiračná</w:t>
      </w:r>
      <w:r w:rsidRPr="00D17AE2">
        <w:rPr>
          <w:rFonts w:ascii="Tahoma" w:hAnsi="Tahoma"/>
          <w:sz w:val="18"/>
        </w:rPr>
        <w:t xml:space="preserve"> spoločnosť (ERS) vypracovali 21 štandardov zameraných na pacienta ako usmernenie pre prácu lekárov a zdravotníckych pracovníkov s cieľom zabezpečiť optimálnu diagnostiku, liečbu a prevenciu tuberkulózy (TBC) v Európe. V roku 2017 boli Štandardy Európskej únie na liečbu tuberkulózy (ESTC) aktualizované tak, aby zahŕňali najnovš</w:t>
      </w:r>
      <w:r w:rsidRPr="00D17AE2" w:rsidR="008A6A68">
        <w:rPr>
          <w:rFonts w:ascii="Tahoma" w:hAnsi="Tahoma"/>
          <w:sz w:val="18"/>
        </w:rPr>
        <w:t>ie</w:t>
      </w:r>
      <w:r w:rsidRPr="00D17AE2">
        <w:rPr>
          <w:rFonts w:ascii="Tahoma" w:hAnsi="Tahoma"/>
          <w:sz w:val="18"/>
        </w:rPr>
        <w:t xml:space="preserve"> technologick</w:t>
      </w:r>
      <w:r w:rsidRPr="00D17AE2" w:rsidR="008A6A68">
        <w:rPr>
          <w:rFonts w:ascii="Tahoma" w:hAnsi="Tahoma"/>
          <w:sz w:val="18"/>
        </w:rPr>
        <w:t>é</w:t>
      </w:r>
      <w:r w:rsidRPr="00D17AE2">
        <w:rPr>
          <w:rFonts w:ascii="Tahoma" w:hAnsi="Tahoma"/>
          <w:sz w:val="18"/>
        </w:rPr>
        <w:t xml:space="preserve"> vývojové trendy a medzinárodné odporúčania pre diagnostiku, liečbu a prevenciu TBC.</w:t>
      </w:r>
    </w:p>
    <w:p w:rsidR="00E93802" w:rsidRPr="00D17AE2" w:rsidP="0028467E">
      <w:pPr>
        <w:pStyle w:val="EC-Title-6"/>
        <w:rPr>
          <w:lang w:val="sk-SK"/>
        </w:rPr>
      </w:pPr>
      <w:bookmarkStart w:id="0" w:name="_Toc512588780"/>
      <w:r w:rsidRPr="00D17AE2">
        <w:rPr>
          <w:lang w:val="sk-SK"/>
        </w:rPr>
        <w:t>Vyššie štandardy potrebné na dosiahnutie pokroku pri eliminácii TBC v Európskej únii</w:t>
      </w:r>
      <w:bookmarkEnd w:id="0"/>
    </w:p>
    <w:p w:rsidR="00083CEE" w:rsidRPr="00D17AE2" w:rsidP="00083CEE">
      <w:pPr>
        <w:pStyle w:val="EC-Title-7"/>
      </w:pPr>
      <w:r w:rsidRPr="00D17AE2">
        <w:t>Prečo štandardy prispôsobené EÚ?</w:t>
      </w:r>
    </w:p>
    <w:p w:rsidR="008745B1" w:rsidRPr="00D17AE2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Medzinárodné štandardy na liečbu tuberkulózy (ISTC) boli prvýkrát zverejnené v roku 2006 a následne aktualizované v rokoch 2009 a 2014. Štandardy ISTC opisujú všeobecne akceptovanú úroveň liečby TBC, sústreďujú sa však na prostredia s vysokou záťažou a nízkymi príjmami.</w:t>
      </w:r>
    </w:p>
    <w:p w:rsidR="008745B1" w:rsidRPr="00D17AE2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Epidemiologický kontext a dostupnosť finančných zdrojov v EÚ/EHP sa líšia:</w:t>
      </w:r>
    </w:p>
    <w:p w:rsidR="00F03325" w:rsidRPr="00D17AE2" w:rsidP="000D0DB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Záťaž je nízka/stredná, ale heterogénna</w:t>
      </w:r>
    </w:p>
    <w:p w:rsidR="008745B1" w:rsidRPr="00D17AE2" w:rsidP="000D0DB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Dlhoročná tradícia prevencie a kontroly TBC</w:t>
      </w:r>
    </w:p>
    <w:p w:rsidR="008745B1" w:rsidRPr="00D17AE2" w:rsidP="000D0DB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Zdroje sú dostupné</w:t>
      </w:r>
    </w:p>
    <w:p w:rsidR="008745B1" w:rsidRPr="00D17AE2" w:rsidP="000D0DB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Potreba zabezpečiť optimálne využitie týchto zdrojov</w:t>
      </w:r>
    </w:p>
    <w:p w:rsidR="008745B1" w:rsidRPr="00D17AE2" w:rsidP="000D0DB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Služby týkajúce sa TBC sú integrované do zdravotného systému</w:t>
      </w:r>
    </w:p>
    <w:p w:rsidR="008745B1" w:rsidRPr="00D17AE2" w:rsidP="000D0DB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Každý pacient má právo na prístup k najlepšej možnej liečbe.</w:t>
      </w:r>
    </w:p>
    <w:p w:rsidR="008745B1" w:rsidRPr="00D17AE2" w:rsidP="0028467E">
      <w:pPr>
        <w:pStyle w:val="EC-Title-6"/>
        <w:rPr>
          <w:sz w:val="30"/>
          <w:szCs w:val="30"/>
          <w:lang w:val="sk-SK"/>
        </w:rPr>
      </w:pPr>
      <w:r w:rsidRPr="00D17AE2">
        <w:rPr>
          <w:sz w:val="30"/>
          <w:lang w:val="sk-SK"/>
        </w:rPr>
        <w:t>ESTC sú štandardy zamerané na pacientov a sú určené lekárom a zdravotníckym pracovníkom</w:t>
      </w:r>
    </w:p>
    <w:p w:rsidR="008745B1" w:rsidRPr="00D17AE2" w:rsidP="0028467E">
      <w:pPr>
        <w:pStyle w:val="EC-Title-7"/>
        <w:rPr>
          <w:rFonts w:eastAsia="Batang"/>
        </w:rPr>
      </w:pPr>
      <w:r w:rsidRPr="00D17AE2">
        <w:t>Ako boli ESTC pripravované a aktualizované?</w:t>
      </w:r>
    </w:p>
    <w:p w:rsidR="008745B1" w:rsidRPr="00D17AE2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Spoločnosť ERS riadi a koordinuje snahy pri príprave a aktualizácii štandardov súvisiacich s klinickou praxou, pričom centrum ECDC pripravuje a aktualizuje štandardy súvisiac</w:t>
      </w:r>
      <w:r w:rsidRPr="00D17AE2" w:rsidR="008A6A68">
        <w:rPr>
          <w:rFonts w:ascii="Tahoma" w:hAnsi="Tahoma"/>
          <w:sz w:val="18"/>
        </w:rPr>
        <w:t>e</w:t>
      </w:r>
      <w:r w:rsidRPr="00D17AE2">
        <w:rPr>
          <w:rFonts w:ascii="Tahoma" w:hAnsi="Tahoma"/>
          <w:sz w:val="18"/>
        </w:rPr>
        <w:t xml:space="preserve"> s verejným zdravím. Prípravu a aktualizáciu riadila pracovná skupina medzinárodných expertov zastupujúcich rôzne odbornosti, orga</w:t>
      </w:r>
      <w:r w:rsidR="00E927C9">
        <w:rPr>
          <w:rFonts w:ascii="Tahoma" w:hAnsi="Tahoma"/>
          <w:sz w:val="18"/>
        </w:rPr>
        <w:t>nizácie a zástupcov pacientov s </w:t>
      </w:r>
      <w:r w:rsidRPr="00D17AE2">
        <w:rPr>
          <w:rFonts w:ascii="Tahoma" w:hAnsi="Tahoma"/>
          <w:sz w:val="18"/>
        </w:rPr>
        <w:t xml:space="preserve">TBC. Dôkazy sa preskúmali vzhľadom na publikované medzinárodné usmernenia. Výbor autorov vypracoval návrh dokumentu, ktorý zrevidovala a schválila pracovná skupina. Európske štandardy liečby TBC sa pripravujú a aktualizujú tak, aby dopĺňali medzinárodné štandardy a ostatné existujúce usmernenia. </w:t>
      </w:r>
    </w:p>
    <w:p w:rsidR="008745B1" w:rsidRPr="00D17AE2" w:rsidP="000D0DB0">
      <w:pPr>
        <w:pStyle w:val="EC-Title-5"/>
        <w:spacing w:before="120"/>
        <w:rPr>
          <w:b w:val="0"/>
        </w:rPr>
      </w:pPr>
      <w:r w:rsidRPr="00D17AE2">
        <w:t>Jednoducho použiteľný zdroj na zaistenie optimálnej diagnostiky, liečby a prevencie TBC</w:t>
      </w:r>
    </w:p>
    <w:p w:rsidR="008745B1" w:rsidRPr="00D17AE2" w:rsidP="000D0DB0">
      <w:pPr>
        <w:pStyle w:val="EC-Title-6"/>
        <w:spacing w:after="0"/>
        <w:rPr>
          <w:b w:val="0"/>
          <w:lang w:val="sk-SK"/>
        </w:rPr>
      </w:pPr>
      <w:r w:rsidRPr="00D17AE2">
        <w:rPr>
          <w:lang w:val="sk-SK"/>
        </w:rPr>
        <w:t>Načo slúžia ESTC</w:t>
      </w:r>
    </w:p>
    <w:p w:rsidR="008745B1" w:rsidRPr="00D17AE2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Štandardy Európskej únie na liečbu tuberkulózy sa snažia preklenúť súčasné medzery v manažmente prípadov TBC v Európskej únii/Európskom hospodárskom priestore (EÚ/EHP). </w:t>
      </w:r>
    </w:p>
    <w:p w:rsidR="008745B1" w:rsidRPr="00D17AE2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Cieľom ESTC je poskytnúť zdravotníckym odborníkom,</w:t>
      </w:r>
      <w:r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>lekárom a zdravotníckym programom štruktúrovaný súbor štandardov založených na dôkazoch, ktoré opisujú minimálne požiadavky na zabezpečenie optimáln</w:t>
      </w:r>
      <w:r w:rsidRPr="00D17AE2" w:rsidR="008A6A68">
        <w:rPr>
          <w:rFonts w:ascii="Tahoma" w:hAnsi="Tahoma"/>
          <w:sz w:val="18"/>
        </w:rPr>
        <w:t>ej</w:t>
      </w:r>
      <w:r w:rsidRPr="00D17AE2">
        <w:rPr>
          <w:rFonts w:ascii="Tahoma" w:hAnsi="Tahoma"/>
          <w:sz w:val="18"/>
        </w:rPr>
        <w:t xml:space="preserve"> lieč</w:t>
      </w:r>
      <w:r w:rsidRPr="00D17AE2" w:rsidR="008A6A68">
        <w:rPr>
          <w:rFonts w:ascii="Tahoma" w:hAnsi="Tahoma"/>
          <w:sz w:val="18"/>
        </w:rPr>
        <w:t>by</w:t>
      </w:r>
      <w:r w:rsidRPr="00D17AE2">
        <w:rPr>
          <w:rFonts w:ascii="Tahoma" w:hAnsi="Tahoma"/>
          <w:sz w:val="18"/>
        </w:rPr>
        <w:t>, prevenc</w:t>
      </w:r>
      <w:r w:rsidRPr="00D17AE2" w:rsidR="008A6A68">
        <w:rPr>
          <w:rFonts w:ascii="Tahoma" w:hAnsi="Tahoma"/>
          <w:sz w:val="18"/>
        </w:rPr>
        <w:t>ie</w:t>
      </w:r>
      <w:r w:rsidRPr="00D17AE2">
        <w:rPr>
          <w:rFonts w:ascii="Tahoma" w:hAnsi="Tahoma"/>
          <w:sz w:val="18"/>
        </w:rPr>
        <w:t xml:space="preserve"> a kontrol</w:t>
      </w:r>
      <w:r w:rsidRPr="00D17AE2" w:rsidR="008A6A68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 xml:space="preserve"> TBC.</w:t>
      </w:r>
    </w:p>
    <w:p w:rsidR="008745B1" w:rsidRPr="00D17AE2" w:rsidP="000D0DB0">
      <w:pPr>
        <w:pStyle w:val="EC-Title-5"/>
        <w:spacing w:before="120"/>
        <w:rPr>
          <w:b w:val="0"/>
        </w:rPr>
      </w:pPr>
      <w:r w:rsidRPr="00D17AE2">
        <w:t>Ďalšie informácie</w:t>
      </w:r>
    </w:p>
    <w:p w:rsidR="008745B1" w:rsidRPr="00D17AE2" w:rsidP="000D0DB0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Európske centrum pre prevenciu a kontrolu chorôb je agentúra EÚ, ktorej mandát je zisťovať, hodnotiť a oboznamovať s hrozbami pre ľudské zdravie spôsobené infekčnými chorobami. Podporuje prácu orgánov verejného zdravotníctva v členských štátoch EÚ/EHP.</w:t>
      </w:r>
    </w:p>
    <w:p w:rsidR="008745B1" w:rsidRPr="00D17AE2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fldChar w:fldCharType="begin"/>
      </w:r>
      <w:r>
        <w:instrText xml:space="preserve"> HYPERLINK "http://www.ecdc.europa.eu/en/tuberculosis" </w:instrText>
      </w:r>
      <w:r>
        <w:fldChar w:fldCharType="separate"/>
      </w:r>
      <w:r w:rsidRPr="00D17AE2" w:rsidR="00CD0836">
        <w:rPr>
          <w:rStyle w:val="Hypertextovprepojenie"/>
          <w:rFonts w:ascii="Tahoma" w:hAnsi="Tahoma"/>
          <w:sz w:val="18"/>
        </w:rPr>
        <w:t>www.ecdc.europa.eu/en/tuberculosis</w:t>
      </w:r>
      <w:r>
        <w:fldChar w:fldCharType="end"/>
      </w:r>
    </w:p>
    <w:p w:rsidR="008745B1" w:rsidRPr="00D17AE2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Európska</w:t>
      </w:r>
      <w:r w:rsidRPr="00D17AE2" w:rsidR="008A6A68">
        <w:rPr>
          <w:rFonts w:ascii="Tahoma" w:hAnsi="Tahoma"/>
          <w:sz w:val="18"/>
        </w:rPr>
        <w:t xml:space="preserve"> respiračná</w:t>
      </w:r>
      <w:r w:rsidRPr="00D17AE2">
        <w:rPr>
          <w:rFonts w:ascii="Tahoma" w:hAnsi="Tahoma"/>
          <w:sz w:val="18"/>
        </w:rPr>
        <w:t xml:space="preserve"> spoločnosť je popredná organizácia odborníkov v Európe. Má viac ako 30 000 členov vo viac ako 160 krajinách. Spoločnosť sa usiluje o zmiernenie respiračných ochorení a podporu pľúcneho zdravia prostredníctvom výskumu, zdieľania poznatkov a lekárskeho a verejného vzdelávania.</w:t>
      </w:r>
    </w:p>
    <w:p w:rsidR="008745B1" w:rsidRPr="00D17AE2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fldChar w:fldCharType="begin"/>
      </w:r>
      <w:r>
        <w:instrText xml:space="preserve"> HYPERLINK "http://www.ersnet.org/" </w:instrText>
      </w:r>
      <w:r>
        <w:fldChar w:fldCharType="separate"/>
      </w:r>
      <w:r w:rsidRPr="00D17AE2" w:rsidR="00CD0836">
        <w:rPr>
          <w:rStyle w:val="Hypertextovprepojenie"/>
          <w:rFonts w:ascii="Tahoma" w:hAnsi="Tahoma"/>
          <w:sz w:val="18"/>
        </w:rPr>
        <w:t>www.ersnet.org</w:t>
      </w:r>
      <w:r>
        <w:fldChar w:fldCharType="end"/>
      </w:r>
    </w:p>
    <w:p w:rsidR="008745B1" w:rsidRPr="00D17AE2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Kompletná aktualizácia ESTC bola zverejnená v Európskom vestníku pre respiračné ochorenia (ERJ) v máji 2018 (DOI: 10.1183/13993003.02678-2017)</w:t>
      </w:r>
    </w:p>
    <w:p w:rsidR="00792C6D" w:rsidRPr="00D17AE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D17AE2">
        <w:br w:type="page"/>
      </w:r>
    </w:p>
    <w:p w:rsidR="00CC0F38" w:rsidRPr="00D17AE2" w:rsidP="0028467E">
      <w:pPr>
        <w:pStyle w:val="EC-Title-5"/>
        <w:spacing w:after="240"/>
      </w:pPr>
      <w:r w:rsidRPr="00D17AE2">
        <w:t>Štandardy diagnostiky tuberkulózy</w:t>
      </w:r>
    </w:p>
    <w:p w:rsidR="00DA3A70" w:rsidRPr="00D17AE2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1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Všetky osoby s príznakmi, symptómami, anamnézou alebo rizikovými faktormi kompatibilnými s</w:t>
      </w:r>
      <w:r w:rsidRPr="00D17AE2" w:rsidR="008A6A68">
        <w:rPr>
          <w:rFonts w:ascii="Tahoma" w:hAnsi="Tahoma"/>
          <w:sz w:val="18"/>
        </w:rPr>
        <w:t> </w:t>
      </w:r>
      <w:r w:rsidRPr="00D17AE2">
        <w:rPr>
          <w:rFonts w:ascii="Tahoma" w:hAnsi="Tahoma"/>
          <w:sz w:val="18"/>
        </w:rPr>
        <w:t>tuberkulózou</w:t>
      </w:r>
      <w:r w:rsidRPr="00D17AE2" w:rsidR="008A6A68">
        <w:rPr>
          <w:rFonts w:ascii="Tahoma" w:hAnsi="Tahoma"/>
          <w:sz w:val="18"/>
        </w:rPr>
        <w:t xml:space="preserve"> by</w:t>
      </w:r>
      <w:r w:rsidRPr="00D17AE2">
        <w:rPr>
          <w:rFonts w:ascii="Tahoma" w:hAnsi="Tahoma"/>
          <w:sz w:val="18"/>
        </w:rPr>
        <w:t xml:space="preserve"> sa ma</w:t>
      </w:r>
      <w:r w:rsidRPr="00D17AE2" w:rsidR="008A6A68">
        <w:rPr>
          <w:rFonts w:ascii="Tahoma" w:hAnsi="Tahoma"/>
          <w:sz w:val="18"/>
        </w:rPr>
        <w:t>li</w:t>
      </w:r>
      <w:r w:rsidRPr="00D17AE2">
        <w:rPr>
          <w:rFonts w:ascii="Tahoma" w:hAnsi="Tahoma"/>
          <w:sz w:val="18"/>
        </w:rPr>
        <w:t xml:space="preserve"> nechať vyšetriť na pľúcnu alebo mimopľúcnu tuberkulózu.</w:t>
      </w:r>
    </w:p>
    <w:p w:rsidR="00DA3A70" w:rsidRPr="00D17AE2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2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Všetci pacienti (dospelí, dospievajúci a deti, ktoré sú schopné produkovať </w:t>
      </w:r>
      <w:r w:rsidRPr="00D17AE2" w:rsidR="008A6A68">
        <w:rPr>
          <w:rFonts w:ascii="Tahoma" w:hAnsi="Tahoma"/>
          <w:sz w:val="18"/>
        </w:rPr>
        <w:t>spútum</w:t>
      </w:r>
      <w:r w:rsidRPr="00D17AE2">
        <w:rPr>
          <w:rFonts w:ascii="Tahoma" w:hAnsi="Tahoma"/>
          <w:sz w:val="18"/>
        </w:rPr>
        <w:t xml:space="preserve">), u ktorých sa predpokladá pľúcna tuberkulózou, by mali na mikroskopické vyšetrenie predložiť najmenej dve vzorky </w:t>
      </w:r>
      <w:r w:rsidRPr="00D17AE2" w:rsidR="008A6A68">
        <w:rPr>
          <w:rFonts w:ascii="Tahoma" w:hAnsi="Tahoma"/>
          <w:sz w:val="18"/>
        </w:rPr>
        <w:t>spúta</w:t>
      </w:r>
      <w:r w:rsidRPr="00D17AE2">
        <w:rPr>
          <w:rFonts w:ascii="Tahoma" w:hAnsi="Tahoma"/>
          <w:sz w:val="18"/>
        </w:rPr>
        <w:t xml:space="preserve"> a jednu na rýchle testovanie na zistenie tuberkulózy a</w:t>
      </w:r>
      <w:r w:rsidRPr="00D17AE2" w:rsidR="008A6A68">
        <w:rPr>
          <w:rFonts w:ascii="Tahoma" w:hAnsi="Tahoma"/>
          <w:sz w:val="18"/>
        </w:rPr>
        <w:t> rezistencie</w:t>
      </w:r>
      <w:r w:rsidRPr="00D17AE2" w:rsidR="00D17AE2">
        <w:rPr>
          <w:rFonts w:ascii="Tahoma" w:hAnsi="Tahoma"/>
          <w:sz w:val="18"/>
        </w:rPr>
        <w:t xml:space="preserve"> </w:t>
      </w:r>
      <w:r w:rsidR="00E927C9">
        <w:rPr>
          <w:rFonts w:ascii="Tahoma" w:hAnsi="Tahoma"/>
          <w:sz w:val="18"/>
        </w:rPr>
        <w:t>na</w:t>
      </w:r>
      <w:r w:rsidRPr="00D17AE2">
        <w:rPr>
          <w:rFonts w:ascii="Tahoma" w:hAnsi="Tahoma"/>
          <w:sz w:val="18"/>
        </w:rPr>
        <w:t xml:space="preserve"> liek</w:t>
      </w:r>
      <w:r w:rsidR="00E927C9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 xml:space="preserve"> pomocou medzinárodne odporúčaného (rýchleho) molekulárneho testu. Vzorka sa má poslať do autorizovaného laboratória na kultiváciu v tekutom médiu a ak je pozitívna, na kultivačné vyšetrenie citlivosti na lieky (DST). Ak je to možné, má sa odobrať aspoň jedna ranná vzorka. Môže sa použiť aj röntgenové vyšetrenie hrudníka.</w:t>
      </w:r>
    </w:p>
    <w:p w:rsidR="00DA3A70" w:rsidRPr="00D17AE2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3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U všetkých pacientov (dospelých, dospievajúcich a detí) u ktorých sa predpokla</w:t>
      </w:r>
      <w:r w:rsidR="00E927C9">
        <w:rPr>
          <w:rFonts w:ascii="Tahoma" w:hAnsi="Tahoma"/>
          <w:sz w:val="18"/>
        </w:rPr>
        <w:t>dá mimopľúcna tuberkulóza, sa z </w:t>
      </w:r>
      <w:r w:rsidRPr="00D17AE2">
        <w:rPr>
          <w:rFonts w:ascii="Tahoma" w:hAnsi="Tahoma"/>
          <w:sz w:val="18"/>
        </w:rPr>
        <w:t xml:space="preserve">postihnutých častí tela majú </w:t>
      </w:r>
      <w:r w:rsidRPr="00D17AE2" w:rsidR="008A6A68">
        <w:rPr>
          <w:rFonts w:ascii="Tahoma" w:hAnsi="Tahoma"/>
          <w:sz w:val="18"/>
        </w:rPr>
        <w:t>získať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 xml:space="preserve">vhodné vzorky na mikrobiologické vyšetrenie (mikroskopia, rýchle molekulárne testy, kultivácia, identifikácia druhov, DST s rýchlymi molekulárnymi testami a kultivačné techniky) a histopatologické vyšetrenie v autorizovanom laboratóriu. </w:t>
      </w:r>
    </w:p>
    <w:p w:rsidR="00CC0F38" w:rsidRPr="00D17AE2" w:rsidP="00CC0F38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4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Všetky osoby s RTG nálezmi hrudníka, ktoré naznačujú pľúcnu tuberkulózu, majú do autorizovaného laboratória odovzdať vzorky </w:t>
      </w:r>
      <w:r w:rsidRPr="00D17AE2" w:rsidR="008A6A68">
        <w:rPr>
          <w:rFonts w:ascii="Tahoma" w:hAnsi="Tahoma"/>
          <w:sz w:val="18"/>
        </w:rPr>
        <w:t xml:space="preserve">spúta </w:t>
      </w:r>
      <w:r w:rsidRPr="00D17AE2">
        <w:rPr>
          <w:rFonts w:ascii="Tahoma" w:hAnsi="Tahoma"/>
          <w:sz w:val="18"/>
        </w:rPr>
        <w:t>na mikroskopické vyšetrenie, rýchle molekulárne testy, kultiváciu, identifikáciu druhov a DST s rýchlymi molekulárnymi testami a kultivačnými technikami.</w:t>
      </w:r>
    </w:p>
    <w:p w:rsidR="00DA3A70" w:rsidRPr="00D17AE2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5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Diagnóza kultivačne negatívnej pľúcnej tuberkulózy sa má zakladať na týchto kritériách: všetky bakteriologické testy sú negatívne (vrátane priamych vyšetrení vzoriek</w:t>
      </w:r>
      <w:r w:rsidRPr="00D17AE2" w:rsidR="00D17AE2">
        <w:rPr>
          <w:rFonts w:ascii="Tahoma" w:hAnsi="Tahoma"/>
          <w:sz w:val="18"/>
        </w:rPr>
        <w:t xml:space="preserve"> </w:t>
      </w:r>
      <w:r w:rsidRPr="00D17AE2" w:rsidR="008A6A68">
        <w:rPr>
          <w:rFonts w:ascii="Tahoma" w:hAnsi="Tahoma"/>
          <w:sz w:val="18"/>
        </w:rPr>
        <w:t>spúta</w:t>
      </w:r>
      <w:r w:rsidRPr="00D17AE2" w:rsidR="00D17AE2">
        <w:rPr>
          <w:rFonts w:ascii="Tahoma" w:hAnsi="Tahoma"/>
          <w:sz w:val="18"/>
        </w:rPr>
        <w:t>,</w:t>
      </w:r>
      <w:r w:rsidRPr="00D17AE2">
        <w:rPr>
          <w:rFonts w:ascii="Tahoma" w:hAnsi="Tahoma"/>
          <w:sz w:val="18"/>
        </w:rPr>
        <w:t xml:space="preserve"> </w:t>
      </w:r>
      <w:r w:rsidRPr="00D17AE2" w:rsidR="008A6A68">
        <w:rPr>
          <w:rFonts w:ascii="Tahoma" w:hAnsi="Tahoma"/>
          <w:sz w:val="18"/>
        </w:rPr>
        <w:t>kultivácií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 xml:space="preserve">a rýchleho molekulárneho testovania); RTG nálezy hrudníka kompatibilné s tuberkulózou a nedostatočná odpoveď na skúšku širokospektrálnymi antimikrobiálnymi látkami (poznámka: keďže fluorochinolóny sú účinné proti komplexu </w:t>
      </w:r>
      <w:r w:rsidRPr="00D17AE2">
        <w:rPr>
          <w:rFonts w:ascii="Tahoma" w:hAnsi="Tahoma"/>
          <w:i/>
          <w:sz w:val="18"/>
        </w:rPr>
        <w:t>M. tuberculosis</w:t>
      </w:r>
      <w:r w:rsidRPr="00D17AE2">
        <w:rPr>
          <w:rFonts w:ascii="Tahoma" w:hAnsi="Tahoma"/>
          <w:sz w:val="18"/>
        </w:rPr>
        <w:t xml:space="preserve"> a môžu spôsobiť prechodné zlepšenie u osôb s tuberkulózou, treba sa vyhnúť ich používaniu). U osôb, ktoré sú vážne choré alebo infikované vírusom ľudskej imunitnej nedostatočnosti (HIV) alebo sa u nich predpokladá infekcia týmto vírusom, resp. majú akékoľvek problémy s imunitou, sa má urýchliť diagnostické vyšetrenie a ak klinické dôkazy silne naznačujú tuberkulózu, má by sa začať s liečbou tuberkulózy. </w:t>
      </w:r>
    </w:p>
    <w:p w:rsidR="00E23086" w:rsidRPr="00D17AE2" w:rsidP="000D0DB0">
      <w:pPr>
        <w:pStyle w:val="EC-Title-6"/>
        <w:rPr>
          <w:lang w:val="sk-SK"/>
        </w:rPr>
      </w:pPr>
      <w:r w:rsidRPr="00D17AE2">
        <w:rPr>
          <w:lang w:val="sk-SK"/>
        </w:rPr>
        <w:t>Osobitné požiadavky v EÚ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Aby sa zabezpečila kvalitná diagnostika pľúcnej a mimopľúcnej tuberkulózy, mali by sa zabezpečiť vzorky vhodné pre bakteriologické vyšetrenie. V prípade potreby sa má použiť</w:t>
      </w:r>
      <w:r w:rsidRPr="00D17AE2" w:rsidR="00E3077F">
        <w:rPr>
          <w:rFonts w:ascii="Tahoma" w:hAnsi="Tahoma"/>
          <w:sz w:val="18"/>
        </w:rPr>
        <w:t xml:space="preserve"> </w:t>
      </w:r>
      <w:r w:rsidRPr="00D17AE2" w:rsidR="00FE6BD6">
        <w:rPr>
          <w:rFonts w:ascii="Tahoma" w:hAnsi="Tahoma"/>
          <w:sz w:val="18"/>
        </w:rPr>
        <w:t>indukcia spúta</w:t>
      </w:r>
      <w:r w:rsidRPr="00D17AE2" w:rsidR="00D17AE2">
        <w:rPr>
          <w:rFonts w:ascii="Tahoma" w:hAnsi="Tahoma"/>
          <w:sz w:val="18"/>
        </w:rPr>
        <w:t>,</w:t>
      </w:r>
      <w:r w:rsidRPr="00D17AE2">
        <w:rPr>
          <w:rFonts w:ascii="Tahoma" w:hAnsi="Tahoma"/>
          <w:sz w:val="18"/>
        </w:rPr>
        <w:t xml:space="preserve"> bronchoskopia a bronchoalveolárna laváž, výplach žalúdka, biopsia alebo aspiračná biopsia [1]. Vzorky sa majú spracúvať pomocou dostupných diagnostických nástrojov [2] a dopĺňať zobrazovaním (röntgen, ultrazvuk, počítačová tomografia, zobrazovanie magnetickou rezonanciou, pozitrónová emisná tomografia - počítačová tomografia) a majú sa vykonať ďalšie nevyhnutné vyšetrenia podľa usmernení založených na dôkazoch [2-4 ]. 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U každej vzorky od pacientov s predpokladanou pľúcnou a mimopľúcnou tuberkulózou vrátane vzoriek získaných počas chirurgického zákroku alebo iných invazívnych postupov, ktoré sú zvyčajne podrobené histologickým vyšetreniam, sa majú vykonať rýchle molekulárne testy [5] odporúčané Svetovou zdravotníckou organizáciou (WHO) [5], kultivácia a DST. Chirurgom sa preto má odporučiť uchovanie biologickej vzorky v normálnom fyziologickom roztoku pre mikrobiologické a molekulárne biologické vyšetrenia a vo formalíne na histopatologické vyšetrenie.</w:t>
      </w:r>
    </w:p>
    <w:p w:rsidR="00DA3A70" w:rsidRPr="00D17AE2" w:rsidP="008A39C9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6</w:t>
      </w:r>
    </w:p>
    <w:p w:rsidR="00D830C5" w:rsidRPr="00D17AE2" w:rsidP="000D0DB0">
      <w:pPr>
        <w:spacing w:after="120"/>
        <w:rPr>
          <w:rFonts w:ascii="Tahoma" w:hAnsi="Tahoma" w:cs="Tahoma"/>
          <w:spacing w:val="-4"/>
          <w:sz w:val="18"/>
          <w:szCs w:val="18"/>
        </w:rPr>
      </w:pPr>
      <w:r w:rsidRPr="00D17AE2">
        <w:rPr>
          <w:rFonts w:ascii="Tahoma" w:hAnsi="Tahoma"/>
          <w:spacing w:val="-4"/>
          <w:sz w:val="18"/>
        </w:rPr>
        <w:t>U všetkých detí, u ktorých sa predpokladá intratorakálna tuberkulóza (t. j. pľúcna, pleurálna a</w:t>
      </w:r>
      <w:r w:rsidRPr="00D17AE2" w:rsidR="00FE6BD6">
        <w:rPr>
          <w:rFonts w:ascii="Tahoma" w:hAnsi="Tahoma"/>
          <w:spacing w:val="-4"/>
          <w:sz w:val="18"/>
        </w:rPr>
        <w:t xml:space="preserve"> mediastinálna </w:t>
      </w:r>
      <w:r w:rsidRPr="00D17AE2">
        <w:rPr>
          <w:rFonts w:ascii="Tahoma" w:hAnsi="Tahoma"/>
          <w:spacing w:val="-4"/>
          <w:sz w:val="18"/>
        </w:rPr>
        <w:t>tuberkulóza či tuberkulóza hilárnej lymfatickej uzliny), sa má vykonať bakteriologické potvrdenie pomocou vyšetrenia príslušných biologických vzoriek (vykašľaného alebo indukovaného</w:t>
      </w:r>
      <w:r w:rsidRPr="00D17AE2" w:rsidR="00E3077F">
        <w:rPr>
          <w:rFonts w:ascii="Tahoma" w:hAnsi="Tahoma"/>
          <w:spacing w:val="-4"/>
          <w:sz w:val="18"/>
        </w:rPr>
        <w:t xml:space="preserve"> </w:t>
      </w:r>
      <w:r w:rsidRPr="00D17AE2" w:rsidR="00FE6BD6">
        <w:rPr>
          <w:rFonts w:ascii="Tahoma" w:hAnsi="Tahoma"/>
          <w:spacing w:val="-4"/>
          <w:sz w:val="18"/>
        </w:rPr>
        <w:t>spúta</w:t>
      </w:r>
      <w:r w:rsidRPr="00D17AE2" w:rsidR="00D17AE2">
        <w:rPr>
          <w:rFonts w:ascii="Tahoma" w:hAnsi="Tahoma"/>
          <w:spacing w:val="-4"/>
          <w:sz w:val="18"/>
        </w:rPr>
        <w:t>,</w:t>
      </w:r>
      <w:r w:rsidRPr="00D17AE2">
        <w:rPr>
          <w:rFonts w:ascii="Tahoma" w:hAnsi="Tahoma"/>
          <w:spacing w:val="-4"/>
          <w:sz w:val="18"/>
        </w:rPr>
        <w:t xml:space="preserve"> bronchiálnych sekrétov, pleurálnej tekutiny, výplachu zo žalúdka alebo endoskopickej ultrazvukom riadenej biopsie) mikroskopickým skúmaním vzoriek, rýchlymi molekulárnymi testami, identifikáciou druhov a DST kultivačnými technikami v autorizovanom laboratóriu</w:t>
      </w:r>
      <w:r w:rsidR="00E927C9">
        <w:rPr>
          <w:rFonts w:ascii="Tahoma" w:hAnsi="Tahoma"/>
          <w:spacing w:val="-4"/>
          <w:sz w:val="18"/>
        </w:rPr>
        <w:t xml:space="preserve"> [3, 5-9]. V </w:t>
      </w:r>
      <w:r w:rsidRPr="00D17AE2">
        <w:rPr>
          <w:rFonts w:ascii="Tahoma" w:hAnsi="Tahoma"/>
          <w:spacing w:val="-4"/>
          <w:sz w:val="18"/>
        </w:rPr>
        <w:t xml:space="preserve">prípade negatívnych bakteriologických výsledkov diagnóza tuberkulózy sa má opierať na prítomnosť abnormalít zhodných s tuberkulózou na röntgenovej snímke hrudníka alebo inej zobrazovacej technike, anamnéze vystavenia infekčnému ochoreniu, dôkaze infekcie tuberkulózy (pozitívny kožný test tuberkulínu (TST ) a/alebo pozitívny test uvoľňovania interferónu-gama (IGRA)) [5, 10-13] a/alebo klinické nálezy naznačujúce tuberkulózu </w:t>
      </w:r>
      <w:r w:rsidR="00E927C9">
        <w:rPr>
          <w:rFonts w:ascii="Tahoma" w:hAnsi="Tahoma"/>
          <w:spacing w:val="-4"/>
          <w:sz w:val="18"/>
        </w:rPr>
        <w:t>[3]. U detí s </w:t>
      </w:r>
      <w:r w:rsidRPr="00D17AE2">
        <w:rPr>
          <w:rFonts w:ascii="Tahoma" w:hAnsi="Tahoma"/>
          <w:spacing w:val="-4"/>
          <w:sz w:val="18"/>
        </w:rPr>
        <w:t>predpokladanou mimopľúcnou tuberkulózou sa majú odobrať príslušné vzorky z podozrivých miest na</w:t>
      </w:r>
      <w:r w:rsidRPr="00D17AE2" w:rsidR="00E3077F">
        <w:rPr>
          <w:rFonts w:ascii="Tahoma" w:hAnsi="Tahoma"/>
          <w:spacing w:val="-4"/>
          <w:sz w:val="18"/>
        </w:rPr>
        <w:t xml:space="preserve"> </w:t>
      </w:r>
      <w:r w:rsidRPr="00D17AE2" w:rsidR="00FE6BD6">
        <w:rPr>
          <w:rFonts w:ascii="Tahoma" w:hAnsi="Tahoma"/>
          <w:spacing w:val="-4"/>
          <w:sz w:val="18"/>
        </w:rPr>
        <w:t xml:space="preserve">mikroskopické </w:t>
      </w:r>
      <w:r w:rsidRPr="00D17AE2" w:rsidR="00FE6BD6">
        <w:rPr>
          <w:rFonts w:ascii="Tahoma" w:hAnsi="Tahoma"/>
          <w:spacing w:val="-4"/>
          <w:sz w:val="18"/>
        </w:rPr>
        <w:t>vyšetrenie</w:t>
      </w:r>
      <w:r w:rsidRPr="00D17AE2">
        <w:rPr>
          <w:rFonts w:ascii="Tahoma" w:hAnsi="Tahoma"/>
          <w:spacing w:val="-4"/>
          <w:sz w:val="18"/>
        </w:rPr>
        <w:t xml:space="preserve">, odporúčané rýchle molekulárne testy, identifikáciu druhov a DST pomocou kultivačných techník a má sa vykonať histopatologické vyšetrenie [5, 14, 15]. </w:t>
      </w:r>
    </w:p>
    <w:p w:rsidR="00D830C5" w:rsidRPr="00D17AE2" w:rsidP="0028467E">
      <w:pPr>
        <w:pStyle w:val="EC-Title-5"/>
        <w:spacing w:before="120" w:after="240"/>
      </w:pPr>
      <w:r w:rsidRPr="00D17AE2">
        <w:t>Štandardy liečby tuberkulózy</w:t>
      </w:r>
    </w:p>
    <w:p w:rsidR="00DA3A70" w:rsidRPr="00D17AE2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7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Každý lekár, ktorý lieči pacienta s tuberkulózou, preberá dôležitú zodpovednosť za verejné zdravie, aby zabránil ďalšiemu prenosu infekcie a rozvoju </w:t>
      </w:r>
      <w:r w:rsidRPr="00D17AE2" w:rsidR="00FE6BD6">
        <w:rPr>
          <w:rFonts w:ascii="Tahoma" w:hAnsi="Tahoma"/>
          <w:sz w:val="18"/>
        </w:rPr>
        <w:t>rezistencie</w:t>
      </w:r>
      <w:r w:rsidRPr="00D17AE2" w:rsidR="00D17AE2">
        <w:rPr>
          <w:rFonts w:ascii="Tahoma" w:hAnsi="Tahoma"/>
          <w:sz w:val="18"/>
        </w:rPr>
        <w:t xml:space="preserve"> </w:t>
      </w:r>
      <w:r w:rsidR="00E927C9">
        <w:rPr>
          <w:rFonts w:ascii="Tahoma" w:hAnsi="Tahoma"/>
          <w:sz w:val="18"/>
        </w:rPr>
        <w:t>na</w:t>
      </w:r>
      <w:r w:rsidRPr="00D17AE2">
        <w:rPr>
          <w:rFonts w:ascii="Tahoma" w:hAnsi="Tahoma"/>
          <w:sz w:val="18"/>
        </w:rPr>
        <w:t xml:space="preserve"> liek</w:t>
      </w:r>
      <w:r w:rsidR="00E927C9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>. Na splnenie tejto povin</w:t>
      </w:r>
      <w:r w:rsidR="00E927C9">
        <w:rPr>
          <w:rFonts w:ascii="Tahoma" w:hAnsi="Tahoma"/>
          <w:sz w:val="18"/>
        </w:rPr>
        <w:t>nosti musí lekár v spolupráci s </w:t>
      </w:r>
      <w:r w:rsidRPr="00D17AE2">
        <w:rPr>
          <w:rFonts w:ascii="Tahoma" w:hAnsi="Tahoma"/>
          <w:sz w:val="18"/>
        </w:rPr>
        <w:t xml:space="preserve">orgánmi verejného zdravotníctva: 1) predpísať vhodný režim (vedený genotypovými a/alebo fenotypovými výsledkami DST); 2) vykonať kontaktné vyšetrenia; 3) posúdiť a podporovať dodržiavanie liečby pacientom pomocou prístupu zameraného na pacienta v spolupráci s rodinnými príslušníkmi, miestnymi verejnými a/alebo </w:t>
      </w:r>
      <w:r w:rsidRPr="00D17AE2" w:rsidR="00FE6BD6">
        <w:rPr>
          <w:rFonts w:ascii="Tahoma" w:hAnsi="Tahoma"/>
          <w:sz w:val="18"/>
        </w:rPr>
        <w:t xml:space="preserve">komunitnými </w:t>
      </w:r>
      <w:r w:rsidRPr="00D17AE2">
        <w:rPr>
          <w:rFonts w:ascii="Tahoma" w:hAnsi="Tahoma"/>
          <w:sz w:val="18"/>
        </w:rPr>
        <w:t xml:space="preserve">zdravotnými službami a organizáciami občianskej spoločnosti a 4) monitorovať výsledky liečby [2, 16, 17]. </w:t>
      </w:r>
    </w:p>
    <w:p w:rsidR="00DA3A70" w:rsidRPr="00D17AE2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8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Všetci pacienti (vrátane tých, ktorí sú súbežne infikovaní vírusom HIV), ktorí neboli v minulosti liečení a nemajú </w:t>
      </w:r>
      <w:r w:rsidRPr="00D17AE2" w:rsidR="00FE6BD6">
        <w:rPr>
          <w:rFonts w:ascii="Tahoma" w:hAnsi="Tahoma"/>
          <w:sz w:val="18"/>
        </w:rPr>
        <w:t xml:space="preserve">rezistenciu </w:t>
      </w:r>
      <w:r w:rsidRPr="00D17AE2">
        <w:rPr>
          <w:rFonts w:ascii="Tahoma" w:hAnsi="Tahoma"/>
          <w:sz w:val="18"/>
        </w:rPr>
        <w:t xml:space="preserve">voči lieku (stanovenú na základe vhodných testov), majú dostávať medzinárodne uznávaný liečebný režim prvej línie pomocou liekov známej biologickej dostupnosti. Počiatočná fáza by mala pozostávať z 2 mesiacov izoniazidu (H), rifampicínu (R), pyrazínamidu (Z) a etambutolu (E). Pokračujúca fáza by mala pozostávať z izoniazidu a rifampicínu podávaných počas 4 mesiacov (2HRZE/4HR). Dávky liekov proti tuberkulóze majú byť v súlade s medzinárodnými odporúčaniami. Kombinácie fixných dávok dvoch (izoniazid a rifampicín), troch (izoniazid, rifampicín a pyrazinamid) a štyroch (izoniazid, rifampicín, pyrazinamid a etambutol) liekov môžu poskytnúť vhodnejšiu formu podávania lieku. </w:t>
      </w:r>
    </w:p>
    <w:p w:rsidR="00DA3A70" w:rsidRPr="00D17AE2" w:rsidP="00037B0F">
      <w:pPr>
        <w:keepNext/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9</w:t>
      </w:r>
    </w:p>
    <w:p w:rsidR="00DA3A70" w:rsidRPr="00D17AE2" w:rsidP="0028467E">
      <w:pPr>
        <w:spacing w:after="120"/>
        <w:rPr>
          <w:rFonts w:ascii="Tahoma" w:hAnsi="Tahoma" w:cs="Tahoma"/>
          <w:szCs w:val="24"/>
        </w:rPr>
      </w:pPr>
      <w:r w:rsidRPr="00D17AE2">
        <w:rPr>
          <w:rFonts w:ascii="Tahoma" w:hAnsi="Tahoma"/>
          <w:sz w:val="18"/>
        </w:rPr>
        <w:t>Každý pacient má nárok na prístup k liečbe orientovaný na pacienta, založený na jeho potrebách a vzájomnom rešpektovaní pacienta a poskytovateľa.</w:t>
      </w:r>
    </w:p>
    <w:p w:rsidR="00DA3A70" w:rsidRPr="00D17AE2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10</w:t>
      </w:r>
    </w:p>
    <w:p w:rsidR="00DA3A70" w:rsidRPr="00D17AE2" w:rsidP="000D0DB0">
      <w:pPr>
        <w:spacing w:after="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Odpoveď na liečbu u pacientov s pľúcnou tuberkulózou sa má monitorovať následným mikroskopickým vyšetrením a kultiváciou aspoň v čase dokončenia počiatočnej fázy liečby (dva mesiace v prípade tuberkulózy citlivej na liek</w:t>
      </w:r>
      <w:r w:rsidRPr="00D17AE2" w:rsidR="00FE6BD6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 xml:space="preserve">). Ak po ukončení počiatočnej fázy je vzorka a/alebo </w:t>
      </w:r>
      <w:r w:rsidRPr="00D17AE2" w:rsidR="00FE6BD6">
        <w:rPr>
          <w:rFonts w:ascii="Tahoma" w:hAnsi="Tahoma"/>
          <w:sz w:val="18"/>
        </w:rPr>
        <w:t xml:space="preserve">kultivácia spúta </w:t>
      </w:r>
      <w:r w:rsidRPr="00D17AE2">
        <w:rPr>
          <w:rFonts w:ascii="Tahoma" w:hAnsi="Tahoma"/>
          <w:sz w:val="18"/>
        </w:rPr>
        <w:t xml:space="preserve">pozitívna, majú sa bezodkladne vykonať molekulárne testy </w:t>
      </w:r>
      <w:r w:rsidRPr="00D17AE2" w:rsidR="00FE6BD6">
        <w:rPr>
          <w:rFonts w:ascii="Tahoma" w:hAnsi="Tahoma"/>
          <w:sz w:val="18"/>
        </w:rPr>
        <w:t xml:space="preserve">rezistencie </w:t>
      </w:r>
      <w:r w:rsidRPr="00D17AE2">
        <w:rPr>
          <w:rFonts w:ascii="Tahoma" w:hAnsi="Tahoma"/>
          <w:sz w:val="18"/>
        </w:rPr>
        <w:t xml:space="preserve">voči lieku a ďalšie DST. U pacientov s mimopľúcnou tuberkulózou a u detí neschopných vyprodukovať </w:t>
      </w:r>
      <w:r w:rsidRPr="00D17AE2" w:rsidR="00FE6BD6">
        <w:rPr>
          <w:rFonts w:ascii="Tahoma" w:hAnsi="Tahoma"/>
          <w:sz w:val="18"/>
        </w:rPr>
        <w:t xml:space="preserve">spútum </w:t>
      </w:r>
      <w:r w:rsidRPr="00D17AE2">
        <w:rPr>
          <w:rFonts w:ascii="Tahoma" w:hAnsi="Tahoma"/>
          <w:sz w:val="18"/>
        </w:rPr>
        <w:t xml:space="preserve">sa klinická odpoveď na liečbu (hmotnosť, zápalové markery a opakované zobrazovanie) hodnotí objektívne. </w:t>
      </w:r>
    </w:p>
    <w:p w:rsidR="003663F5" w:rsidRPr="00D17AE2" w:rsidP="003663F5">
      <w:pPr>
        <w:pStyle w:val="EC-Title-6"/>
        <w:rPr>
          <w:lang w:val="sk-SK"/>
        </w:rPr>
      </w:pPr>
      <w:r w:rsidRPr="00D17AE2">
        <w:rPr>
          <w:lang w:val="sk-SK"/>
        </w:rPr>
        <w:t>Osobitné požiadavky v EÚ</w:t>
      </w:r>
    </w:p>
    <w:p w:rsidR="00DA3A70" w:rsidRPr="00D17AE2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D17AE2">
        <w:rPr>
          <w:rFonts w:ascii="Tahoma" w:hAnsi="Tahoma"/>
          <w:spacing w:val="-2"/>
          <w:sz w:val="18"/>
        </w:rPr>
        <w:t xml:space="preserve">Monitorovanie liečby sa má vykonávať podľa medzinárodných smerníc [2, 3, 6-8, 18-20]. Krajiny v Európskej únii majú k dispozícii prostriedky na monitorovanie liečby každý mesiac. V prípade </w:t>
      </w:r>
      <w:r w:rsidRPr="00D17AE2" w:rsidR="00FE6BD6">
        <w:rPr>
          <w:rFonts w:ascii="Tahoma" w:hAnsi="Tahoma"/>
          <w:spacing w:val="-2"/>
          <w:sz w:val="18"/>
        </w:rPr>
        <w:t xml:space="preserve">rezistencie </w:t>
      </w:r>
      <w:r w:rsidRPr="00D17AE2">
        <w:rPr>
          <w:rFonts w:ascii="Tahoma" w:hAnsi="Tahoma"/>
          <w:spacing w:val="-2"/>
          <w:sz w:val="18"/>
        </w:rPr>
        <w:t>voči viacerým liekom proti tuberkulóze (MDR-TB) sa toto mesačné monitorovanie má robiť podľa vzorky a</w:t>
      </w:r>
      <w:r w:rsidRPr="00D17AE2" w:rsidR="00FE6BD6">
        <w:rPr>
          <w:rFonts w:ascii="Tahoma" w:hAnsi="Tahoma"/>
          <w:spacing w:val="-2"/>
          <w:sz w:val="18"/>
        </w:rPr>
        <w:t xml:space="preserve"> kultivácie spúta </w:t>
      </w:r>
      <w:r w:rsidRPr="00D17AE2">
        <w:rPr>
          <w:rFonts w:ascii="Tahoma" w:hAnsi="Tahoma"/>
          <w:spacing w:val="-2"/>
          <w:sz w:val="18"/>
        </w:rPr>
        <w:t>[21, 22].</w:t>
      </w:r>
    </w:p>
    <w:p w:rsidR="00DA3A70" w:rsidRPr="00D17AE2" w:rsidP="00BE259C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11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Posúdenie pravdepodobnosti </w:t>
      </w:r>
      <w:r w:rsidRPr="00D17AE2" w:rsidR="00FE6BD6">
        <w:rPr>
          <w:rFonts w:ascii="Tahoma" w:hAnsi="Tahoma"/>
          <w:sz w:val="18"/>
        </w:rPr>
        <w:t>rezistencie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 xml:space="preserve">voči lieku na základe histórie predchádzajúcej liečby, vystavenia prípadnému zdrojovému prípadu s tuberkulózou </w:t>
      </w:r>
      <w:r w:rsidRPr="00D17AE2" w:rsidR="00FE6BD6">
        <w:rPr>
          <w:rFonts w:ascii="Tahoma" w:hAnsi="Tahoma"/>
          <w:sz w:val="18"/>
        </w:rPr>
        <w:t xml:space="preserve">rezistentnou </w:t>
      </w:r>
      <w:r w:rsidRPr="00D17AE2">
        <w:rPr>
          <w:rFonts w:ascii="Tahoma" w:hAnsi="Tahoma"/>
          <w:sz w:val="18"/>
        </w:rPr>
        <w:t xml:space="preserve">voči liekom a prevalencie </w:t>
      </w:r>
      <w:r w:rsidRPr="00D17AE2" w:rsidR="00FE6BD6">
        <w:rPr>
          <w:rFonts w:ascii="Tahoma" w:hAnsi="Tahoma"/>
          <w:sz w:val="18"/>
        </w:rPr>
        <w:t xml:space="preserve">rezistencie </w:t>
      </w:r>
      <w:r w:rsidR="0042450B">
        <w:rPr>
          <w:rFonts w:ascii="Tahoma" w:hAnsi="Tahoma"/>
          <w:sz w:val="18"/>
        </w:rPr>
        <w:t>voči lieku v </w:t>
      </w:r>
      <w:r w:rsidRPr="00D17AE2">
        <w:rPr>
          <w:rFonts w:ascii="Tahoma" w:hAnsi="Tahoma"/>
          <w:sz w:val="18"/>
        </w:rPr>
        <w:t>komunite sa má uskutočniť najmä u pacientov, ktorí nie sú bakteriologicky potvrdení alebo u ktorých nie je možné vykonať testovanie citlivosti na lieky. Rýchle testovanie (</w:t>
      </w:r>
      <w:r w:rsidRPr="00D17AE2" w:rsidR="00FE6BD6">
        <w:rPr>
          <w:rFonts w:ascii="Tahoma" w:hAnsi="Tahoma"/>
          <w:sz w:val="18"/>
        </w:rPr>
        <w:t xml:space="preserve">genotypové testovanie rezistencie na rifampicín a izonianid </w:t>
      </w:r>
      <w:r w:rsidRPr="00D17AE2">
        <w:rPr>
          <w:rFonts w:ascii="Tahoma" w:hAnsi="Tahoma"/>
          <w:sz w:val="18"/>
        </w:rPr>
        <w:t xml:space="preserve">a genotypové/fenotypové testovanie </w:t>
      </w:r>
      <w:r w:rsidRPr="00D17AE2" w:rsidR="00FE6BD6">
        <w:rPr>
          <w:rFonts w:ascii="Tahoma" w:hAnsi="Tahoma"/>
          <w:sz w:val="18"/>
        </w:rPr>
        <w:t xml:space="preserve">rezistencie </w:t>
      </w:r>
      <w:r w:rsidRPr="00D17AE2">
        <w:rPr>
          <w:rFonts w:ascii="Tahoma" w:hAnsi="Tahoma"/>
          <w:sz w:val="18"/>
        </w:rPr>
        <w:t xml:space="preserve">voči liekom druhej línie u pacientov s </w:t>
      </w:r>
      <w:r w:rsidRPr="00D17AE2" w:rsidR="0043324A">
        <w:rPr>
          <w:rFonts w:ascii="Tahoma" w:hAnsi="Tahoma"/>
          <w:sz w:val="18"/>
        </w:rPr>
        <w:t xml:space="preserve">rezistenciou na </w:t>
      </w:r>
      <w:r w:rsidRPr="00D17AE2">
        <w:rPr>
          <w:rFonts w:ascii="Tahoma" w:hAnsi="Tahoma"/>
          <w:sz w:val="18"/>
        </w:rPr>
        <w:t>rifampicín alebo MDR-TB) sa má uskutočniť u všetkých pacientov špecifikovaných v štandardoch 2 až 4 a 8. Okrem toho sa má bezprostredne začať s poradenstvom a vzdelávaním všetkých pacientov s tuberkulózou, aby sa minimalizoval potenciál prenosu. Majú sa použiť primerané opatrenia na kontrolu infekcie, ako sa to odporúča v štandarde verejného zdravotníctva ESTC 20.</w:t>
      </w:r>
    </w:p>
    <w:p w:rsidR="00DA3A70" w:rsidRPr="00D17AE2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 xml:space="preserve">Štandard 12 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Pacienti, ktorí majú alebo veľmi pravdepodobne majú tuberkulózu spôsobenú organizmami </w:t>
      </w:r>
      <w:r w:rsidRPr="00D17AE2" w:rsidR="0043324A">
        <w:rPr>
          <w:rFonts w:ascii="Tahoma" w:hAnsi="Tahoma"/>
          <w:sz w:val="18"/>
        </w:rPr>
        <w:t xml:space="preserve">rezistentnými na </w:t>
      </w:r>
      <w:r w:rsidRPr="00D17AE2">
        <w:rPr>
          <w:rFonts w:ascii="Tahoma" w:hAnsi="Tahoma"/>
          <w:sz w:val="18"/>
        </w:rPr>
        <w:t>liek</w:t>
      </w:r>
      <w:r w:rsidRPr="00D17AE2" w:rsidR="0043324A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 xml:space="preserve"> (najmä </w:t>
      </w:r>
      <w:r w:rsidRPr="00D17AE2" w:rsidR="0043324A">
        <w:rPr>
          <w:rFonts w:ascii="Tahoma" w:hAnsi="Tahoma"/>
          <w:sz w:val="18"/>
        </w:rPr>
        <w:t xml:space="preserve">rezistentnými na </w:t>
      </w:r>
      <w:r w:rsidRPr="00D17AE2">
        <w:rPr>
          <w:rFonts w:ascii="Tahoma" w:hAnsi="Tahoma"/>
          <w:sz w:val="18"/>
        </w:rPr>
        <w:t>rifampicín/MDR/</w:t>
      </w:r>
      <w:r w:rsidRPr="00D17AE2" w:rsidR="0043324A">
        <w:rPr>
          <w:rFonts w:ascii="Tahoma" w:hAnsi="Tahoma"/>
          <w:sz w:val="18"/>
        </w:rPr>
        <w:t>extrémne rezistent</w:t>
      </w:r>
      <w:r w:rsidRPr="00D17AE2" w:rsidR="00E3077F">
        <w:rPr>
          <w:rFonts w:ascii="Tahoma" w:hAnsi="Tahoma"/>
          <w:sz w:val="18"/>
        </w:rPr>
        <w:t>n</w:t>
      </w:r>
      <w:r w:rsidRPr="00D17AE2" w:rsidR="0043324A">
        <w:rPr>
          <w:rFonts w:ascii="Tahoma" w:hAnsi="Tahoma"/>
          <w:sz w:val="18"/>
        </w:rPr>
        <w:t>ými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 xml:space="preserve">proti liekom (XDR)), majú dostávať individuálny liečebný režim s liekmi druhej línie a doplnkovými liekmi proti tuberkulóze. Zvolený režim sa má zakladať na potvrdených </w:t>
      </w:r>
      <w:r w:rsidRPr="00D17AE2" w:rsidR="0043324A">
        <w:rPr>
          <w:rFonts w:ascii="Tahoma" w:hAnsi="Tahoma"/>
          <w:sz w:val="18"/>
        </w:rPr>
        <w:t>testoch</w:t>
      </w:r>
      <w:r w:rsidRPr="00D17AE2" w:rsidR="00E3077F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 xml:space="preserve">citlivosti na liek. Empirické režimy môžu spôsobiť ďalšiu </w:t>
      </w:r>
      <w:r w:rsidRPr="00D17AE2" w:rsidR="0043324A">
        <w:rPr>
          <w:rFonts w:ascii="Tahoma" w:hAnsi="Tahoma"/>
          <w:sz w:val="18"/>
        </w:rPr>
        <w:t xml:space="preserve">rezistenciu </w:t>
      </w:r>
      <w:r w:rsidRPr="00D17AE2">
        <w:rPr>
          <w:rFonts w:ascii="Tahoma" w:hAnsi="Tahoma"/>
          <w:sz w:val="18"/>
        </w:rPr>
        <w:t>a neodporúčajú sa s výnimkou tuberkulózy s</w:t>
      </w:r>
      <w:r w:rsidRPr="00D17AE2" w:rsidR="00E3077F">
        <w:rPr>
          <w:rFonts w:ascii="Tahoma" w:hAnsi="Tahoma"/>
          <w:sz w:val="18"/>
        </w:rPr>
        <w:t> </w:t>
      </w:r>
      <w:r w:rsidRPr="00D17AE2">
        <w:rPr>
          <w:rFonts w:ascii="Tahoma" w:hAnsi="Tahoma"/>
          <w:sz w:val="18"/>
        </w:rPr>
        <w:t>negatívnou</w:t>
      </w:r>
      <w:r w:rsidRPr="00D17AE2" w:rsidR="00E3077F">
        <w:rPr>
          <w:rFonts w:ascii="Tahoma" w:hAnsi="Tahoma"/>
          <w:sz w:val="18"/>
        </w:rPr>
        <w:t xml:space="preserve"> </w:t>
      </w:r>
      <w:r w:rsidRPr="00D17AE2" w:rsidR="0043324A">
        <w:rPr>
          <w:rFonts w:ascii="Tahoma" w:hAnsi="Tahoma"/>
          <w:sz w:val="18"/>
        </w:rPr>
        <w:t>kultiváciou</w:t>
      </w:r>
      <w:r w:rsidRPr="00D17AE2">
        <w:rPr>
          <w:rFonts w:ascii="Tahoma" w:hAnsi="Tahoma"/>
          <w:sz w:val="18"/>
        </w:rPr>
        <w:t>.</w:t>
      </w:r>
    </w:p>
    <w:p w:rsidR="00083CEE" w:rsidRPr="00D17AE2" w:rsidP="00083CE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V závislosti od </w:t>
      </w:r>
      <w:r w:rsidRPr="00D17AE2" w:rsidR="0043324A">
        <w:rPr>
          <w:rFonts w:ascii="Tahoma" w:hAnsi="Tahoma"/>
          <w:sz w:val="18"/>
        </w:rPr>
        <w:t xml:space="preserve">testu </w:t>
      </w:r>
      <w:r w:rsidRPr="00D17AE2">
        <w:rPr>
          <w:rFonts w:ascii="Tahoma" w:hAnsi="Tahoma"/>
          <w:sz w:val="18"/>
        </w:rPr>
        <w:t xml:space="preserve">citlivosti na liek sa má poskytnúť liečba pomocou najmenej piatich účinných liekov proti tuberkulóze po dobu najmenej 20 mesiacov [5]. Ak pacient spĺňa kritériá oprávnenosti pre štandard s kratším režimom MDR-TB (9-11 mesiacov), môže sa použiť. </w:t>
      </w:r>
    </w:p>
    <w:p w:rsidR="00083CEE" w:rsidRPr="00D17AE2" w:rsidP="0028467E">
      <w:r w:rsidRPr="00D17AE2">
        <w:br w:type="page"/>
      </w:r>
    </w:p>
    <w:p w:rsidR="00835340" w:rsidRPr="00D17AE2" w:rsidP="00835340">
      <w:pPr>
        <w:pStyle w:val="EC-Title-6"/>
        <w:rPr>
          <w:lang w:val="sk-SK"/>
        </w:rPr>
      </w:pPr>
      <w:r w:rsidRPr="00D17AE2">
        <w:rPr>
          <w:lang w:val="sk-SK"/>
        </w:rPr>
        <w:t>Osobitné požiadavky v EÚ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Keďže liečba MDR/XDR-TB často predstavuje poslednú šancu na vyliečenie a prežitie, vyžaduje sa celý rad opatrení zameraných na pacienta vrátane liečebného poradenstva, sledovania a podpory liečby, ako aj psychosociálnej podpory, aby sa zabezpečilo dodržiavanie liečby [5, 23-25]. Toto je obzvlášť dôležité, keďže títo pacienti často patria k sociálne a ekonomicky znevýhodneným skupinám.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Pri liečbe MDR-TB sa žiadny liek nemá podať pacientovi so zdokumentovanou </w:t>
      </w:r>
      <w:r w:rsidRPr="00D17AE2" w:rsidR="0043324A">
        <w:rPr>
          <w:rFonts w:ascii="Tahoma" w:hAnsi="Tahoma"/>
          <w:sz w:val="18"/>
        </w:rPr>
        <w:t xml:space="preserve">rezistenciou </w:t>
      </w:r>
      <w:r w:rsidRPr="00D17AE2">
        <w:rPr>
          <w:rFonts w:ascii="Tahoma" w:hAnsi="Tahoma"/>
          <w:sz w:val="18"/>
        </w:rPr>
        <w:t>(buď molekulárnou alebo fenotypovou DST). Preto sa má vykonať DST druhej línie, aby sa potvrdil</w:t>
      </w:r>
      <w:r w:rsidRPr="00D17AE2" w:rsidR="0043324A">
        <w:rPr>
          <w:rFonts w:ascii="Tahoma" w:hAnsi="Tahoma"/>
          <w:sz w:val="18"/>
        </w:rPr>
        <w:t>i</w:t>
      </w:r>
      <w:r w:rsidRPr="00D17AE2">
        <w:rPr>
          <w:rFonts w:ascii="Tahoma" w:hAnsi="Tahoma"/>
          <w:sz w:val="18"/>
        </w:rPr>
        <w:t xml:space="preserve"> </w:t>
      </w:r>
      <w:r w:rsidRPr="00D17AE2" w:rsidR="0043324A">
        <w:rPr>
          <w:rFonts w:ascii="Tahoma" w:hAnsi="Tahoma"/>
          <w:sz w:val="18"/>
        </w:rPr>
        <w:t>testy rezistencie</w:t>
      </w:r>
      <w:r w:rsidRPr="00D17AE2" w:rsidR="00D17AE2">
        <w:rPr>
          <w:rFonts w:ascii="Tahoma" w:hAnsi="Tahoma"/>
          <w:sz w:val="18"/>
        </w:rPr>
        <w:t xml:space="preserve"> </w:t>
      </w:r>
      <w:r w:rsidR="0042450B">
        <w:rPr>
          <w:rFonts w:ascii="Tahoma" w:hAnsi="Tahoma"/>
          <w:sz w:val="18"/>
        </w:rPr>
        <w:t>na</w:t>
      </w:r>
      <w:r w:rsidRPr="00D17AE2">
        <w:rPr>
          <w:rFonts w:ascii="Tahoma" w:hAnsi="Tahoma"/>
          <w:sz w:val="18"/>
        </w:rPr>
        <w:t xml:space="preserve"> liek, ako aj správna voľba liečby.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V EÚ/EHP sa testovanie citlivosti na etambutol považuje za spoľahlivé, ak sa vykoná v autorizovanom laboratóriu[26]. Testovanie </w:t>
      </w:r>
      <w:r w:rsidRPr="00D17AE2" w:rsidR="0043324A">
        <w:rPr>
          <w:rFonts w:ascii="Tahoma" w:hAnsi="Tahoma"/>
          <w:sz w:val="18"/>
        </w:rPr>
        <w:t xml:space="preserve">citlivosti na </w:t>
      </w:r>
      <w:r w:rsidRPr="00D17AE2">
        <w:rPr>
          <w:rFonts w:ascii="Tahoma" w:hAnsi="Tahoma"/>
          <w:sz w:val="18"/>
        </w:rPr>
        <w:t>pyrazínamid sa môže uskutočňovať pomocou genotyp</w:t>
      </w:r>
      <w:r w:rsidRPr="00D17AE2" w:rsidR="0043324A">
        <w:rPr>
          <w:rFonts w:ascii="Tahoma" w:hAnsi="Tahoma"/>
          <w:sz w:val="18"/>
        </w:rPr>
        <w:t>ového</w:t>
      </w:r>
      <w:r w:rsidRPr="00D17AE2">
        <w:rPr>
          <w:rFonts w:ascii="Tahoma" w:hAnsi="Tahoma"/>
          <w:sz w:val="18"/>
        </w:rPr>
        <w:t xml:space="preserve"> (detekcia mutácií </w:t>
      </w:r>
      <w:r w:rsidRPr="00D17AE2">
        <w:rPr>
          <w:rFonts w:ascii="Tahoma" w:hAnsi="Tahoma"/>
          <w:i/>
          <w:sz w:val="18"/>
        </w:rPr>
        <w:t>pncA</w:t>
      </w:r>
      <w:r w:rsidRPr="00D17AE2">
        <w:rPr>
          <w:rFonts w:ascii="Tahoma" w:hAnsi="Tahoma"/>
          <w:sz w:val="18"/>
        </w:rPr>
        <w:t xml:space="preserve">) alebo fenotypového testu (t. j. automatizovaných metód založených na raste). 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Individualizovaný režim má zahŕňať najmenej päť účinných liekov proti tuberkulóze počas intenzívnej fázy vrátane pyrazínamidu a štyroch základných liekov druhej línie na liečbu tuberkulózy. Lieky sa majú vyberať podľa tohto princípu: jeden zo skupiny A, jeden zo skupiny B a najmenej dva zo skupiny C (tabuľka). Ak sa minimálny počet piatich účinných liekov proti tuberkulóze nemôže skladať z liekov zahrnutých v skupine A až C, môže sa pridať liek zo skupiny D2 a iné lieky zo skupiny D3, aby sa celkový súčet zvýšil na päť. Ak sa nemôže použiť pyrazinamid (napríklad kvôli </w:t>
      </w:r>
      <w:r w:rsidRPr="00D17AE2" w:rsidR="0043324A">
        <w:rPr>
          <w:rFonts w:ascii="Tahoma" w:hAnsi="Tahoma"/>
          <w:sz w:val="18"/>
        </w:rPr>
        <w:t xml:space="preserve">rezistencii </w:t>
      </w:r>
      <w:r w:rsidRPr="00D17AE2">
        <w:rPr>
          <w:rFonts w:ascii="Tahoma" w:hAnsi="Tahoma"/>
          <w:sz w:val="18"/>
        </w:rPr>
        <w:t xml:space="preserve">alebo toxicite), môže sa pridať ďalšia látka zo skupiny C alebo D na posilnenie režimu. Celková doba liečby sa pohybuje od 20 do 24 mesiacov, pričom odporúčaná intenzívna fáza je 8 mesiacov [5]. 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  <w:highlight w:val="yellow"/>
        </w:rPr>
      </w:pPr>
      <w:r w:rsidRPr="00D17AE2">
        <w:rPr>
          <w:rFonts w:ascii="Tahoma" w:hAnsi="Tahoma"/>
          <w:sz w:val="18"/>
        </w:rPr>
        <w:t xml:space="preserve">U pacientov s tuberkulózou </w:t>
      </w:r>
      <w:r w:rsidRPr="00D17AE2" w:rsidR="0043324A">
        <w:rPr>
          <w:rFonts w:ascii="Tahoma" w:hAnsi="Tahoma"/>
          <w:sz w:val="18"/>
        </w:rPr>
        <w:t xml:space="preserve">rezistentnou na </w:t>
      </w:r>
      <w:r w:rsidRPr="00D17AE2">
        <w:rPr>
          <w:rFonts w:ascii="Tahoma" w:hAnsi="Tahoma"/>
          <w:sz w:val="18"/>
        </w:rPr>
        <w:t xml:space="preserve">rifampicínu alebo u pacientov s MDR-TB, ktorí neboli predtým liečení liekmi druhej línie a u ktorých bola </w:t>
      </w:r>
      <w:r w:rsidRPr="00D17AE2" w:rsidR="0043324A">
        <w:rPr>
          <w:rFonts w:ascii="Tahoma" w:hAnsi="Tahoma"/>
          <w:sz w:val="18"/>
        </w:rPr>
        <w:t>rezisten</w:t>
      </w:r>
      <w:r w:rsidRPr="00D17AE2" w:rsidR="0087595F">
        <w:rPr>
          <w:rFonts w:ascii="Tahoma" w:hAnsi="Tahoma"/>
          <w:sz w:val="18"/>
        </w:rPr>
        <w:t>cia na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>fluorochinolón</w:t>
      </w:r>
      <w:r w:rsidRPr="00D17AE2" w:rsidR="0087595F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 xml:space="preserve"> a injekčn</w:t>
      </w:r>
      <w:r w:rsidRPr="00D17AE2" w:rsidR="0087595F">
        <w:rPr>
          <w:rFonts w:ascii="Tahoma" w:hAnsi="Tahoma"/>
          <w:sz w:val="18"/>
        </w:rPr>
        <w:t>é</w:t>
      </w:r>
      <w:r w:rsidRPr="00D17AE2">
        <w:rPr>
          <w:rFonts w:ascii="Tahoma" w:hAnsi="Tahoma"/>
          <w:sz w:val="18"/>
        </w:rPr>
        <w:t xml:space="preserve"> látk</w:t>
      </w:r>
      <w:r w:rsidRPr="00D17AE2" w:rsidR="0087595F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 xml:space="preserve"> druhého radu vylúčená alebo považovaná za veľmi nepravdepodobnú, sa môže použiť kratší liečebný režim MDR-TB v trvaní 9-11 mesiacov odporúčaný WHO namiesto bežného individuálneho režimu[5, 25, 27]. 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Liečba novými liekmi vrátane </w:t>
      </w:r>
      <w:r w:rsidRPr="00D17AE2" w:rsidR="0087595F">
        <w:rPr>
          <w:rFonts w:ascii="Tahoma" w:hAnsi="Tahoma"/>
          <w:sz w:val="18"/>
        </w:rPr>
        <w:t>bedaquilinu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 xml:space="preserve">a delamanidu spolu s liekmi na použitie v inej indikácii, akými sú linezolid a klofazamín a lieky druhej línie, na ktoré bude kmeň </w:t>
      </w:r>
      <w:r w:rsidRPr="00D17AE2">
        <w:rPr>
          <w:rFonts w:ascii="Tahoma" w:hAnsi="Tahoma"/>
          <w:i/>
          <w:sz w:val="18"/>
        </w:rPr>
        <w:t>M. tuberculosis</w:t>
      </w:r>
      <w:r w:rsidRPr="00D17AE2">
        <w:rPr>
          <w:rFonts w:ascii="Tahoma" w:hAnsi="Tahoma"/>
          <w:sz w:val="18"/>
        </w:rPr>
        <w:t xml:space="preserve"> pravdepodobne citlivý, je potrebná u pacientov s XDR-TB alebo u pacientov s kmeňmi </w:t>
      </w:r>
      <w:r w:rsidRPr="00D17AE2" w:rsidR="0087595F">
        <w:rPr>
          <w:rFonts w:ascii="Tahoma" w:hAnsi="Tahoma"/>
          <w:sz w:val="18"/>
        </w:rPr>
        <w:t xml:space="preserve">rezistentnými na </w:t>
      </w:r>
      <w:r w:rsidRPr="00D17AE2">
        <w:rPr>
          <w:rFonts w:ascii="Tahoma" w:hAnsi="Tahoma"/>
          <w:sz w:val="18"/>
        </w:rPr>
        <w:t>fluorochinolón</w:t>
      </w:r>
      <w:r w:rsidRPr="00D17AE2" w:rsidR="0087595F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 xml:space="preserve"> alebo injekčn</w:t>
      </w:r>
      <w:r w:rsidRPr="00D17AE2" w:rsidR="0087595F">
        <w:rPr>
          <w:rFonts w:ascii="Tahoma" w:hAnsi="Tahoma"/>
          <w:sz w:val="18"/>
        </w:rPr>
        <w:t>é</w:t>
      </w:r>
      <w:r w:rsidRPr="00D17AE2">
        <w:rPr>
          <w:rFonts w:ascii="Tahoma" w:hAnsi="Tahoma"/>
          <w:sz w:val="18"/>
        </w:rPr>
        <w:t xml:space="preserve"> liek</w:t>
      </w:r>
      <w:r w:rsidRPr="00D17AE2" w:rsidR="0087595F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 xml:space="preserve"> druhej línie [28, 29].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>U pacientov s vážnymi nežiaducimi účinkami na fluorochinolóny alebo injekčné lieky druhej línie sa môžu zvážiť aj nové lieky alebo lieky na použitie v inej indikácii.</w:t>
      </w:r>
    </w:p>
    <w:p w:rsidR="00DA3A70" w:rsidRPr="00D17AE2" w:rsidP="000D0DB0">
      <w:pPr>
        <w:rPr>
          <w:rFonts w:ascii="Tahoma" w:hAnsi="Tahoma" w:cs="Tahoma"/>
          <w:spacing w:val="-2"/>
          <w:sz w:val="18"/>
          <w:szCs w:val="18"/>
        </w:rPr>
      </w:pPr>
      <w:r w:rsidRPr="00D17AE2">
        <w:rPr>
          <w:rFonts w:ascii="Tahoma" w:hAnsi="Tahoma"/>
          <w:spacing w:val="-2"/>
          <w:sz w:val="18"/>
        </w:rPr>
        <w:t>Pri nežiaducich účinkoch po predpísaní liekov druhej línie sa má postupovať po</w:t>
      </w:r>
      <w:r w:rsidR="0042450B">
        <w:rPr>
          <w:rFonts w:ascii="Tahoma" w:hAnsi="Tahoma"/>
          <w:spacing w:val="-2"/>
          <w:sz w:val="18"/>
        </w:rPr>
        <w:t>dľa medzinárodných odporúčaní s </w:t>
      </w:r>
      <w:r w:rsidRPr="00D17AE2">
        <w:rPr>
          <w:rFonts w:ascii="Tahoma" w:hAnsi="Tahoma"/>
          <w:spacing w:val="-2"/>
          <w:sz w:val="18"/>
        </w:rPr>
        <w:t>cieľom obmedziť pravdepodobnosť straty účinného lieku v dôsledku takýchto nežiaducich účinkov [2]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Nežiaduce účinky, ako aj rozhodnutie začať liečbu alebo ju upraviť, resp. prerušiť v liečebnom režime druhej línie má riešiť tím odborníkov (napr. TB konzílium alebo podobný orgán) a nie jednotliví lekári, aby sa minimalizovali chyby a aby bola kolektívna zodpovednosť, ako aj skúsenosti a odborné vedomosti [28, 30, 31]. Má sa vyvinúť maximálne úsilie na zabránenie rozvoja ďalšej </w:t>
      </w:r>
      <w:r w:rsidRPr="00D17AE2" w:rsidR="0087595F">
        <w:rPr>
          <w:rFonts w:ascii="Tahoma" w:hAnsi="Tahoma"/>
          <w:sz w:val="18"/>
        </w:rPr>
        <w:t xml:space="preserve">rezistencie na </w:t>
      </w:r>
      <w:r w:rsidRPr="00D17AE2">
        <w:rPr>
          <w:rFonts w:ascii="Tahoma" w:hAnsi="Tahoma"/>
          <w:sz w:val="18"/>
        </w:rPr>
        <w:t>liek</w:t>
      </w:r>
      <w:r w:rsidRPr="00D17AE2" w:rsidR="0087595F">
        <w:rPr>
          <w:rFonts w:ascii="Tahoma" w:hAnsi="Tahoma"/>
          <w:sz w:val="18"/>
        </w:rPr>
        <w:t>y</w:t>
      </w:r>
      <w:r w:rsidRPr="00D17AE2">
        <w:rPr>
          <w:rFonts w:ascii="Tahoma" w:hAnsi="Tahoma"/>
          <w:sz w:val="18"/>
        </w:rPr>
        <w:t>.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WHO navrhla, že okrem chemoterapie vo vybraných prípadoch pľúcnej tuberkulózy sa môže použiť chirurgický zákrok, napr. v prípade </w:t>
      </w:r>
      <w:r w:rsidRPr="00D17AE2" w:rsidR="0087595F">
        <w:rPr>
          <w:rFonts w:ascii="Tahoma" w:hAnsi="Tahoma"/>
          <w:sz w:val="18"/>
        </w:rPr>
        <w:t xml:space="preserve">uzatvorených veľkých dutín </w:t>
      </w:r>
      <w:r w:rsidRPr="00D17AE2">
        <w:rPr>
          <w:rFonts w:ascii="Tahoma" w:hAnsi="Tahoma"/>
          <w:sz w:val="18"/>
        </w:rPr>
        <w:t>v jednom laloku [23]. V tomto smere je potrebný ďalší výskum.</w:t>
      </w:r>
    </w:p>
    <w:p w:rsidR="00835340" w:rsidRPr="00D17AE2">
      <w:pPr>
        <w:spacing w:after="160" w:line="259" w:lineRule="auto"/>
        <w:rPr>
          <w:b/>
        </w:rPr>
      </w:pPr>
      <w:r w:rsidRPr="00D17AE2">
        <w:br w:type="page"/>
      </w:r>
    </w:p>
    <w:p w:rsidR="00DA3A70" w:rsidRPr="00D17AE2" w:rsidP="0028467E">
      <w:pPr>
        <w:spacing w:after="120"/>
        <w:rPr>
          <w:rFonts w:ascii="Tahoma" w:hAnsi="Tahoma" w:cs="Tahoma"/>
          <w:b/>
          <w:sz w:val="18"/>
          <w:szCs w:val="18"/>
        </w:rPr>
      </w:pPr>
      <w:r w:rsidRPr="00D17AE2">
        <w:rPr>
          <w:rFonts w:ascii="Tahoma" w:hAnsi="Tahoma"/>
          <w:b/>
          <w:sz w:val="18"/>
        </w:rPr>
        <w:t>Klasifikácia Svetovej zdravotníckej organizácie týkajúca sa liekov proti tuberkulóze [23]</w:t>
      </w:r>
    </w:p>
    <w:tbl>
      <w:tblPr>
        <w:tblW w:w="9069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/>
      </w:tblPr>
      <w:tblGrid>
        <w:gridCol w:w="3031"/>
        <w:gridCol w:w="675"/>
        <w:gridCol w:w="2528"/>
        <w:gridCol w:w="2835"/>
      </w:tblGrid>
      <w:tr w:rsidTr="0028467E">
        <w:tblPrEx>
          <w:tblW w:w="9069" w:type="dxa"/>
          <w:tblBorders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  <w:insideH w:val="single" w:sz="2" w:space="0" w:color="D9D9D9"/>
            <w:insideV w:val="single" w:sz="2" w:space="0" w:color="D9D9D9"/>
          </w:tblBorders>
          <w:tblLook w:val="04A0"/>
        </w:tblPrEx>
        <w:tc>
          <w:tcPr>
            <w:tcW w:w="3031" w:type="dxa"/>
            <w:shd w:val="clear" w:color="auto" w:fill="69AF23"/>
          </w:tcPr>
          <w:p w:rsidR="00DA3A70" w:rsidRPr="00D17AE2" w:rsidP="0028467E">
            <w:pPr>
              <w:autoSpaceDE w:val="0"/>
              <w:autoSpaceDN w:val="0"/>
              <w:adjustRightInd w:val="0"/>
              <w:spacing w:before="120" w:after="120" w:line="240" w:lineRule="auto"/>
              <w:ind w:left="720"/>
              <w:jc w:val="both"/>
              <w:rPr>
                <w:rFonts w:ascii="Tahoma" w:hAnsi="Tahoma" w:cs="Tahoma"/>
                <w:b/>
                <w:color w:val="FFFFFF"/>
                <w:sz w:val="18"/>
                <w:szCs w:val="18"/>
              </w:rPr>
            </w:pPr>
            <w:r w:rsidRPr="00D17AE2">
              <w:rPr>
                <w:rFonts w:ascii="Tahoma" w:hAnsi="Tahoma"/>
                <w:b/>
                <w:color w:val="FFFFFF"/>
                <w:sz w:val="18"/>
              </w:rPr>
              <w:t>Skupina</w:t>
            </w:r>
          </w:p>
        </w:tc>
        <w:tc>
          <w:tcPr>
            <w:tcW w:w="3203" w:type="dxa"/>
            <w:gridSpan w:val="2"/>
            <w:shd w:val="clear" w:color="auto" w:fill="69AF23"/>
          </w:tcPr>
          <w:p w:rsidR="00DA3A70" w:rsidRPr="00D17AE2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/>
                <w:sz w:val="18"/>
                <w:szCs w:val="18"/>
              </w:rPr>
            </w:pPr>
            <w:r w:rsidRPr="00D17AE2">
              <w:rPr>
                <w:rFonts w:ascii="Tahoma" w:hAnsi="Tahoma"/>
                <w:b/>
                <w:color w:val="FFFFFF"/>
                <w:sz w:val="18"/>
              </w:rPr>
              <w:t>Lieky</w:t>
            </w:r>
          </w:p>
        </w:tc>
        <w:tc>
          <w:tcPr>
            <w:tcW w:w="2835" w:type="dxa"/>
            <w:shd w:val="clear" w:color="auto" w:fill="69AF23"/>
          </w:tcPr>
          <w:p w:rsidR="00DA3A70" w:rsidRPr="00D17AE2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/>
                <w:sz w:val="18"/>
                <w:szCs w:val="18"/>
              </w:rPr>
            </w:pPr>
            <w:r w:rsidRPr="00D17AE2">
              <w:rPr>
                <w:rFonts w:ascii="Tahoma" w:hAnsi="Tahoma"/>
                <w:b/>
                <w:color w:val="FFFFFF"/>
                <w:sz w:val="18"/>
              </w:rPr>
              <w:t>Skratka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shd w:val="clear" w:color="auto" w:fill="auto"/>
          </w:tcPr>
          <w:p w:rsidR="00DA3A70" w:rsidRPr="00D17AE2" w:rsidP="00D40AC5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Fluórchinolóny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D17AE2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Levofloxacín</w:t>
            </w:r>
          </w:p>
          <w:p w:rsidR="00DA3A70" w:rsidRPr="00D17AE2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Moxifloxacín</w:t>
            </w:r>
          </w:p>
          <w:p w:rsidR="00DA3A70" w:rsidRPr="00D17AE2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Gatifloxacín</w:t>
            </w:r>
          </w:p>
        </w:tc>
        <w:tc>
          <w:tcPr>
            <w:tcW w:w="2835" w:type="dxa"/>
            <w:shd w:val="clear" w:color="auto" w:fill="auto"/>
          </w:tcPr>
          <w:p w:rsidR="00DA3A70" w:rsidRPr="00D17AE2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Lfx</w:t>
            </w:r>
          </w:p>
          <w:p w:rsidR="00DA3A70" w:rsidRPr="00D17AE2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Mfx</w:t>
            </w:r>
          </w:p>
          <w:p w:rsidR="00DA3A70" w:rsidRPr="00D17AE2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Gfx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shd w:val="clear" w:color="auto" w:fill="auto"/>
          </w:tcPr>
          <w:p w:rsidR="00DA3A70" w:rsidRPr="00D17AE2" w:rsidP="00D40AC5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Injekčné lieky druhej línie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Amikacín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Kapreomycín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Kanamycín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(Streptomycín)</w:t>
            </w:r>
          </w:p>
        </w:tc>
        <w:tc>
          <w:tcPr>
            <w:tcW w:w="2835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Am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Cm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Km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(S)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shd w:val="clear" w:color="auto" w:fill="auto"/>
          </w:tcPr>
          <w:p w:rsidR="00DA3A70" w:rsidRPr="00D17AE2" w:rsidP="00D40AC5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Iné základné lieky druhej línie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Etió</w:t>
            </w:r>
            <w:r w:rsidRPr="00D17AE2" w:rsidR="0087595F">
              <w:rPr>
                <w:rFonts w:ascii="Tahoma" w:hAnsi="Tahoma"/>
                <w:sz w:val="18"/>
              </w:rPr>
              <w:t>n</w:t>
            </w:r>
            <w:r w:rsidRPr="00D17AE2">
              <w:rPr>
                <w:rFonts w:ascii="Tahoma" w:hAnsi="Tahoma"/>
                <w:sz w:val="18"/>
              </w:rPr>
              <w:t>amid/Protionamid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Cykloserín/Terizidón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Linezolid</w:t>
            </w:r>
          </w:p>
          <w:p w:rsidR="00DA3A70" w:rsidRPr="00D17AE2" w:rsidP="00BD3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Klofazamín</w:t>
            </w:r>
          </w:p>
        </w:tc>
        <w:tc>
          <w:tcPr>
            <w:tcW w:w="2835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Eto/Pto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Cs/Trd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Lzd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Cfz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vMerge w:val="restart"/>
            <w:shd w:val="clear" w:color="auto" w:fill="auto"/>
          </w:tcPr>
          <w:p w:rsidR="00DA3A70" w:rsidRPr="00D17AE2" w:rsidP="00D40AC5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Doplnkové látky</w:t>
            </w:r>
            <w:r w:rsidRPr="00D17AE2">
              <w:rPr>
                <w:rFonts w:ascii="Tahoma" w:hAnsi="Tahoma" w:cs="Tahoma"/>
                <w:sz w:val="18"/>
                <w:szCs w:val="18"/>
              </w:rPr>
              <w:br/>
            </w:r>
            <w:r w:rsidRPr="00D17AE2">
              <w:rPr>
                <w:rFonts w:ascii="Tahoma" w:hAnsi="Tahoma"/>
                <w:sz w:val="18"/>
              </w:rPr>
              <w:t>(nie sú súčasťou základného režimu MDR-TB)</w:t>
            </w:r>
          </w:p>
        </w:tc>
        <w:tc>
          <w:tcPr>
            <w:tcW w:w="675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D1</w:t>
            </w:r>
          </w:p>
        </w:tc>
        <w:tc>
          <w:tcPr>
            <w:tcW w:w="2528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Pyrazínamid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Etambutol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Vysoká dávka izoniazidu</w:t>
            </w:r>
          </w:p>
        </w:tc>
        <w:tc>
          <w:tcPr>
            <w:tcW w:w="2835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Z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E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D17AE2">
              <w:rPr>
                <w:rFonts w:ascii="Tahoma" w:hAnsi="Tahoma"/>
                <w:sz w:val="18"/>
              </w:rPr>
              <w:t xml:space="preserve">H </w:t>
            </w:r>
            <w:r w:rsidRPr="00D17AE2">
              <w:rPr>
                <w:rFonts w:ascii="Tahoma" w:hAnsi="Tahoma"/>
                <w:b/>
                <w:sz w:val="18"/>
                <w:vertAlign w:val="subscript"/>
              </w:rPr>
              <w:t>(vysoká dávka)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vMerge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D2</w:t>
            </w:r>
          </w:p>
        </w:tc>
        <w:tc>
          <w:tcPr>
            <w:tcW w:w="2528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 xml:space="preserve">Bedaquilin 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Delamanid</w:t>
            </w:r>
          </w:p>
        </w:tc>
        <w:tc>
          <w:tcPr>
            <w:tcW w:w="2835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Bdq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Dlm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vMerge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D3</w:t>
            </w:r>
          </w:p>
        </w:tc>
        <w:tc>
          <w:tcPr>
            <w:tcW w:w="2528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p-aminosalicylová kyselina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Imipeném cilastatín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Meropeném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Amoxicilín klavulanát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(Tioacetazón)</w:t>
            </w:r>
          </w:p>
        </w:tc>
        <w:tc>
          <w:tcPr>
            <w:tcW w:w="2835" w:type="dxa"/>
            <w:shd w:val="clear" w:color="auto" w:fill="auto"/>
          </w:tcPr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PAS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Ipm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Mpm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Amx-Clv</w:t>
            </w:r>
          </w:p>
          <w:p w:rsidR="00DA3A70" w:rsidRPr="00D17AE2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17AE2">
              <w:rPr>
                <w:rFonts w:ascii="Tahoma" w:hAnsi="Tahoma"/>
                <w:sz w:val="18"/>
              </w:rPr>
              <w:t>(T)</w:t>
            </w:r>
          </w:p>
        </w:tc>
      </w:tr>
    </w:tbl>
    <w:p w:rsidR="00DA3A70" w:rsidRPr="00D17AE2" w:rsidP="00DB519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Cs w:val="24"/>
        </w:rPr>
      </w:pPr>
    </w:p>
    <w:p w:rsidR="00DA3A70" w:rsidRPr="00D17AE2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13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P</w:t>
      </w:r>
      <w:r w:rsidRPr="00D17AE2" w:rsidR="00CD0836">
        <w:rPr>
          <w:rFonts w:ascii="Tahoma" w:hAnsi="Tahoma"/>
          <w:sz w:val="18"/>
        </w:rPr>
        <w:t>ísomný alebo elektronický záznam o všetkých podaných liekoch, monitorovaní liečby (vrátane bakteriologickej reakcie), nežiaducich reakciách a výsledkoch liečby každého pacienta</w:t>
      </w:r>
      <w:r w:rsidRPr="00D17AE2">
        <w:rPr>
          <w:rFonts w:ascii="Tahoma" w:hAnsi="Tahoma"/>
          <w:sz w:val="18"/>
        </w:rPr>
        <w:t xml:space="preserve">, sa má uchovávať. </w:t>
      </w:r>
    </w:p>
    <w:p w:rsidR="00835340" w:rsidRPr="00D17AE2" w:rsidP="000D0DB0">
      <w:pPr>
        <w:pStyle w:val="EC-Title-6"/>
        <w:rPr>
          <w:sz w:val="18"/>
          <w:szCs w:val="18"/>
          <w:lang w:val="sk-SK"/>
        </w:rPr>
      </w:pPr>
      <w:r w:rsidRPr="00D17AE2">
        <w:rPr>
          <w:lang w:val="sk-SK"/>
        </w:rPr>
        <w:t>Osobitné požiadavky v EÚ</w:t>
      </w:r>
    </w:p>
    <w:p w:rsidR="00DA3A70" w:rsidRPr="00D17AE2" w:rsidP="00604B0D">
      <w:pPr>
        <w:widowControl w:val="0"/>
        <w:spacing w:after="0"/>
        <w:jc w:val="both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Pri prvom kontakte s pacientom sa má zhromaždiť kompletná klinická a sociálna anamnéza tuberkulózy, ktorá sa zapíše do zdravotného záznamu. Má obsahovať všetky existujúce informácie o predchádzajúcej diagnóze, liečbe a jej dodržiavaní (režim, dávky, dĺžka trvania, zmeny v režime, atď.), ako aj úplné informácie o bakteriológii pri diagnostike a následnom sledovaní (vzorka </w:t>
      </w:r>
      <w:r w:rsidRPr="00D17AE2" w:rsidR="0087595F">
        <w:rPr>
          <w:rFonts w:ascii="Tahoma" w:hAnsi="Tahoma"/>
          <w:sz w:val="18"/>
        </w:rPr>
        <w:t>spúta</w:t>
      </w:r>
      <w:r w:rsidRPr="00D17AE2" w:rsidR="00D17AE2">
        <w:rPr>
          <w:rFonts w:ascii="Tahoma" w:hAnsi="Tahoma"/>
          <w:sz w:val="18"/>
        </w:rPr>
        <w:t>,</w:t>
      </w:r>
      <w:r w:rsidRPr="00D17AE2">
        <w:rPr>
          <w:rFonts w:ascii="Tahoma" w:hAnsi="Tahoma"/>
          <w:sz w:val="18"/>
        </w:rPr>
        <w:t xml:space="preserve"> identifikácia kultúry a druhov, testovanie citlivosti liekov na lieky prvej a druhej línie). Tieto informácie sa majú uviesť v dokumentácii vydanej pacientovi (výmenný lístok, odovzdávací formulár alebo rovnocenný doklad), aby sa uľahčila kontinuálna starostlivosť, ak sa pacient presťahuje/je presťahovaný do in</w:t>
      </w:r>
      <w:r w:rsidRPr="00D17AE2" w:rsidR="00433AAE">
        <w:rPr>
          <w:rFonts w:ascii="Tahoma" w:hAnsi="Tahoma"/>
          <w:sz w:val="18"/>
        </w:rPr>
        <w:t>ého</w:t>
      </w:r>
      <w:r w:rsidRPr="00D17AE2">
        <w:rPr>
          <w:rFonts w:ascii="Tahoma" w:hAnsi="Tahoma"/>
          <w:sz w:val="18"/>
        </w:rPr>
        <w:t xml:space="preserve"> zdravotného obvodu [32, 33].</w:t>
      </w:r>
    </w:p>
    <w:p w:rsidR="00D830C5" w:rsidRPr="00D17AE2" w:rsidP="000D0DB0">
      <w:pPr>
        <w:pStyle w:val="EC-Title-5"/>
        <w:spacing w:before="120"/>
      </w:pPr>
      <w:r w:rsidRPr="00D17AE2">
        <w:t xml:space="preserve">Štandardy na postup pri infekcii HIV a komorbiditách </w:t>
      </w:r>
    </w:p>
    <w:p w:rsidR="00DA3A70" w:rsidRPr="00D17AE2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14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Má sa poskytovať poradenstvo ohľadne HIV a testovanie na HIV sa má odporučiť všetkým pacientom, ktorí tuberkulózu majú alebo sa u nich tuberkulóza predpokladá. Testovanie má mimoriadny význam ako súčasť rutinného manažmentu všetkých pacientov v oblastiach s vysokou prevalenciou infekcie HIV u bežnej populácie alebo ak je pacient z vysoko rizikovej populácie alebo má symptómy a/alebo príznaky súvisiace ťažkosťami týkajúcimi sa HIV. Vzhľadom na úzku interakciu medzi tuberkulózou a infekciou HIV sa odporúčajú integrované prístupy k prevencii a liečbe oboch infekcií [34].</w:t>
      </w:r>
    </w:p>
    <w:p w:rsidR="00DA3A70" w:rsidRPr="00D17AE2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15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Všetci pacienti s tuberkulózou a infekciou HIV majú byť starostlivo posudzovaní: antiretrovírusová terapia sa odporúča u všetkých HIV-pozitívnych pacientov s tuberkulózou. Liečba tuberkulózy sa má začať ihneď a čo najskôr sa má predpísať antiretrovírusová liečba. </w:t>
      </w:r>
    </w:p>
    <w:p w:rsidR="00DA3A70" w:rsidRPr="00D17AE2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i/>
          <w:sz w:val="24"/>
          <w:szCs w:val="24"/>
          <w:shd w:val="clear" w:color="auto" w:fill="D9D9D9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16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Osoby so koinfekciou HIV, ktoré majú po dôkladnom vyhodnotení pozitívny test (TST a/ alebo IGRA) na predpokladanú latentnú infekciu </w:t>
      </w:r>
      <w:r w:rsidRPr="00D17AE2">
        <w:rPr>
          <w:rFonts w:ascii="Tahoma" w:hAnsi="Tahoma"/>
          <w:i/>
          <w:sz w:val="18"/>
        </w:rPr>
        <w:t>M. tuberculosis</w:t>
      </w:r>
      <w:r w:rsidRPr="00D17AE2">
        <w:rPr>
          <w:rFonts w:ascii="Tahoma" w:hAnsi="Tahoma"/>
          <w:sz w:val="18"/>
        </w:rPr>
        <w:t>, ale nemajú aktívnu tuberkulózu, majú dostať preventívnu liečbu.</w:t>
      </w:r>
    </w:p>
    <w:p w:rsidR="00835340" w:rsidRPr="00D17AE2" w:rsidP="000D0DB0">
      <w:pPr>
        <w:pStyle w:val="EC-Title-6"/>
        <w:rPr>
          <w:sz w:val="18"/>
          <w:szCs w:val="18"/>
          <w:lang w:val="sk-SK"/>
        </w:rPr>
      </w:pPr>
      <w:r w:rsidRPr="00D17AE2">
        <w:rPr>
          <w:lang w:val="sk-SK"/>
        </w:rPr>
        <w:t>Osobitné požiadavky v EÚ</w:t>
      </w:r>
    </w:p>
    <w:p w:rsidR="00DA3A70" w:rsidRPr="00D17AE2" w:rsidP="000D0DB0">
      <w:pPr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Keďže je známe, že koinfekcia HIV zvyšuje pravdepodobnosť vzniku aktívneho tuberkulózneho ochorenia po infekcii, HIV-séropozitívne osoby, ktoré boli v kontakte s indexovým prípadom obsahujúcim kmeň MDR-TB, majú </w:t>
      </w:r>
      <w:r w:rsidRPr="00D17AE2">
        <w:rPr>
          <w:rFonts w:ascii="Tahoma" w:hAnsi="Tahoma"/>
          <w:sz w:val="18"/>
        </w:rPr>
        <w:t>na začiatku podstúpiť individuálne posúdenie rizika. Pravidelné klinické monitorovanie a ďalšie sledovanie majú dostať tí, ktorí majú preukázanú latentnú infekciu. [35].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Pri preventívnej liečbe sa m</w:t>
      </w:r>
      <w:r w:rsidRPr="00D17AE2" w:rsidR="00055BBC">
        <w:rPr>
          <w:rFonts w:ascii="Tahoma" w:hAnsi="Tahoma"/>
          <w:sz w:val="18"/>
        </w:rPr>
        <w:t>ajú</w:t>
      </w:r>
      <w:r w:rsidRPr="00D17AE2">
        <w:rPr>
          <w:rFonts w:ascii="Tahoma" w:hAnsi="Tahoma"/>
          <w:sz w:val="18"/>
        </w:rPr>
        <w:t xml:space="preserve"> brať do úvahy </w:t>
      </w:r>
      <w:r w:rsidRPr="00D17AE2" w:rsidR="00433AAE">
        <w:rPr>
          <w:rFonts w:ascii="Tahoma" w:hAnsi="Tahoma"/>
          <w:sz w:val="18"/>
        </w:rPr>
        <w:t>testy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 xml:space="preserve">liekovej rezistencie v zdrojovom prípade, počet CD4 a použitie antiretrovírusovej liečby. Preventívna liečba sa má poskytovať pomocou </w:t>
      </w:r>
      <w:r w:rsidRPr="00D17AE2" w:rsidR="00055BBC">
        <w:rPr>
          <w:rFonts w:ascii="Tahoma" w:hAnsi="Tahoma"/>
          <w:sz w:val="18"/>
        </w:rPr>
        <w:t xml:space="preserve">režimu </w:t>
      </w:r>
      <w:r w:rsidRPr="00D17AE2">
        <w:rPr>
          <w:rFonts w:ascii="Tahoma" w:hAnsi="Tahoma"/>
          <w:sz w:val="18"/>
        </w:rPr>
        <w:t xml:space="preserve">6-mesačného alebo 9-mesačného </w:t>
      </w:r>
      <w:r w:rsidRPr="00D17AE2" w:rsidR="00055BBC">
        <w:rPr>
          <w:rFonts w:ascii="Tahoma" w:hAnsi="Tahoma"/>
          <w:sz w:val="18"/>
        </w:rPr>
        <w:t xml:space="preserve">podávania </w:t>
      </w:r>
      <w:r w:rsidRPr="00D17AE2">
        <w:rPr>
          <w:rFonts w:ascii="Tahoma" w:hAnsi="Tahoma"/>
          <w:sz w:val="18"/>
        </w:rPr>
        <w:t xml:space="preserve">izoniazidu alebo 3-mesačného režimu </w:t>
      </w:r>
      <w:r w:rsidRPr="00D17AE2" w:rsidR="00055BBC">
        <w:rPr>
          <w:rFonts w:ascii="Tahoma" w:hAnsi="Tahoma"/>
          <w:sz w:val="18"/>
        </w:rPr>
        <w:t xml:space="preserve">podávaného 1x </w:t>
      </w:r>
      <w:r w:rsidRPr="00D17AE2">
        <w:rPr>
          <w:rFonts w:ascii="Tahoma" w:hAnsi="Tahoma"/>
          <w:sz w:val="18"/>
        </w:rPr>
        <w:t>týždenn</w:t>
      </w:r>
      <w:r w:rsidRPr="00D17AE2" w:rsidR="00055BBC">
        <w:rPr>
          <w:rFonts w:ascii="Tahoma" w:hAnsi="Tahoma"/>
          <w:sz w:val="18"/>
        </w:rPr>
        <w:t>e</w:t>
      </w:r>
      <w:r w:rsidRPr="00D17AE2">
        <w:rPr>
          <w:rFonts w:ascii="Tahoma" w:hAnsi="Tahoma"/>
          <w:sz w:val="18"/>
        </w:rPr>
        <w:t xml:space="preserve"> rifapentín plus izoniazid alebo 3-4 mesiace </w:t>
      </w:r>
      <w:r w:rsidRPr="00D17AE2" w:rsidR="00055BBC">
        <w:rPr>
          <w:rFonts w:ascii="Tahoma" w:hAnsi="Tahoma"/>
          <w:sz w:val="18"/>
        </w:rPr>
        <w:t xml:space="preserve">podávaný režim </w:t>
      </w:r>
      <w:r w:rsidRPr="00D17AE2">
        <w:rPr>
          <w:rFonts w:ascii="Tahoma" w:hAnsi="Tahoma"/>
          <w:sz w:val="18"/>
        </w:rPr>
        <w:t>izoniazid plus rifampicín alebo 3-4 mes</w:t>
      </w:r>
      <w:r w:rsidRPr="00D17AE2" w:rsidR="00055BBC">
        <w:rPr>
          <w:rFonts w:ascii="Tahoma" w:hAnsi="Tahoma"/>
          <w:sz w:val="18"/>
        </w:rPr>
        <w:t>iace podávaný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>samotn</w:t>
      </w:r>
      <w:r w:rsidRPr="00D17AE2" w:rsidR="00055BBC">
        <w:rPr>
          <w:rFonts w:ascii="Tahoma" w:hAnsi="Tahoma"/>
          <w:sz w:val="18"/>
        </w:rPr>
        <w:t>ý</w:t>
      </w:r>
      <w:r w:rsidRPr="00D17AE2">
        <w:rPr>
          <w:rFonts w:ascii="Tahoma" w:hAnsi="Tahoma"/>
          <w:sz w:val="18"/>
        </w:rPr>
        <w:t xml:space="preserve"> rifampicín [36,37]. Režimy obsahujúce rifampicín a rifapentín sa majú predpisovať obozretne pacientom s HIV, ktorí sú na antiretrovírusovej liečbe kvôli možným liekovým interakciám [36, 38].</w:t>
      </w:r>
    </w:p>
    <w:p w:rsidR="00DA3A70" w:rsidRPr="00D17AE2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17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Všetci poskytovatelia majú dôkladne posúdiť podmienky, ktoré by mohli ovplyvniť odpoveď na liečbu tuberkulózy alebo jej výsledok. Počas vypracovania plánu riadenia prípadu má poskytovateľ u každého pacienta určiť ďalšie služby, ktoré by podporili optimálny výsledok, a začleniť ich do individuálneho plánu starostlivosti. Tento plán má zahŕňať posúdenie a odporúčania pre liečbu iných ochorení s osobitným dôrazom na tie, o ktorých je známe, že ovplyvňujú výsledok liečby, napríklad HIV, diabetes mellitus, závislosť na drogách a alkohol</w:t>
      </w:r>
      <w:r w:rsidRPr="00D17AE2" w:rsidR="00D17AE2">
        <w:rPr>
          <w:rFonts w:ascii="Tahoma" w:hAnsi="Tahoma"/>
          <w:sz w:val="18"/>
        </w:rPr>
        <w:t>e, fajčenie tabaku a iné psycho</w:t>
      </w:r>
      <w:r w:rsidRPr="00D17AE2">
        <w:rPr>
          <w:rFonts w:ascii="Tahoma" w:hAnsi="Tahoma"/>
          <w:sz w:val="18"/>
        </w:rPr>
        <w:t>sociálne problémy [39]. V prípade potreby sa majú poskytnúť aj služby, ako je prenatálna starostlivosť alebo starostlivosť o dieťa.</w:t>
      </w:r>
    </w:p>
    <w:p w:rsidR="00835340" w:rsidRPr="00D17AE2" w:rsidP="000D0DB0">
      <w:pPr>
        <w:pStyle w:val="EC-Title-6"/>
        <w:rPr>
          <w:lang w:val="sk-SK"/>
        </w:rPr>
      </w:pPr>
      <w:r w:rsidRPr="00D17AE2">
        <w:rPr>
          <w:lang w:val="sk-SK"/>
        </w:rPr>
        <w:t>Osobitné požiadavky v EÚ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Implementácia celého balíka opísaného v politike WHO o spoluprác</w:t>
      </w:r>
      <w:r w:rsidRPr="00D17AE2" w:rsidR="00055BBC">
        <w:rPr>
          <w:rFonts w:ascii="Tahoma" w:hAnsi="Tahoma"/>
          <w:sz w:val="18"/>
        </w:rPr>
        <w:t>i</w:t>
      </w:r>
      <w:r w:rsidRPr="00D17AE2">
        <w:rPr>
          <w:rFonts w:ascii="Tahoma" w:hAnsi="Tahoma"/>
          <w:sz w:val="18"/>
        </w:rPr>
        <w:t xml:space="preserve"> v boji proti TBC/HIV sa má vykonávať vo všetkých opatreniach, ktoré sú</w:t>
      </w:r>
      <w:r w:rsidRPr="00D17AE2" w:rsidR="00303DC5">
        <w:rPr>
          <w:rFonts w:ascii="Tahoma" w:hAnsi="Tahoma"/>
          <w:sz w:val="18"/>
        </w:rPr>
        <w:t xml:space="preserve"> </w:t>
      </w:r>
      <w:r w:rsidRPr="00D17AE2" w:rsidR="00055BBC">
        <w:rPr>
          <w:rFonts w:ascii="Tahoma" w:hAnsi="Tahoma"/>
          <w:sz w:val="18"/>
        </w:rPr>
        <w:t>tu uvedené</w:t>
      </w:r>
      <w:r w:rsidRPr="00D17AE2" w:rsidR="00D17AE2">
        <w:rPr>
          <w:rFonts w:ascii="Tahoma" w:hAnsi="Tahoma"/>
          <w:sz w:val="18"/>
        </w:rPr>
        <w:t>,</w:t>
      </w:r>
      <w:r w:rsidRPr="00D17AE2">
        <w:rPr>
          <w:rFonts w:ascii="Tahoma" w:hAnsi="Tahoma"/>
          <w:sz w:val="18"/>
        </w:rPr>
        <w:t xml:space="preserve"> ako aj u tých, ktoré sú súčasťou balíka WHO [34].</w:t>
      </w:r>
    </w:p>
    <w:p w:rsidR="00DA3A70" w:rsidRPr="00D17AE2" w:rsidP="0028467E">
      <w:pPr>
        <w:pStyle w:val="EC-Title-5"/>
        <w:spacing w:before="120"/>
        <w:rPr>
          <w:b w:val="0"/>
          <w:sz w:val="24"/>
          <w:szCs w:val="24"/>
        </w:rPr>
      </w:pPr>
      <w:r w:rsidRPr="00D17AE2">
        <w:t>Štandardy verejného zdravia a prevencie tuberkulózy</w:t>
      </w:r>
    </w:p>
    <w:p w:rsidR="00DA3A70" w:rsidRPr="00D17AE2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D17AE2">
        <w:rPr>
          <w:rFonts w:ascii="Tahoma" w:hAnsi="Tahoma"/>
          <w:b/>
          <w:sz w:val="24"/>
        </w:rPr>
        <w:t>Štandard 18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Všetci poskytovatelia zdravotnej starostlivosti pacientom s tuberkulózou majú zabezpečiť, aby osoby v úzkom kontakte s aktívnymi a infekčnými formami tuberkulózy boli hodnotené a riadené v súlade s medzinárodnými odporúčaniami. Medzi osoby v úzkom kontakte patria členovia domácnosti a rodiny a osoby s intenzívnym alebo dlhotrvajúcim kontaktom v kongregačných zariadeniach, akými sú väznice, útulky pre bezdomovcov alebo prisťahovalcov a vnútorné priestory, akými sú školy alebo kancelárie.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Riziko prenosu tuberkulózy závisí od koncentrácie tuberkulóznych bacilov vo vzduchu, prúdenia vzduchu, doby trvania kontaktu a</w:t>
      </w:r>
      <w:r w:rsidRPr="00D17AE2" w:rsidR="005C026A">
        <w:rPr>
          <w:rFonts w:ascii="Tahoma" w:hAnsi="Tahoma"/>
          <w:sz w:val="18"/>
        </w:rPr>
        <w:t xml:space="preserve"> náchylnosti </w:t>
      </w:r>
      <w:r w:rsidRPr="00D17AE2">
        <w:rPr>
          <w:rFonts w:ascii="Tahoma" w:hAnsi="Tahoma"/>
          <w:sz w:val="18"/>
        </w:rPr>
        <w:t>osoby v kontakte na infekciu. Určenie priorít pre vyšetrenie osoby v kontakte je založené na pravdepodobnosti, že táto osoba: 1) má nediagnostikovanú a teda neliečenú tuberkulózu; 2) je vystavená vysokému riziku infekcie indexovým prípadom; 3) je vystavená vysokému riziku vzniku tuberkulózy, ak je infikovaná; 4) je vystavená vysokému riziku vzniku závažnej tuberkulózy, ak sa ochorenie rozvije.</w:t>
      </w:r>
    </w:p>
    <w:p w:rsidR="00835340" w:rsidRPr="00D17AE2" w:rsidP="00835340">
      <w:pPr>
        <w:pStyle w:val="EC-Title-6"/>
        <w:rPr>
          <w:lang w:val="sk-SK"/>
        </w:rPr>
      </w:pPr>
      <w:r w:rsidRPr="00D17AE2">
        <w:rPr>
          <w:lang w:val="sk-SK"/>
        </w:rPr>
        <w:t>Osobitné požiadavky v EÚ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Determinanty prenosu a citlivosti na tuberkulóz</w:t>
      </w:r>
      <w:r w:rsidRPr="00D17AE2" w:rsidR="005C026A">
        <w:rPr>
          <w:rFonts w:ascii="Tahoma" w:hAnsi="Tahoma"/>
          <w:sz w:val="18"/>
        </w:rPr>
        <w:t>u</w:t>
      </w:r>
      <w:r w:rsidRPr="00D17AE2">
        <w:rPr>
          <w:rFonts w:ascii="Tahoma" w:hAnsi="Tahoma"/>
          <w:sz w:val="18"/>
        </w:rPr>
        <w:t xml:space="preserve"> sa majú starostlivo zvážiť pri posudzovaní pravdepodobnosti potreby začatia sledovania osôb v kontakte [40]. 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Osoby v úzkom kontakte s pacientmi, ktorí majú MDR a XDR-TB, majú byť testované na latentnú tuberkulózu (LTBI) a tuberkulózu podľa národných smerníc. Osoby v úzkom kontakte, u ktorých bola tuberkulózna choroba vylúčená a u ktorých </w:t>
      </w:r>
      <w:r w:rsidRPr="00D17AE2" w:rsidR="005C026A">
        <w:rPr>
          <w:rFonts w:ascii="Tahoma" w:hAnsi="Tahoma"/>
          <w:sz w:val="18"/>
        </w:rPr>
        <w:t>je</w:t>
      </w:r>
      <w:r w:rsidRPr="00D17AE2">
        <w:rPr>
          <w:rFonts w:ascii="Tahoma" w:hAnsi="Tahoma"/>
          <w:sz w:val="18"/>
        </w:rPr>
        <w:t xml:space="preserve"> diagnostikovan</w:t>
      </w:r>
      <w:r w:rsidRPr="00D17AE2" w:rsidR="005C026A">
        <w:rPr>
          <w:rFonts w:ascii="Tahoma" w:hAnsi="Tahoma"/>
          <w:sz w:val="18"/>
        </w:rPr>
        <w:t>á</w:t>
      </w:r>
      <w:r w:rsidRPr="00D17AE2">
        <w:rPr>
          <w:rFonts w:ascii="Tahoma" w:hAnsi="Tahoma"/>
          <w:sz w:val="18"/>
        </w:rPr>
        <w:t xml:space="preserve"> LTBI, sa majú podrobiť individuálnemu posúdeniu rizika s cieľom určiť: 1) riziko osoby v kontakte na náchylnosť k vzniku tuberkulózneho ochorenia; 2) </w:t>
      </w:r>
      <w:r w:rsidRPr="00D17AE2" w:rsidR="005C026A">
        <w:rPr>
          <w:rFonts w:ascii="Tahoma" w:hAnsi="Tahoma"/>
          <w:sz w:val="18"/>
        </w:rPr>
        <w:t xml:space="preserve">stanovenie </w:t>
      </w:r>
      <w:r w:rsidRPr="00D17AE2">
        <w:rPr>
          <w:rFonts w:ascii="Tahoma" w:hAnsi="Tahoma"/>
          <w:sz w:val="18"/>
        </w:rPr>
        <w:t>citlivosti lieku v zdrojovom prípade; 3) riziko osoby v kontakte na výskyt nežiaducich účinkov pri začatí liečby LTBI [36, 38]. Bez ohľadu na klinické odporúčania týkajúce sa liečby LTBI majú zdravotnícki pracovníci so skúsenosťami s liečbou ochorení LTBI a tuberkulózy [35, 41] poskytovať</w:t>
      </w:r>
      <w:r w:rsidRPr="00D17AE2" w:rsidR="005C026A">
        <w:rPr>
          <w:rFonts w:ascii="Tahoma" w:hAnsi="Tahoma"/>
          <w:sz w:val="18"/>
        </w:rPr>
        <w:t xml:space="preserve"> osobám v kontakte</w:t>
      </w:r>
      <w:r w:rsidRPr="00D17AE2">
        <w:rPr>
          <w:rFonts w:ascii="Tahoma" w:hAnsi="Tahoma"/>
          <w:sz w:val="18"/>
        </w:rPr>
        <w:t xml:space="preserve"> starostlivú klinickú pozornosť, informácie a zdravotnú výchovu.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Zapojenie organizácií miestnej komunity (vrátane komunitných zdravotníckych pracovníkov, neklinických odborníkov a rovesníkov) sa odporúča pri sledovaní osôb v kontakte medzi zraniteľnými a ťažko dostupnými skupinami obyvateľstva. Tento prístup môže prispieť k úspešnej identifikácii potenciálnych osôb v kontakte [42, 43].</w:t>
      </w:r>
    </w:p>
    <w:p w:rsidR="0098145B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L</w:t>
      </w:r>
      <w:r w:rsidRPr="00D17AE2" w:rsidR="00CD0836">
        <w:rPr>
          <w:rFonts w:ascii="Tahoma" w:hAnsi="Tahoma"/>
          <w:sz w:val="18"/>
        </w:rPr>
        <w:t xml:space="preserve">ekári a </w:t>
      </w:r>
      <w:r w:rsidRPr="00D17AE2">
        <w:rPr>
          <w:rFonts w:ascii="Tahoma" w:hAnsi="Tahoma"/>
          <w:sz w:val="18"/>
        </w:rPr>
        <w:t xml:space="preserve">manažéri </w:t>
      </w:r>
      <w:r w:rsidRPr="00D17AE2" w:rsidR="00CD0836">
        <w:rPr>
          <w:rFonts w:ascii="Tahoma" w:hAnsi="Tahoma"/>
          <w:sz w:val="18"/>
        </w:rPr>
        <w:t xml:space="preserve">národných programov majú spolupracovať s príslušnými zdravotníckymi orgánmi hostiteľských a/alebo domácich krajín s pacientmi trpiacimi tuberkulózou, ktorí patria k migrujúcim skupinám alebo mobilným skupinám obyvateľstva, s cieľom zabezpečiť súvislú starostlivosť a vyšetrovanie osôb v kontakte [44]. </w:t>
      </w:r>
    </w:p>
    <w:p w:rsidR="0098145B" w:rsidRPr="00D17AE2" w:rsidP="000D0DB0">
      <w:r w:rsidRPr="00D17AE2">
        <w:br w:type="page"/>
      </w:r>
    </w:p>
    <w:p w:rsidR="00DA3A70" w:rsidRPr="00D17AE2" w:rsidP="00604B0D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19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Osoby v kontakte s pacientmi s infekčnou tuberkulózou, osoby s infekciou HIV, pacienti, ktorí začali liečbu</w:t>
      </w:r>
      <w:r w:rsidRPr="00D17AE2" w:rsidR="005C026A">
        <w:rPr>
          <w:rFonts w:ascii="Tahoma" w:hAnsi="Tahoma"/>
          <w:sz w:val="18"/>
        </w:rPr>
        <w:t xml:space="preserve"> antagonistami</w:t>
      </w:r>
      <w:r w:rsidRPr="00D17AE2" w:rsidR="00D17AE2">
        <w:rPr>
          <w:rFonts w:ascii="Tahoma" w:hAnsi="Tahoma"/>
          <w:sz w:val="18"/>
        </w:rPr>
        <w:t xml:space="preserve"> </w:t>
      </w:r>
      <w:r w:rsidRPr="00D17AE2">
        <w:rPr>
          <w:rFonts w:ascii="Tahoma" w:hAnsi="Tahoma"/>
          <w:sz w:val="18"/>
        </w:rPr>
        <w:t>nádorového nekrotizujúciho faktoru (TNF), pacienti podstupujúci dialýzu, pacienti pripravujúci sa na transplantáciu orgánov alebo kostnej drene a pacienti so silikózou majú byť kontrolovaní na latentnú tuberkulóznu infekciu. Ak sa u nich zistí latentná tuberkulózna infekcia, má sa u nich dôsledne vyšetriť aktívna tuberkulóza. Ak je aktívna tuberkulóza vylúčená, má sa im ponúknuť preventívna liečba s pomocou režimu, ktorý odporúča WHO.</w:t>
      </w:r>
    </w:p>
    <w:p w:rsidR="00DA3A70" w:rsidRPr="00D17AE2" w:rsidP="000D0DB0">
      <w:pPr>
        <w:pStyle w:val="EC-Title-6"/>
        <w:rPr>
          <w:b w:val="0"/>
          <w:sz w:val="24"/>
          <w:szCs w:val="24"/>
          <w:lang w:val="sk-SK"/>
        </w:rPr>
      </w:pPr>
      <w:r w:rsidRPr="00D17AE2">
        <w:rPr>
          <w:sz w:val="24"/>
          <w:lang w:val="sk-SK"/>
        </w:rPr>
        <w:t>Osobitné požiadavky v EÚ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Ak je diagnostikovaný a oznámený indexový prípad [40, 41, 45, 46], lekári majú spolupracovať s orgánmi verejného zdravotníctva pri zavádzaní primeraných postupov sledovania osôb v kontakte, ktoré sa vykonávajú podľa národných a medzinárodných odporúčaní v nadväzujúcich cykloch. Podobne, ak bola tuberkulóza zistená u dieťaťa (na akomkoľvek mieste infekcie) a tam, kde nebol zistený žiadny zdroj [41, 47], malo by sa začať s hľadaním zdroja a vyšetrením osoby v kontakte.</w:t>
      </w:r>
      <w:r w:rsidRPr="00D17AE2" w:rsidR="00D17AE2">
        <w:rPr>
          <w:rFonts w:ascii="Tahoma" w:hAnsi="Tahoma"/>
          <w:sz w:val="18"/>
        </w:rPr>
        <w:t xml:space="preserve"> 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>Jedinci, ktorí podstúpili liečbu anti-TNF-α, by sa mali považovať za osoby s vysokým rizikom. Podľa čísla 16 ESTC u jedincov, ktorí sú infikovaní vírusom HIV alebo sú postihnutí komorbiditami, sa má urýchlene začať s liečbou latentnej infekcie, ak bola tuberkulózna infekcia zistená TST a/alebo IGRA a bola vylúčená aktívna tuberkulózna choroba [10, 36, 38, 40, 48, 49].</w:t>
      </w:r>
    </w:p>
    <w:p w:rsidR="00DA3A70" w:rsidRPr="00D17AE2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20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Každé zdravotnícke zariadenie, ktoré sa stará o pacientov, ktorí (potenciálne) majú infekčnú tuberkulózu, má vypracovať a implementovať vhodný plán kontroly infekcie tuberkulózy. </w:t>
      </w:r>
    </w:p>
    <w:p w:rsidR="0098145B" w:rsidRPr="00D17AE2" w:rsidP="0098145B">
      <w:pPr>
        <w:pStyle w:val="EC-Title-6"/>
        <w:rPr>
          <w:sz w:val="24"/>
          <w:szCs w:val="24"/>
          <w:lang w:val="sk-SK"/>
        </w:rPr>
      </w:pPr>
      <w:r w:rsidRPr="00D17AE2">
        <w:rPr>
          <w:sz w:val="24"/>
          <w:lang w:val="sk-SK"/>
        </w:rPr>
        <w:t>Osobitné požiadavky v EÚ</w:t>
      </w:r>
    </w:p>
    <w:p w:rsidR="00DA3A70" w:rsidRPr="00D17AE2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D17AE2">
        <w:rPr>
          <w:rFonts w:ascii="Tahoma" w:hAnsi="Tahoma"/>
          <w:spacing w:val="-2"/>
          <w:sz w:val="18"/>
        </w:rPr>
        <w:t xml:space="preserve">Liečba </w:t>
      </w:r>
      <w:r w:rsidRPr="00D17AE2" w:rsidR="005C026A">
        <w:rPr>
          <w:rFonts w:ascii="Tahoma" w:hAnsi="Tahoma"/>
          <w:spacing w:val="-2"/>
          <w:sz w:val="18"/>
        </w:rPr>
        <w:t>na</w:t>
      </w:r>
      <w:r w:rsidRPr="00D17AE2" w:rsidR="00D17AE2">
        <w:rPr>
          <w:rFonts w:ascii="Tahoma" w:hAnsi="Tahoma"/>
          <w:spacing w:val="-2"/>
          <w:sz w:val="18"/>
        </w:rPr>
        <w:t xml:space="preserve"> </w:t>
      </w:r>
      <w:r w:rsidRPr="00D17AE2" w:rsidR="005C026A">
        <w:rPr>
          <w:rFonts w:ascii="Tahoma" w:hAnsi="Tahoma"/>
          <w:spacing w:val="-2"/>
          <w:sz w:val="18"/>
        </w:rPr>
        <w:t xml:space="preserve">úrovni </w:t>
      </w:r>
      <w:r w:rsidRPr="00D17AE2">
        <w:rPr>
          <w:rFonts w:ascii="Tahoma" w:hAnsi="Tahoma"/>
          <w:spacing w:val="-2"/>
          <w:sz w:val="18"/>
        </w:rPr>
        <w:t>komunit</w:t>
      </w:r>
      <w:r w:rsidRPr="00D17AE2" w:rsidR="005C026A">
        <w:rPr>
          <w:rFonts w:ascii="Tahoma" w:hAnsi="Tahoma"/>
          <w:spacing w:val="-2"/>
          <w:sz w:val="18"/>
        </w:rPr>
        <w:t>y</w:t>
      </w:r>
      <w:r w:rsidRPr="00D17AE2">
        <w:rPr>
          <w:rFonts w:ascii="Tahoma" w:hAnsi="Tahoma"/>
          <w:spacing w:val="-2"/>
          <w:sz w:val="18"/>
        </w:rPr>
        <w:t xml:space="preserve"> podporovaná opatreniami na kontrolu infekcie v</w:t>
      </w:r>
      <w:r w:rsidRPr="00D17AE2" w:rsidR="005C026A">
        <w:rPr>
          <w:rFonts w:ascii="Tahoma" w:hAnsi="Tahoma"/>
          <w:spacing w:val="-2"/>
          <w:sz w:val="18"/>
        </w:rPr>
        <w:t> </w:t>
      </w:r>
      <w:r w:rsidRPr="00D17AE2">
        <w:rPr>
          <w:rFonts w:ascii="Tahoma" w:hAnsi="Tahoma"/>
          <w:spacing w:val="-2"/>
          <w:sz w:val="18"/>
        </w:rPr>
        <w:t>domác</w:t>
      </w:r>
      <w:r w:rsidRPr="00D17AE2" w:rsidR="005C026A">
        <w:rPr>
          <w:rFonts w:ascii="Tahoma" w:hAnsi="Tahoma"/>
          <w:spacing w:val="-2"/>
          <w:sz w:val="18"/>
        </w:rPr>
        <w:t>ich</w:t>
      </w:r>
      <w:r w:rsidRPr="00D17AE2" w:rsidR="00D17AE2">
        <w:rPr>
          <w:rFonts w:ascii="Tahoma" w:hAnsi="Tahoma"/>
          <w:spacing w:val="-2"/>
          <w:sz w:val="18"/>
        </w:rPr>
        <w:t xml:space="preserve"> </w:t>
      </w:r>
      <w:r w:rsidRPr="00D17AE2" w:rsidR="005C026A">
        <w:rPr>
          <w:rFonts w:ascii="Tahoma" w:hAnsi="Tahoma"/>
          <w:spacing w:val="-2"/>
          <w:sz w:val="18"/>
        </w:rPr>
        <w:t xml:space="preserve">podmienkach </w:t>
      </w:r>
      <w:r w:rsidRPr="00D17AE2">
        <w:rPr>
          <w:rFonts w:ascii="Tahoma" w:hAnsi="Tahoma"/>
          <w:spacing w:val="-2"/>
          <w:sz w:val="18"/>
        </w:rPr>
        <w:t xml:space="preserve">má byť dostupná pre pacientov, ktorí uprednostňujú liečbu </w:t>
      </w:r>
      <w:r w:rsidRPr="00D17AE2" w:rsidR="005C026A">
        <w:rPr>
          <w:rFonts w:ascii="Tahoma" w:hAnsi="Tahoma"/>
          <w:spacing w:val="-2"/>
          <w:sz w:val="18"/>
        </w:rPr>
        <w:t>v domácich podmienkach</w:t>
      </w:r>
      <w:r w:rsidRPr="00D17AE2" w:rsidR="00D17AE2">
        <w:rPr>
          <w:rFonts w:ascii="Tahoma" w:hAnsi="Tahoma"/>
          <w:spacing w:val="-2"/>
          <w:sz w:val="18"/>
        </w:rPr>
        <w:t xml:space="preserve"> </w:t>
      </w:r>
      <w:r w:rsidRPr="00D17AE2">
        <w:rPr>
          <w:rFonts w:ascii="Tahoma" w:hAnsi="Tahoma"/>
          <w:spacing w:val="-2"/>
          <w:sz w:val="18"/>
        </w:rPr>
        <w:t>[5, 24].</w:t>
      </w:r>
    </w:p>
    <w:p w:rsidR="00DA3A70" w:rsidRPr="00D17AE2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D17AE2">
        <w:rPr>
          <w:rFonts w:ascii="Tahoma" w:hAnsi="Tahoma"/>
          <w:spacing w:val="-2"/>
          <w:sz w:val="18"/>
        </w:rPr>
        <w:t xml:space="preserve">Ak sa vyžaduje hospitalizácia, lekári majú zabezpečiť, aby všetci novo prijatí pacienti, u ktorých sa predpokladá, že majú infekčnú tuberkulózu, boli respiračne izolovaní, až kým sa ich diagnóza nepotvrdí alebo nevylúči [2]. </w:t>
      </w:r>
    </w:p>
    <w:p w:rsidR="00DA3A70" w:rsidRPr="00D17AE2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D17AE2">
        <w:rPr>
          <w:rFonts w:ascii="Tahoma" w:hAnsi="Tahoma"/>
          <w:spacing w:val="-2"/>
          <w:sz w:val="18"/>
        </w:rPr>
        <w:t xml:space="preserve">Aby sa zabránilo prenosu tuberkulóznych baktérií na iných pacientov, zamestnancov a/alebo návštevníkov, by bolo najvhodnejšie pacientov s tuberkulózou s pozitívnymi vzorkami izolovať v primeraných miestnostiach, kým nedosiahnu bakteriologickú konverziu (negatívny výsledok mikroskopického vyšetrenia </w:t>
      </w:r>
      <w:r w:rsidRPr="00D17AE2" w:rsidR="005C026A">
        <w:rPr>
          <w:rFonts w:ascii="Tahoma" w:hAnsi="Tahoma"/>
          <w:spacing w:val="-2"/>
          <w:sz w:val="18"/>
        </w:rPr>
        <w:t xml:space="preserve">spúta </w:t>
      </w:r>
      <w:r w:rsidRPr="00D17AE2">
        <w:rPr>
          <w:rFonts w:ascii="Tahoma" w:hAnsi="Tahoma"/>
          <w:spacing w:val="-2"/>
          <w:sz w:val="18"/>
        </w:rPr>
        <w:t xml:space="preserve">). Izolácia by sa mala uskutočniť v miestnostiach s ventiláciou s negatívnym tlakom. </w:t>
      </w:r>
    </w:p>
    <w:p w:rsidR="00DA3A70" w:rsidRPr="00D17AE2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D17AE2">
        <w:rPr>
          <w:rFonts w:ascii="Tahoma" w:hAnsi="Tahoma"/>
          <w:spacing w:val="-2"/>
          <w:sz w:val="18"/>
        </w:rPr>
        <w:t>Vhodný plán na kontrolu infekcie, riadený určenou osobou, by mal zahŕňať nasledujúce štyri zložky, manažérske činnosti, administratívne kontroly, environmentálne kontroly a</w:t>
      </w:r>
      <w:r w:rsidRPr="00D17AE2" w:rsidR="005E66C9">
        <w:rPr>
          <w:rFonts w:ascii="Tahoma" w:hAnsi="Tahoma"/>
          <w:spacing w:val="-2"/>
          <w:sz w:val="18"/>
        </w:rPr>
        <w:t xml:space="preserve"> zásady </w:t>
      </w:r>
      <w:r w:rsidRPr="00D17AE2">
        <w:rPr>
          <w:rFonts w:ascii="Tahoma" w:hAnsi="Tahoma"/>
          <w:spacing w:val="-2"/>
          <w:sz w:val="18"/>
        </w:rPr>
        <w:t>osobnej ochrany [5, 50]. Primerané administratívne opatrenia na kontrolu infekcie tuberkulózy sa majú zaviesť vo všetkých zdravotníckych zariadeniach spolu s primeranými opatreniami na ochranu dýchacích ciest (vrátane použitia respirátorov po testovaní vhodnosti respirátora u zamestnancov a používanie chirurgickej masky u infekčných pacientov). Do plánu na kontrolu infekcie sa majú zahrnúť aj vhodné školenia zamestnancov o kontrole infekcie a štandardizované zdravotné vzdelávanie pacientov o</w:t>
      </w:r>
      <w:r w:rsidRPr="00D17AE2" w:rsidR="005E66C9">
        <w:rPr>
          <w:rFonts w:ascii="Tahoma" w:hAnsi="Tahoma"/>
          <w:spacing w:val="-2"/>
          <w:sz w:val="18"/>
        </w:rPr>
        <w:t> spr</w:t>
      </w:r>
      <w:r w:rsidRPr="00D17AE2" w:rsidR="00D17AE2">
        <w:rPr>
          <w:rFonts w:ascii="Tahoma" w:hAnsi="Tahoma"/>
          <w:spacing w:val="-2"/>
          <w:sz w:val="18"/>
        </w:rPr>
        <w:t>á</w:t>
      </w:r>
      <w:r w:rsidRPr="00D17AE2" w:rsidR="005E66C9">
        <w:rPr>
          <w:rFonts w:ascii="Tahoma" w:hAnsi="Tahoma"/>
          <w:spacing w:val="-2"/>
          <w:sz w:val="18"/>
        </w:rPr>
        <w:t>vnej technike</w:t>
      </w:r>
      <w:r w:rsidRPr="00D17AE2" w:rsidR="00D17AE2">
        <w:rPr>
          <w:rFonts w:ascii="Tahoma" w:hAnsi="Tahoma"/>
          <w:spacing w:val="-2"/>
          <w:sz w:val="18"/>
        </w:rPr>
        <w:t xml:space="preserve"> </w:t>
      </w:r>
      <w:r w:rsidRPr="00D17AE2">
        <w:rPr>
          <w:rFonts w:ascii="Tahoma" w:hAnsi="Tahoma"/>
          <w:spacing w:val="-2"/>
          <w:sz w:val="18"/>
        </w:rPr>
        <w:t xml:space="preserve">kašľania na základe </w:t>
      </w:r>
      <w:r w:rsidRPr="00D17AE2" w:rsidR="00D17AE2">
        <w:rPr>
          <w:rFonts w:ascii="Tahoma" w:hAnsi="Tahoma"/>
          <w:spacing w:val="-2"/>
          <w:sz w:val="18"/>
        </w:rPr>
        <w:t>validovaných</w:t>
      </w:r>
      <w:r w:rsidRPr="00D17AE2" w:rsidR="005E66C9">
        <w:rPr>
          <w:rFonts w:ascii="Tahoma" w:hAnsi="Tahoma"/>
          <w:spacing w:val="-2"/>
          <w:sz w:val="18"/>
        </w:rPr>
        <w:t xml:space="preserve"> </w:t>
      </w:r>
      <w:r w:rsidRPr="00D17AE2">
        <w:rPr>
          <w:rFonts w:ascii="Tahoma" w:hAnsi="Tahoma"/>
          <w:spacing w:val="-2"/>
          <w:sz w:val="18"/>
        </w:rPr>
        <w:t>nástrojov. Majú sa zriadiť výbory na kontrolu infekcie, ktoré sa týkajú chorôb prenášaných vzduchom a zahŕňajú odborníkov na kontrolu infekcie [5, 50-52].</w:t>
      </w:r>
    </w:p>
    <w:p w:rsidR="00DA3A70" w:rsidRPr="00D17AE2" w:rsidP="00496312">
      <w:pPr>
        <w:shd w:val="clear" w:color="auto" w:fill="E7E6E6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D17AE2">
        <w:rPr>
          <w:rFonts w:ascii="Tahoma" w:hAnsi="Tahoma"/>
          <w:b/>
          <w:sz w:val="24"/>
          <w:shd w:val="clear" w:color="auto" w:fill="D9D9D9"/>
        </w:rPr>
        <w:t>Štandard 21</w:t>
      </w:r>
    </w:p>
    <w:p w:rsidR="00DA3A70" w:rsidRPr="00D17AE2" w:rsidP="0028467E">
      <w:pPr>
        <w:spacing w:after="120"/>
        <w:rPr>
          <w:rFonts w:ascii="Tahoma" w:hAnsi="Tahoma" w:cs="Tahoma"/>
          <w:sz w:val="18"/>
          <w:szCs w:val="18"/>
        </w:rPr>
      </w:pPr>
      <w:r w:rsidRPr="00D17AE2">
        <w:rPr>
          <w:rFonts w:ascii="Tahoma" w:hAnsi="Tahoma"/>
          <w:sz w:val="18"/>
        </w:rPr>
        <w:t xml:space="preserve">Všetci poskytovatelia musia oznamovať tak nové, ako aj opakované liečenie tuberkulózy a postúpiť výsledky liečby miestnym úradom verejného zdravotníctva v súlade s platnými právnymi požiadavkami a pravidlami. </w:t>
      </w:r>
    </w:p>
    <w:p w:rsidR="0098145B" w:rsidRPr="00D17AE2" w:rsidP="0098145B">
      <w:pPr>
        <w:pStyle w:val="EC-Title-6"/>
        <w:rPr>
          <w:sz w:val="24"/>
          <w:szCs w:val="24"/>
          <w:lang w:val="sk-SK"/>
        </w:rPr>
      </w:pPr>
      <w:r w:rsidRPr="00D17AE2">
        <w:rPr>
          <w:sz w:val="24"/>
          <w:lang w:val="sk-SK"/>
        </w:rPr>
        <w:t>Osobitné požiadavky v EÚ</w:t>
      </w:r>
    </w:p>
    <w:p w:rsidR="00E9311A" w:rsidRPr="00D17AE2" w:rsidP="0028467E">
      <w:pPr>
        <w:rPr>
          <w:rFonts w:ascii="Tahoma" w:eastAsia="Batang" w:hAnsi="Tahoma" w:cs="Tahoma"/>
          <w:color w:val="69AE23"/>
          <w:sz w:val="30"/>
          <w:szCs w:val="30"/>
        </w:rPr>
      </w:pPr>
      <w:r w:rsidRPr="00D17AE2">
        <w:rPr>
          <w:rFonts w:ascii="Tahoma" w:hAnsi="Tahoma"/>
          <w:spacing w:val="-2"/>
          <w:sz w:val="18"/>
        </w:rPr>
        <w:t>L</w:t>
      </w:r>
      <w:r w:rsidRPr="00D17AE2" w:rsidR="00CD0836">
        <w:rPr>
          <w:rFonts w:ascii="Tahoma" w:hAnsi="Tahoma"/>
          <w:spacing w:val="-2"/>
          <w:sz w:val="18"/>
        </w:rPr>
        <w:t>ekári majú v pravidelných časových intervaloch (napríklad štvrťročne) vykonávať hodnotenie výsledkov liečby vo svojej klinickej jednotke [18, 53]. Výsledky liečby sa majú hlásiť miestnym or</w:t>
      </w:r>
      <w:r w:rsidR="000447CE">
        <w:rPr>
          <w:rFonts w:ascii="Tahoma" w:hAnsi="Tahoma"/>
          <w:spacing w:val="-2"/>
          <w:sz w:val="18"/>
        </w:rPr>
        <w:t>gánom verejného zdravotníctva v </w:t>
      </w:r>
      <w:bookmarkStart w:id="1" w:name="_GoBack"/>
      <w:bookmarkEnd w:id="1"/>
      <w:r w:rsidRPr="00D17AE2" w:rsidR="00CD0836">
        <w:rPr>
          <w:rFonts w:ascii="Tahoma" w:hAnsi="Tahoma"/>
          <w:spacing w:val="-2"/>
          <w:sz w:val="18"/>
        </w:rPr>
        <w:t>súlade s príslušnými požiadavkami a zásadami a súčasne sa majú používať ako monitorovací a hodnotiaci nástroj na zlepšenie kvality riadenia pacientov.</w:t>
      </w:r>
      <w:r w:rsidRPr="00D17AE2" w:rsidR="00CD0836">
        <w:rPr>
          <w:rFonts w:ascii="Tahoma" w:hAnsi="Tahoma"/>
          <w:b/>
          <w:spacing w:val="-2"/>
          <w:sz w:val="18"/>
        </w:rPr>
        <w:t xml:space="preserve"> </w:t>
      </w:r>
      <w:r w:rsidRPr="00D17AE2" w:rsidR="00CD0836">
        <w:rPr>
          <w:rFonts w:ascii="Tahoma" w:hAnsi="Tahoma"/>
          <w:spacing w:val="-2"/>
          <w:sz w:val="18"/>
        </w:rPr>
        <w:t>Informácie o výsledkoch liečby by oddelenia verejného zdravotníctva mali pravidelne odovzdávať poskytovateľom zdravotnej starostlivosti, aby bolo možné koordinované hodnotenie výsledkov. Informácie o konečnom výsledku pacientov by mali byť k dispozícii v</w:t>
      </w:r>
      <w:r w:rsidRPr="00D17AE2" w:rsidR="00D17AE2">
        <w:rPr>
          <w:rFonts w:ascii="Tahoma" w:hAnsi="Tahoma"/>
          <w:spacing w:val="-2"/>
          <w:sz w:val="18"/>
        </w:rPr>
        <w:t> </w:t>
      </w:r>
      <w:r w:rsidRPr="00D17AE2" w:rsidR="00CD0836">
        <w:rPr>
          <w:rFonts w:ascii="Tahoma" w:hAnsi="Tahoma"/>
          <w:spacing w:val="-2"/>
          <w:sz w:val="18"/>
        </w:rPr>
        <w:t>klinickej</w:t>
      </w:r>
      <w:r w:rsidRPr="00D17AE2" w:rsidR="00D17AE2">
        <w:rPr>
          <w:rFonts w:ascii="Tahoma" w:hAnsi="Tahoma"/>
          <w:spacing w:val="-2"/>
          <w:sz w:val="18"/>
        </w:rPr>
        <w:t xml:space="preserve"> </w:t>
      </w:r>
      <w:r w:rsidRPr="00D17AE2">
        <w:rPr>
          <w:rFonts w:ascii="Tahoma" w:hAnsi="Tahoma"/>
          <w:spacing w:val="-2"/>
          <w:sz w:val="18"/>
        </w:rPr>
        <w:t>jednotke</w:t>
      </w:r>
      <w:r w:rsidRPr="00D17AE2" w:rsidR="00D17AE2">
        <w:rPr>
          <w:rFonts w:ascii="Tahoma" w:hAnsi="Tahoma"/>
          <w:spacing w:val="-2"/>
          <w:sz w:val="18"/>
        </w:rPr>
        <w:t>,</w:t>
      </w:r>
      <w:r w:rsidRPr="00D17AE2" w:rsidR="00CD0836">
        <w:rPr>
          <w:rFonts w:ascii="Tahoma" w:hAnsi="Tahoma"/>
          <w:spacing w:val="-2"/>
          <w:sz w:val="18"/>
        </w:rPr>
        <w:t xml:space="preserve"> ktorá liečbu začala, a to aj vtedy, keď bol pacient premiestnený. Zdravotníckym pracovníkom zodpovedným za hlásenie výsledkov liečby orgánom verejného zdravotníctva sa musí poskytovať adekvátna odborná príprava a musí sa vykonávať štvrťročné hodnotenie vlastných prípadov klinickej praxe. Táto zásada platí aj pre pacientov s tuberkulózou, ktorí sa pohybujú cez hranice EÚ [54-57].</w:t>
      </w:r>
      <w:r w:rsidRPr="00D17AE2" w:rsidR="00CD0836">
        <w:br w:type="page"/>
      </w:r>
    </w:p>
    <w:p w:rsidR="00CC0F38" w:rsidRPr="00D17AE2" w:rsidP="0028467E">
      <w:pPr>
        <w:pStyle w:val="EC-Title-5"/>
        <w:spacing w:before="120"/>
      </w:pPr>
      <w:r w:rsidRPr="00D17AE2">
        <w:t>Odkazy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1.</w:t>
      </w:r>
      <w:r w:rsidRPr="00D17AE2">
        <w:tab/>
      </w:r>
      <w:r w:rsidRPr="00D17AE2">
        <w:rPr>
          <w:rFonts w:ascii="Tahoma" w:hAnsi="Tahoma"/>
          <w:sz w:val="16"/>
        </w:rPr>
        <w:t>Schoch OD, Rieder P, Tueller C, Altpeter E, Zellweger JP, Rieder HL, et al. Diagnostic yield of sputum, induced sputum, and bronchoscopy after radiologic tuberculosis screening. Am J Respir Crit Care Med. 2007;175(1):80-86.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2.</w:t>
      </w:r>
      <w:r w:rsidRPr="00D17AE2">
        <w:tab/>
      </w:r>
      <w:r w:rsidRPr="00D17AE2">
        <w:rPr>
          <w:rFonts w:ascii="Tahoma" w:hAnsi="Tahoma"/>
          <w:sz w:val="16"/>
        </w:rPr>
        <w:t>TB CARE I. International Standards for Tuberculosis Care. 3rd ed. The Hague: TB CARE; 2014.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3.</w:t>
      </w:r>
      <w:r w:rsidRPr="00D17AE2">
        <w:tab/>
      </w:r>
      <w:r w:rsidRPr="00D17AE2">
        <w:rPr>
          <w:rFonts w:ascii="Tahoma" w:hAnsi="Tahoma"/>
          <w:sz w:val="16"/>
        </w:rPr>
        <w:t>Lewinsohn DM, Leonard MK, LoBue PA, Cohn DL, Daley CL, Desmond E, et al. Official American Thoracic Society/Infectious Diseases Society of America/Centers for Disease Control and Prevention Clinical Practice Guidelines: Diagnosis of Tuberculosis in Adults and Children. Clin Infect Dis. 2017;64(2):e1-e33.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4.</w:t>
      </w:r>
      <w:r w:rsidRPr="00D17AE2">
        <w:tab/>
      </w:r>
      <w:r w:rsidRPr="00D17AE2">
        <w:rPr>
          <w:rFonts w:ascii="Tahoma" w:hAnsi="Tahoma"/>
          <w:sz w:val="16"/>
        </w:rPr>
        <w:t>European Centre for Disease Prevention and Control. Use of interferon-gamma release assays in support of TB diagnosis. Stockholm: ECDC; 2011.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5.</w:t>
      </w:r>
      <w:r w:rsidRPr="00D17AE2">
        <w:tab/>
      </w:r>
      <w:r w:rsidRPr="00D17AE2">
        <w:rPr>
          <w:rFonts w:ascii="Tahoma" w:hAnsi="Tahoma"/>
          <w:sz w:val="16"/>
        </w:rPr>
        <w:t>World Health Organization. Compendium of WHO guidelines and associated standards: ensuring optimum delivery of the cascade of care for patients with tuberculosis. Geneva: World Health Organization; 2017.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6.</w:t>
      </w:r>
      <w:r w:rsidRPr="00D17AE2">
        <w:tab/>
      </w:r>
      <w:r w:rsidRPr="00D17AE2">
        <w:rPr>
          <w:rFonts w:ascii="Tahoma" w:hAnsi="Tahoma"/>
          <w:sz w:val="16"/>
        </w:rPr>
        <w:t>Drobniewski FA, Hoffner S, Rusch-Gerdes S, Skenders G, Thomsen V. Recommended standards for modern tuberculosis laboratory services in Europe. Eur Respir J. 2006;28(5):903-909.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7.</w:t>
      </w:r>
      <w:r w:rsidRPr="00D17AE2">
        <w:tab/>
      </w:r>
      <w:r w:rsidRPr="00D17AE2">
        <w:rPr>
          <w:rFonts w:ascii="Tahoma" w:hAnsi="Tahoma"/>
          <w:sz w:val="16"/>
        </w:rPr>
        <w:t>World Health Organization Regional Office for Europe. Algorithm for laboratory diagnosis and treatment-monitoring of pulmonary tuberculosis and drug-resistant tuberculosis using state-of-the-art rapid molecular diagnostic technologies. Expert opinion of the European Tuberculosis Laboratory Initiative core group members for the WHO European Region. Copenhagen: WHO Regional Office for Europe; 2017.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8.</w:t>
      </w:r>
      <w:r w:rsidRPr="00D17AE2">
        <w:tab/>
      </w:r>
      <w:r w:rsidRPr="00D17AE2">
        <w:rPr>
          <w:rFonts w:ascii="Tahoma" w:hAnsi="Tahoma"/>
          <w:sz w:val="16"/>
        </w:rPr>
        <w:t>European Centre for Disease Prevention and Control. Handbook on TB laboratory diagnostic methods for the European Union. Stockholm: ECDC; 2016.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9.</w:t>
      </w:r>
      <w:r w:rsidRPr="00D17AE2">
        <w:tab/>
      </w:r>
      <w:r w:rsidRPr="00D17AE2">
        <w:rPr>
          <w:rFonts w:ascii="Tahoma" w:hAnsi="Tahoma"/>
          <w:sz w:val="16"/>
        </w:rPr>
        <w:t>Sotgiu G, Tiberi S, D'Ambrosio L, Centis R, Zumla A, Migliori GB. WHO recommendations on shorter treatment of multidrug-resistant tuberculosis. Lancet. 2016;387(10037):2486-2487.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10.</w:t>
      </w:r>
      <w:r w:rsidRPr="00D17AE2">
        <w:tab/>
      </w:r>
      <w:r w:rsidRPr="00D17AE2">
        <w:rPr>
          <w:rFonts w:ascii="Tahoma" w:hAnsi="Tahoma"/>
          <w:sz w:val="16"/>
        </w:rPr>
        <w:t>Diel R, Goletti D, Ferrara G, Bothamley G, Cirillo D, Kampmann B, et al. Interferon-gamma release assays for the diagnosis of latent Mycobacterium tuberculosis infection: a systematic review and meta-analysis. Eur Respir J. 2011;37(1):88-99.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11.</w:t>
      </w:r>
      <w:r w:rsidRPr="00D17AE2">
        <w:tab/>
      </w:r>
      <w:r w:rsidRPr="00D17AE2">
        <w:rPr>
          <w:rFonts w:ascii="Tahoma" w:hAnsi="Tahoma"/>
          <w:sz w:val="16"/>
        </w:rPr>
        <w:t>Sester M, Sotgiu G, Lange C, Giehl C, Girardi E, Migliori GB, et al. Interferon-gamma release assays for the diagnosis of active tuberculosis: a systematic review and meta-analysis. Eur Respir J. 2011;37(1):100-111.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12.</w:t>
      </w:r>
      <w:r w:rsidRPr="00D17AE2">
        <w:tab/>
      </w:r>
      <w:r w:rsidRPr="00D17AE2">
        <w:rPr>
          <w:rFonts w:ascii="Tahoma" w:hAnsi="Tahoma"/>
          <w:sz w:val="16"/>
        </w:rPr>
        <w:t>Petruccioli E, Scriba TJ, Petrone L, Hatherill M, Cirillo DM, Joosten SA, et al. Correlates of tuberculosis risk: predictive biomarkers for progression to active tuberculosis. Eur Respir J. 2016;48(6):1751-1763.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13.</w:t>
      </w:r>
      <w:r w:rsidRPr="00D17AE2">
        <w:tab/>
      </w:r>
      <w:r w:rsidRPr="00D17AE2">
        <w:rPr>
          <w:rFonts w:ascii="Tahoma" w:hAnsi="Tahoma"/>
          <w:sz w:val="16"/>
        </w:rPr>
        <w:t>Goletti D, Petruccioli E, Joosten SA, Ottenhoff TH. Tuberculosis Biomarkers: From Diagnosis to Protection. Infectious disease reports. 2016;8(2):6568.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14.</w:t>
      </w:r>
      <w:r w:rsidRPr="00D17AE2">
        <w:tab/>
      </w:r>
      <w:r w:rsidRPr="00D17AE2">
        <w:rPr>
          <w:rFonts w:ascii="Tahoma" w:hAnsi="Tahoma"/>
          <w:sz w:val="16"/>
        </w:rPr>
        <w:t>Seddon JA, Furin JJ, Gale M, Del Castillo Barrientos H, Hurtado RM, Amanullah F, et al. Caring for children with drug-resistant tuberculosis: practice-based recommendations. Am J Respir Crit Care Med. 2012;186(10):953-964.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15.</w:t>
      </w:r>
      <w:r w:rsidRPr="00D17AE2">
        <w:tab/>
      </w:r>
      <w:r w:rsidRPr="00D17AE2">
        <w:rPr>
          <w:rFonts w:ascii="Tahoma" w:hAnsi="Tahoma"/>
          <w:sz w:val="16"/>
        </w:rPr>
        <w:t>World Health Organization. Guidance for national tuberculosis programmes on the management of tuberculosis in children. Second ed. Geneva: World Health Organization; 2014.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16.</w:t>
      </w:r>
      <w:r w:rsidRPr="00D17AE2">
        <w:tab/>
      </w:r>
      <w:r w:rsidRPr="00D17AE2">
        <w:rPr>
          <w:rFonts w:ascii="Tahoma" w:hAnsi="Tahoma"/>
          <w:sz w:val="16"/>
        </w:rPr>
        <w:t>World Health Organization. Report of a WHO consultation on strengthening the active engagement of civil society organizations in the global TB prevention, care and control efforts. Geneva: World Health Organization; 2010. Report No.: WHO/HTM/TB/2010.15.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17.</w:t>
      </w:r>
      <w:r w:rsidRPr="00D17AE2">
        <w:tab/>
      </w:r>
      <w:r w:rsidRPr="00D17AE2">
        <w:rPr>
          <w:rFonts w:ascii="Tahoma" w:hAnsi="Tahoma"/>
          <w:sz w:val="16"/>
        </w:rPr>
        <w:t>Patients’ Charter for Tuberculosis Care: World Care Council; 2006.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18.</w:t>
      </w:r>
      <w:r w:rsidRPr="00D17AE2">
        <w:tab/>
      </w:r>
      <w:r w:rsidRPr="00D17AE2">
        <w:rPr>
          <w:rFonts w:ascii="Tahoma" w:hAnsi="Tahoma"/>
          <w:sz w:val="16"/>
        </w:rPr>
        <w:t>World Health Organization. Definitions and reporting framework for tuberculosis – 2013 revision. Geneva: Word Health Organization; 2013.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19.</w:t>
      </w:r>
      <w:r w:rsidRPr="00D17AE2">
        <w:tab/>
      </w:r>
      <w:r w:rsidRPr="00D17AE2">
        <w:rPr>
          <w:rFonts w:ascii="Tahoma" w:hAnsi="Tahoma"/>
          <w:sz w:val="16"/>
        </w:rPr>
        <w:t>Nahid P, Dorman SE, Alipanah N, Barry PM, Brozek JL, Cattamanchi A, et al. Official American Thoracic Society/Centers for Disease Control and Prevention/Infectious Diseases Society of America Clinical Practice Guidelines: Treatment of Drug-Susceptible Tuberculosis. Clin Infect Dis. 2016;63(7):e147-e195.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20.</w:t>
      </w:r>
      <w:r w:rsidRPr="00D17AE2">
        <w:tab/>
      </w:r>
      <w:r w:rsidRPr="00D17AE2">
        <w:rPr>
          <w:rFonts w:ascii="Tahoma" w:hAnsi="Tahoma"/>
          <w:sz w:val="16"/>
        </w:rPr>
        <w:t>Sotgiu G, Nahid P, Loddenkemper R, Abubakar I, Miravitlles M, Migliori GB. The ERS-endorsed official ATS/CDC/IDSA clinical practice guidelines on treatment of drug-susceptible tuberculosis. Eur Respir J. 2016;48(4):963-971.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21.</w:t>
      </w:r>
      <w:r w:rsidRPr="00D17AE2">
        <w:tab/>
      </w:r>
      <w:r w:rsidRPr="00D17AE2">
        <w:rPr>
          <w:rFonts w:ascii="Tahoma" w:hAnsi="Tahoma"/>
          <w:sz w:val="16"/>
        </w:rPr>
        <w:t>Falzon D, Jaramillo E, Schunemann HJ, Arentz M, Bauer M, Bayona J, et al. WHO guidelines for the programmatic management of drug-resistant tuberculosis: 2011 update. Eur Respir J. 2011;38(3):516-528.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22.</w:t>
      </w:r>
      <w:r w:rsidRPr="00D17AE2">
        <w:tab/>
      </w:r>
      <w:r w:rsidRPr="00D17AE2">
        <w:rPr>
          <w:rFonts w:ascii="Tahoma" w:hAnsi="Tahoma"/>
          <w:sz w:val="16"/>
        </w:rPr>
        <w:t>Mitnick CD, White RA, Lu C, Rodriguez CA, Bayona J, Becerra MC, et al. on behalf of the Collaborative Group for Analysis of Bacteriology Data in MDRTBT. Multidrug-resistant tuberculosis treatment failure detection depends on monitoring interval and microbiological method. Eur Respir J. 2016;48(4):1160-1170.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23.</w:t>
      </w:r>
      <w:r w:rsidRPr="00D17AE2">
        <w:tab/>
      </w:r>
      <w:r w:rsidRPr="00D17AE2">
        <w:rPr>
          <w:rFonts w:ascii="Tahoma" w:hAnsi="Tahoma"/>
          <w:sz w:val="16"/>
        </w:rPr>
        <w:t>World Health Organization. WHO treatment guidelines for drug-resistant tuberculosis: 2016 update. Geneva: World Health Organization; 2016.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24.</w:t>
      </w:r>
      <w:r w:rsidRPr="00D17AE2">
        <w:tab/>
      </w:r>
      <w:r w:rsidRPr="00D17AE2">
        <w:rPr>
          <w:rFonts w:ascii="Tahoma" w:hAnsi="Tahoma"/>
          <w:sz w:val="16"/>
        </w:rPr>
        <w:t>World Health Organization. Guidelines for treatment of drug-susceptible tuberculosis and patient care, 2017 update. Geneva: World Health Organization; 2017.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25.</w:t>
      </w:r>
      <w:r w:rsidRPr="00D17AE2">
        <w:tab/>
      </w:r>
      <w:r w:rsidRPr="00D17AE2">
        <w:rPr>
          <w:rFonts w:ascii="Tahoma" w:hAnsi="Tahoma"/>
          <w:sz w:val="16"/>
        </w:rPr>
        <w:t>Falzon D, Schunemann HJ, Harausz E, Gonzalez-Angulo L, Lienhardt C, Jaramillo E, et al. World Health Organization treatment guidelines for drug-resistant tuberculosis, 2016 update. Eur Respir J. 2017;49(3).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26.</w:t>
      </w:r>
      <w:r w:rsidRPr="00D17AE2">
        <w:tab/>
      </w:r>
      <w:r w:rsidRPr="00D17AE2">
        <w:rPr>
          <w:rFonts w:ascii="Tahoma" w:hAnsi="Tahoma"/>
          <w:sz w:val="16"/>
        </w:rPr>
        <w:t>van der Werf MJ, Kodmon C, Dara M, Catchpole M. Shorter regimens for multidrug-resistant tuberculosis should also be applicable in Europe. Eur Respir J 2017;49(6).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27.</w:t>
      </w:r>
      <w:r w:rsidRPr="00D17AE2">
        <w:tab/>
      </w:r>
      <w:r w:rsidRPr="00D17AE2">
        <w:rPr>
          <w:rFonts w:ascii="Tahoma" w:hAnsi="Tahoma"/>
          <w:sz w:val="16"/>
        </w:rPr>
        <w:t>Caminero JA, Piubello A, Scardigli A, Migliori GB. Proposal for a standardised treatment regimen to manage pre- and extensively drug-resistant tuberculosis cases. Eur Respir J. 2017;50(1).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28.</w:t>
      </w:r>
      <w:r w:rsidRPr="00D17AE2">
        <w:tab/>
      </w:r>
      <w:r w:rsidRPr="00D17AE2">
        <w:rPr>
          <w:rFonts w:ascii="Tahoma" w:hAnsi="Tahoma"/>
          <w:sz w:val="16"/>
        </w:rPr>
        <w:t>Esposito S, D'Ambrosio L, Tadolini M, Schaaf HS, Caminero Luna J, Marais B, et al. ERS/WHO Tuberculosis Consilium assistance with extensively drug-resistant tuberculosis management in a child: case study of compassionate delamanid use. Eur Respir J. 2014;44(3):811-815.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29.</w:t>
      </w:r>
      <w:r w:rsidRPr="00D17AE2">
        <w:tab/>
      </w:r>
      <w:r w:rsidRPr="00D17AE2">
        <w:rPr>
          <w:rFonts w:ascii="Tahoma" w:hAnsi="Tahoma"/>
          <w:sz w:val="16"/>
        </w:rPr>
        <w:t>Borisov SE, Dheda K, Enwerem M, Romero Leyet R, D'Ambrosio L, Centis R, et al. Effectiveness and safety of bedaquiline-containing regimens in the treatment of MDR- and XDR-TB: a multicentre study. Eur Respir J. 2017;49(5).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30.</w:t>
      </w:r>
      <w:r w:rsidRPr="00D17AE2">
        <w:tab/>
      </w:r>
      <w:r w:rsidRPr="00D17AE2">
        <w:rPr>
          <w:rFonts w:ascii="Tahoma" w:hAnsi="Tahoma"/>
          <w:sz w:val="16"/>
        </w:rPr>
        <w:t>Blasi F, Dara M, van der Werf MJ, Migliori GB. Supporting TB clinicians managing difficult cases: the ERS/WHO Consilium. Eur Respir J. 2013;41(3):491-494.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31.</w:t>
      </w:r>
      <w:r w:rsidRPr="00D17AE2">
        <w:tab/>
      </w:r>
      <w:r w:rsidRPr="00D17AE2">
        <w:rPr>
          <w:rFonts w:ascii="Tahoma" w:hAnsi="Tahoma"/>
          <w:sz w:val="16"/>
        </w:rPr>
        <w:t>Tadolini M, Garcia-Prats AJ, D'Ambrosio L, Hewison C, Centis R, Schaaf HS, et al. Compassionate use of new drugs in children and adolescents with multidrug-resistant and extensively drug-resistant tuberculosis: early experiences and challenges. Eur Respir J. 2016;48(3):938-943.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32.</w:t>
      </w:r>
      <w:r w:rsidRPr="00D17AE2">
        <w:tab/>
      </w:r>
      <w:r w:rsidRPr="00D17AE2">
        <w:rPr>
          <w:rFonts w:ascii="Tahoma" w:hAnsi="Tahoma"/>
          <w:sz w:val="16"/>
        </w:rPr>
        <w:t>Lange C, Abubakar I, Alffenaar JW, Bothamley G, Caminero JA, Carvalho AC, et al. Management of patients with multidrug-resistant/extensively drug-resistant tuberculosis in Europe: a TBNET consensus statement. Eur Respir J. 2014;44(1):23-63.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33.</w:t>
      </w:r>
      <w:r w:rsidRPr="00D17AE2">
        <w:tab/>
      </w:r>
      <w:r w:rsidRPr="00D17AE2">
        <w:rPr>
          <w:rFonts w:ascii="Tahoma" w:hAnsi="Tahoma"/>
          <w:sz w:val="16"/>
        </w:rPr>
        <w:t>Caminero JA. Management of multidrug-resistant tuberculosis and patients in retreatment. Eur Respir J. 2005;25(5):928-936.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34.</w:t>
      </w:r>
      <w:r w:rsidRPr="00D17AE2">
        <w:tab/>
      </w:r>
      <w:r w:rsidRPr="00D17AE2">
        <w:rPr>
          <w:rFonts w:ascii="Tahoma" w:hAnsi="Tahoma"/>
          <w:sz w:val="16"/>
        </w:rPr>
        <w:t>World Health Organization. WHO policy on collaborative TB/HIV activities: guidelines for national programmes and other stakeholders. Geneva: World Health Organization; 2012.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35.</w:t>
      </w:r>
      <w:r w:rsidRPr="00D17AE2">
        <w:tab/>
      </w:r>
      <w:r w:rsidRPr="00D17AE2">
        <w:rPr>
          <w:rFonts w:ascii="Tahoma" w:hAnsi="Tahoma"/>
          <w:sz w:val="16"/>
        </w:rPr>
        <w:t>European Centre for Disease Prevention and Control. Management of contacts of MDRTB and XDR TB patients. Stockholm: ECDC; 2012.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36.</w:t>
      </w:r>
      <w:r w:rsidRPr="00D17AE2">
        <w:tab/>
      </w:r>
      <w:r w:rsidRPr="00D17AE2">
        <w:rPr>
          <w:rFonts w:ascii="Tahoma" w:hAnsi="Tahoma"/>
          <w:sz w:val="16"/>
        </w:rPr>
        <w:t>World Health Organization. Guidelines on the management of latent tuberculosis infection. 2015.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37.</w:t>
      </w:r>
      <w:r w:rsidRPr="00D17AE2">
        <w:tab/>
      </w:r>
      <w:r w:rsidRPr="00D17AE2">
        <w:rPr>
          <w:rFonts w:ascii="Tahoma" w:hAnsi="Tahoma"/>
          <w:sz w:val="16"/>
        </w:rPr>
        <w:t>Zenner D, Beer N, Harris RJ, Lipman MC, Stagg HR, van der Werf MJ. Treatment of Latent Tuberculosis Infection: An Updated Network Meta-analysis. Ann Intern Med. 2017;167(4):248-255.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38.</w:t>
      </w:r>
      <w:r w:rsidRPr="00D17AE2">
        <w:tab/>
      </w:r>
      <w:r w:rsidRPr="00D17AE2">
        <w:rPr>
          <w:rFonts w:ascii="Tahoma" w:hAnsi="Tahoma"/>
          <w:sz w:val="16"/>
        </w:rPr>
        <w:t>Getahun H, Matteelli A, Abubakar I, Aziz MA, Baddeley A, Barreira D, et al. Management of latent Mycobacterium tuberculosis infection: WHO guidelines for low tuberculosis burden countries. Eur Respir J. 2015;46(6):1563-1576.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39.</w:t>
      </w:r>
      <w:r w:rsidRPr="00D17AE2">
        <w:tab/>
      </w:r>
      <w:r w:rsidRPr="00D17AE2">
        <w:rPr>
          <w:rFonts w:ascii="Tahoma" w:hAnsi="Tahoma"/>
          <w:sz w:val="16"/>
        </w:rPr>
        <w:t>Creswell J, Raviglione M, Ottmani S, Migliori GB, Uplekar M, Blanc L, et al. Tuberculosis and noncommunicable diseases: neglected links and missed opportunities. Eur Respir J. 2011;37(5):1269-1282.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40.</w:t>
      </w:r>
      <w:r w:rsidRPr="00D17AE2">
        <w:tab/>
      </w:r>
      <w:r w:rsidRPr="00D17AE2">
        <w:rPr>
          <w:rFonts w:ascii="Tahoma" w:hAnsi="Tahoma"/>
          <w:sz w:val="16"/>
        </w:rPr>
        <w:t>Erkens CG, Kamphorst M, Abubakar I, Bothamley GH, Chemtob D, Haas W, et al. Tuberculosis contact investigation in low prevalence countries: a European consensus. Eur Respir J. 2010;36(4):925-949.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41.</w:t>
      </w:r>
      <w:r w:rsidRPr="00D17AE2">
        <w:tab/>
      </w:r>
      <w:r w:rsidRPr="00D17AE2">
        <w:rPr>
          <w:rFonts w:ascii="Tahoma" w:hAnsi="Tahoma"/>
          <w:sz w:val="16"/>
        </w:rPr>
        <w:t>Luzzati R, Migliori G, Zignol M, Cirillo D, Maschi M, Tominz R, et al. Children under 5 years are at risk for tuberculosis after occasional contact with highly contagious patients: an out-patient outbreak from a smear positive health care worker. Eur Respir J. 2017;In press.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42.</w:t>
      </w:r>
      <w:r w:rsidRPr="00D17AE2">
        <w:tab/>
      </w:r>
      <w:r w:rsidRPr="00D17AE2">
        <w:rPr>
          <w:rFonts w:ascii="Tahoma" w:hAnsi="Tahoma"/>
          <w:sz w:val="16"/>
        </w:rPr>
        <w:t>European Centre for Disease Prevention and Control. Guidance on tuberculosis control in vulnerable and hard-to-reach populations. Stockholm: ECDC; 2016.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43.</w:t>
      </w:r>
      <w:r w:rsidRPr="00D17AE2">
        <w:tab/>
      </w:r>
      <w:r w:rsidRPr="00D17AE2">
        <w:rPr>
          <w:rFonts w:ascii="Tahoma" w:hAnsi="Tahoma"/>
          <w:sz w:val="16"/>
        </w:rPr>
        <w:t>National Instititute for Health and Care Excellence. Tuberculosis (NG33). London: NICE; 2016.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44.</w:t>
      </w:r>
      <w:r w:rsidRPr="00D17AE2">
        <w:tab/>
      </w:r>
      <w:r w:rsidRPr="00D17AE2">
        <w:rPr>
          <w:rFonts w:ascii="Tahoma" w:hAnsi="Tahoma"/>
          <w:sz w:val="16"/>
        </w:rPr>
        <w:t>Dara M, de Colombani P, Petrova-Benedict R, Centis R, Zellweger JP, Sandgren A, et al. Wolfheze Transborder Migration Task F. Minimum package for cross-border TB control and care in the WHO European region: a Wolfheze consensus statement. Eur Respir J. 2012;40(5):1081-1090.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45.</w:t>
      </w:r>
      <w:r w:rsidRPr="00D17AE2">
        <w:tab/>
      </w:r>
      <w:r w:rsidRPr="00D17AE2">
        <w:rPr>
          <w:rFonts w:ascii="Tahoma" w:hAnsi="Tahoma"/>
          <w:sz w:val="16"/>
        </w:rPr>
        <w:t>Leung CC, Rieder HL, Lange C, Yew WW. Treatment of latent infection with Mycobacterium tuberculosis: update 2010. Eur Respir J. 2011;37(3):690-711.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46.</w:t>
      </w:r>
      <w:r w:rsidRPr="00D17AE2">
        <w:tab/>
      </w:r>
      <w:r w:rsidRPr="00D17AE2">
        <w:rPr>
          <w:rFonts w:ascii="Tahoma" w:hAnsi="Tahoma"/>
          <w:sz w:val="16"/>
        </w:rPr>
        <w:t>Woldehanna S, Volmink J. Treatment of latent tuberculosis infection in HIV infected persons. The Cochrane database of systematic reviews. 2004(1):Cd000171.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47.</w:t>
      </w:r>
      <w:r w:rsidRPr="00D17AE2">
        <w:tab/>
      </w:r>
      <w:r w:rsidRPr="00D17AE2">
        <w:rPr>
          <w:rFonts w:ascii="Tahoma" w:hAnsi="Tahoma"/>
          <w:sz w:val="16"/>
        </w:rPr>
        <w:t>European Centre for Disease Prevention and Control. Investigation and control of tuberculosis incidents affecting children in congregate settings. Stockholm: ECDC; 2013.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48.</w:t>
      </w:r>
      <w:r w:rsidRPr="00D17AE2">
        <w:tab/>
      </w:r>
      <w:r w:rsidRPr="00D17AE2">
        <w:rPr>
          <w:rFonts w:ascii="Tahoma" w:hAnsi="Tahoma"/>
          <w:sz w:val="16"/>
        </w:rPr>
        <w:t>Mack U, Migliori GB, Sester M, Rieder HL, Ehlers S, Goletti D, et al. Tbnet. LTBI: latent tuberculosis infection or lasting immune responses to M. tuberculosis? A TBNET consensus statement. Eur Respir J. 2009;33(5):956-973.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49.</w:t>
      </w:r>
      <w:r w:rsidRPr="00D17AE2">
        <w:tab/>
      </w:r>
      <w:r w:rsidRPr="00D17AE2">
        <w:rPr>
          <w:rFonts w:ascii="Tahoma" w:hAnsi="Tahoma"/>
          <w:sz w:val="16"/>
        </w:rPr>
        <w:t>Lange C, Rieder HL. Intention to test is intention to treat. Am J Respir Crit Care Med. 2011;183(1):3-4.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50.</w:t>
      </w:r>
      <w:r w:rsidRPr="00D17AE2">
        <w:tab/>
      </w:r>
      <w:r w:rsidRPr="00D17AE2">
        <w:rPr>
          <w:rFonts w:ascii="Tahoma" w:hAnsi="Tahoma"/>
          <w:sz w:val="16"/>
        </w:rPr>
        <w:t>World Health Organization. WHO policy on TB infection control in health - care facilities, congregate settings and households. Geneva: World Health Organization; 2009.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51.</w:t>
      </w:r>
      <w:r w:rsidRPr="00D17AE2">
        <w:tab/>
      </w:r>
      <w:r w:rsidRPr="00D17AE2">
        <w:rPr>
          <w:rFonts w:ascii="Tahoma" w:hAnsi="Tahoma"/>
          <w:sz w:val="16"/>
        </w:rPr>
        <w:t>Sotgiu G, D'Ambrosio L, Centis R, Bothamley G, Cirillo DM, De Lorenzo S, et al. TB and M/XDR-TB infection control in European TB reference centres: the Achilles' heel? Eur Respir J. 2011;38(5):1221-1223.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52.</w:t>
      </w:r>
      <w:r w:rsidRPr="00D17AE2">
        <w:tab/>
      </w:r>
      <w:r w:rsidRPr="00D17AE2">
        <w:rPr>
          <w:rFonts w:ascii="Tahoma" w:hAnsi="Tahoma"/>
          <w:sz w:val="16"/>
        </w:rPr>
        <w:t>Matteelli A, Centis R, D'Ambrosio L, Sotgiu G, Tadolini M, Pontali E, et al. WHO strategies for the programmatic management of drug-resistant tuberculosis. Expert Rev Respir Med. 2016;10(9):991-1002.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53.</w:t>
      </w:r>
      <w:r w:rsidRPr="00D17AE2">
        <w:tab/>
      </w:r>
      <w:r w:rsidRPr="00D17AE2">
        <w:rPr>
          <w:rFonts w:ascii="Tahoma" w:hAnsi="Tahoma"/>
          <w:sz w:val="16"/>
        </w:rPr>
        <w:t>Laserson KF, Thorpe LE, Leimane V, Weyer K, Mitnick CD, Riekstina V, et al. Speaking the same language: treatment outcome definitions for multidrug-resistant tuberculosis. Int J Tuberc Lung Dis. 2005;9(6):640-645.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54.</w:t>
      </w:r>
      <w:r w:rsidRPr="00D17AE2">
        <w:tab/>
      </w:r>
      <w:r w:rsidRPr="00D17AE2">
        <w:rPr>
          <w:rFonts w:ascii="Tahoma" w:hAnsi="Tahoma"/>
          <w:sz w:val="16"/>
        </w:rPr>
        <w:t>European Centre for Disease Prevention and Control, World Health Organization. Regional Office for Europe. Tuberculosis surveillance and monitoring in Europe: 2017. Stockholm: ECDC; 2017. Available from: http://dx.doi.org/10.2900/2767.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55.</w:t>
      </w:r>
      <w:r w:rsidRPr="00D17AE2">
        <w:tab/>
      </w:r>
      <w:r w:rsidRPr="00D17AE2">
        <w:rPr>
          <w:rFonts w:ascii="Tahoma" w:hAnsi="Tahoma"/>
          <w:sz w:val="16"/>
        </w:rPr>
        <w:t>Mor Z, Migliori GB, Althomsons SP, Loddenkemper R, Trnka L, Iademarco MF. Comparison of tuberculosis surveillance systems in low-incidence industrialised countries. Eur Respir J. 2008;32(6):1616-1624.</w:t>
      </w:r>
    </w:p>
    <w:p w:rsidR="00DA3A70" w:rsidRPr="00D17AE2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D17AE2">
        <w:rPr>
          <w:rFonts w:ascii="Tahoma" w:hAnsi="Tahoma"/>
          <w:sz w:val="16"/>
        </w:rPr>
        <w:t>56.</w:t>
      </w:r>
      <w:r w:rsidRPr="00D17AE2">
        <w:tab/>
      </w:r>
      <w:r w:rsidRPr="00D17AE2">
        <w:rPr>
          <w:rFonts w:ascii="Tahoma" w:hAnsi="Tahoma"/>
          <w:sz w:val="16"/>
        </w:rPr>
        <w:t>Uplekar M, Atre S, Wells WA, Weil D, Lopez R, Migliori G, et al. Mandatory tuberculosis case notification in high tuberculosis-incidence countries: policy and practices. Eur Respir J. 2016(48):1571-1581.</w:t>
      </w:r>
    </w:p>
    <w:p w:rsidR="008B2FFB" w:rsidRPr="00D17AE2" w:rsidP="0028467E">
      <w:pPr>
        <w:pStyle w:val="EndNoteBibliography"/>
        <w:ind w:left="426" w:hanging="426"/>
        <w:jc w:val="left"/>
      </w:pPr>
      <w:r w:rsidRPr="00D17AE2">
        <w:rPr>
          <w:rFonts w:ascii="Tahoma" w:hAnsi="Tahoma"/>
          <w:sz w:val="16"/>
        </w:rPr>
        <w:t>57.</w:t>
      </w:r>
      <w:r w:rsidRPr="00D17AE2">
        <w:tab/>
      </w:r>
      <w:r w:rsidRPr="00D17AE2">
        <w:rPr>
          <w:rFonts w:ascii="Tahoma" w:hAnsi="Tahoma"/>
          <w:sz w:val="16"/>
        </w:rPr>
        <w:t>Heldal E, Kuyvenhoven JV, Wares F, Migliori GB, Ditiu L, Fernandez de la Hoz K, et al. Diagnosis and treatment of tuberculosis in undocumented migrants in low- or intermediate-incidence countries. Int J Tuberc Lung Dis. 2008;12(8):878-888.</w:t>
      </w:r>
    </w:p>
    <w:sectPr w:rsidSect="000D0DB0">
      <w:footerReference w:type="default" r:id="rId5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C94" w:rsidRPr="00D822A7" w:rsidP="00847A9F">
    <w:pPr>
      <w:pStyle w:val="Pta"/>
      <w:spacing w:after="0" w:line="240" w:lineRule="auto"/>
      <w:jc w:val="center"/>
      <w:rPr>
        <w:rFonts w:ascii="Arial" w:hAnsi="Arial" w:cs="Arial"/>
      </w:rPr>
    </w:pPr>
  </w:p>
  <w:p w:rsidR="00974C94" w:rsidRPr="00D822A7" w:rsidP="00847A9F">
    <w:pPr>
      <w:pStyle w:val="Pta"/>
      <w:spacing w:after="0" w:line="240" w:lineRule="auto"/>
      <w:jc w:val="center"/>
      <w:rPr>
        <w:rFonts w:ascii="Arial" w:hAnsi="Arial" w:cs="Arial"/>
      </w:rPr>
    </w:pPr>
    <w:r w:rsidRPr="00D822A7">
      <w:rPr>
        <w:rFonts w:ascii="Arial" w:hAnsi="Arial"/>
      </w:rPr>
      <w:t xml:space="preserve">- </w:t>
    </w:r>
    <w:r w:rsidRPr="00D822A7" w:rsidR="00345DE6">
      <w:rPr>
        <w:rFonts w:ascii="Arial" w:hAnsi="Arial" w:cs="Arial"/>
      </w:rPr>
      <w:fldChar w:fldCharType="begin"/>
    </w:r>
    <w:r w:rsidRPr="00D822A7">
      <w:rPr>
        <w:rFonts w:ascii="Arial" w:hAnsi="Arial" w:cs="Arial"/>
      </w:rPr>
      <w:instrText xml:space="preserve"> PAGE   \* MERGEFORMAT </w:instrText>
    </w:r>
    <w:r w:rsidRPr="00D822A7" w:rsidR="00345DE6">
      <w:rPr>
        <w:rFonts w:ascii="Arial" w:hAnsi="Arial" w:cs="Arial"/>
      </w:rPr>
      <w:fldChar w:fldCharType="separate"/>
    </w:r>
    <w:r w:rsidR="000447CE">
      <w:rPr>
        <w:rFonts w:ascii="Arial" w:hAnsi="Arial" w:cs="Arial"/>
        <w:noProof/>
      </w:rPr>
      <w:t>10</w:t>
    </w:r>
    <w:r w:rsidRPr="00D822A7" w:rsidR="00345DE6">
      <w:rPr>
        <w:rFonts w:ascii="Arial" w:hAnsi="Arial" w:cs="Arial"/>
      </w:rPr>
      <w:fldChar w:fldCharType="end"/>
    </w:r>
    <w:r w:rsidRPr="00D822A7">
      <w:rPr>
        <w:rFonts w:ascii="Arial" w:hAnsi="Arial"/>
      </w:rPr>
      <w:t xml:space="preserve"> 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C0C01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9E6C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9EEE6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2D86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70AA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0443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2082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8666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F407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8E4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75C6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155751"/>
    <w:multiLevelType w:val="hybridMultilevel"/>
    <w:tmpl w:val="B3A8BCD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55784F"/>
    <w:multiLevelType w:val="hybridMultilevel"/>
    <w:tmpl w:val="81F29F4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5302E4"/>
    <w:multiLevelType w:val="hybridMultilevel"/>
    <w:tmpl w:val="40FA02F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6A1D1C"/>
    <w:multiLevelType w:val="hybridMultilevel"/>
    <w:tmpl w:val="D9367C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F70A20"/>
    <w:multiLevelType w:val="hybridMultilevel"/>
    <w:tmpl w:val="3AD68A9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1180650"/>
    <w:multiLevelType w:val="hybridMultilevel"/>
    <w:tmpl w:val="C2165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441C"/>
    <w:multiLevelType w:val="hybridMultilevel"/>
    <w:tmpl w:val="6BCC0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A11B89"/>
    <w:multiLevelType w:val="hybridMultilevel"/>
    <w:tmpl w:val="ECD67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153C81"/>
    <w:multiLevelType w:val="hybridMultilevel"/>
    <w:tmpl w:val="B4BC1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C051EA"/>
    <w:multiLevelType w:val="hybridMultilevel"/>
    <w:tmpl w:val="709CAB6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43C67"/>
    <w:multiLevelType w:val="hybridMultilevel"/>
    <w:tmpl w:val="B9D8218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9A277D"/>
    <w:multiLevelType w:val="hybridMultilevel"/>
    <w:tmpl w:val="58A2B9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DC1440"/>
    <w:multiLevelType w:val="hybridMultilevel"/>
    <w:tmpl w:val="43F80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555F88"/>
    <w:multiLevelType w:val="hybridMultilevel"/>
    <w:tmpl w:val="74DA41A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7577DC4"/>
    <w:multiLevelType w:val="hybridMultilevel"/>
    <w:tmpl w:val="6DC476D2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B5821"/>
    <w:multiLevelType w:val="hybridMultilevel"/>
    <w:tmpl w:val="F00CB6B6"/>
    <w:lvl w:ilvl="0">
      <w:start w:val="1"/>
      <w:numFmt w:val="decimal"/>
      <w:pStyle w:val="Paragrafoelenco1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aps w:val="0"/>
        <w:color w:val="auto"/>
        <w:sz w:val="20"/>
        <w:szCs w:val="2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85BAD"/>
    <w:multiLevelType w:val="hybridMultilevel"/>
    <w:tmpl w:val="902A218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7867A3"/>
    <w:multiLevelType w:val="hybridMultilevel"/>
    <w:tmpl w:val="F15E2EA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4432E"/>
    <w:multiLevelType w:val="hybridMultilevel"/>
    <w:tmpl w:val="8A7EA14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F7A9A"/>
    <w:multiLevelType w:val="hybridMultilevel"/>
    <w:tmpl w:val="83FCF31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564D6"/>
    <w:multiLevelType w:val="hybridMultilevel"/>
    <w:tmpl w:val="D26AC7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5"/>
  </w:num>
  <w:num w:numId="4">
    <w:abstractNumId w:val="20"/>
  </w:num>
  <w:num w:numId="5">
    <w:abstractNumId w:val="12"/>
  </w:num>
  <w:num w:numId="6">
    <w:abstractNumId w:val="11"/>
  </w:num>
  <w:num w:numId="7">
    <w:abstractNumId w:val="26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9"/>
  </w:num>
  <w:num w:numId="19">
    <w:abstractNumId w:val="24"/>
  </w:num>
  <w:num w:numId="20">
    <w:abstractNumId w:val="19"/>
  </w:num>
  <w:num w:numId="21">
    <w:abstractNumId w:val="22"/>
  </w:num>
  <w:num w:numId="22">
    <w:abstractNumId w:val="30"/>
  </w:num>
  <w:num w:numId="23">
    <w:abstractNumId w:val="25"/>
  </w:num>
  <w:num w:numId="24">
    <w:abstractNumId w:val="0"/>
  </w:num>
  <w:num w:numId="25">
    <w:abstractNumId w:val="14"/>
  </w:num>
  <w:num w:numId="26">
    <w:abstractNumId w:val="18"/>
  </w:num>
  <w:num w:numId="27">
    <w:abstractNumId w:val="17"/>
  </w:num>
  <w:num w:numId="28">
    <w:abstractNumId w:val="27"/>
  </w:num>
  <w:num w:numId="29">
    <w:abstractNumId w:val="23"/>
  </w:num>
  <w:num w:numId="30">
    <w:abstractNumId w:val="13"/>
  </w:num>
  <w:num w:numId="31">
    <w:abstractNumId w:val="1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70"/>
    <w:rsid w:val="00000350"/>
    <w:rsid w:val="000026F4"/>
    <w:rsid w:val="00002EF3"/>
    <w:rsid w:val="000034CF"/>
    <w:rsid w:val="000071D2"/>
    <w:rsid w:val="000124B6"/>
    <w:rsid w:val="00012ADD"/>
    <w:rsid w:val="00014162"/>
    <w:rsid w:val="0001487C"/>
    <w:rsid w:val="00024F83"/>
    <w:rsid w:val="00026A77"/>
    <w:rsid w:val="000279A6"/>
    <w:rsid w:val="00032C1C"/>
    <w:rsid w:val="0003464B"/>
    <w:rsid w:val="000347EA"/>
    <w:rsid w:val="00037B0F"/>
    <w:rsid w:val="00041534"/>
    <w:rsid w:val="0004182E"/>
    <w:rsid w:val="00042858"/>
    <w:rsid w:val="000447CE"/>
    <w:rsid w:val="000466F2"/>
    <w:rsid w:val="000479A2"/>
    <w:rsid w:val="00052E50"/>
    <w:rsid w:val="00053CE8"/>
    <w:rsid w:val="00054BA2"/>
    <w:rsid w:val="00055BBC"/>
    <w:rsid w:val="00055EC2"/>
    <w:rsid w:val="00056E42"/>
    <w:rsid w:val="000606C7"/>
    <w:rsid w:val="000634B3"/>
    <w:rsid w:val="00067414"/>
    <w:rsid w:val="0007118B"/>
    <w:rsid w:val="00071A2E"/>
    <w:rsid w:val="00071CA9"/>
    <w:rsid w:val="000726E4"/>
    <w:rsid w:val="00073EA2"/>
    <w:rsid w:val="000740EA"/>
    <w:rsid w:val="000753CB"/>
    <w:rsid w:val="00083CEE"/>
    <w:rsid w:val="000840C5"/>
    <w:rsid w:val="000872D3"/>
    <w:rsid w:val="00090759"/>
    <w:rsid w:val="00091034"/>
    <w:rsid w:val="00093100"/>
    <w:rsid w:val="00093675"/>
    <w:rsid w:val="00094E61"/>
    <w:rsid w:val="000953B5"/>
    <w:rsid w:val="00097EA7"/>
    <w:rsid w:val="000A2B79"/>
    <w:rsid w:val="000A2B9B"/>
    <w:rsid w:val="000A3A87"/>
    <w:rsid w:val="000A3E29"/>
    <w:rsid w:val="000A3F03"/>
    <w:rsid w:val="000A40BC"/>
    <w:rsid w:val="000A60C4"/>
    <w:rsid w:val="000A7B26"/>
    <w:rsid w:val="000B0623"/>
    <w:rsid w:val="000B0CFE"/>
    <w:rsid w:val="000B0D43"/>
    <w:rsid w:val="000B2922"/>
    <w:rsid w:val="000B7864"/>
    <w:rsid w:val="000C1461"/>
    <w:rsid w:val="000C2136"/>
    <w:rsid w:val="000C21E9"/>
    <w:rsid w:val="000C28F4"/>
    <w:rsid w:val="000C3973"/>
    <w:rsid w:val="000C46C9"/>
    <w:rsid w:val="000C4F54"/>
    <w:rsid w:val="000C5921"/>
    <w:rsid w:val="000C5E86"/>
    <w:rsid w:val="000C672A"/>
    <w:rsid w:val="000C6EA1"/>
    <w:rsid w:val="000D0DB0"/>
    <w:rsid w:val="000D1274"/>
    <w:rsid w:val="000D1427"/>
    <w:rsid w:val="000D1B85"/>
    <w:rsid w:val="000D3A2D"/>
    <w:rsid w:val="000D5670"/>
    <w:rsid w:val="000E1278"/>
    <w:rsid w:val="000F23C9"/>
    <w:rsid w:val="000F2946"/>
    <w:rsid w:val="000F2C5B"/>
    <w:rsid w:val="000F4226"/>
    <w:rsid w:val="000F5AA3"/>
    <w:rsid w:val="000F5F9C"/>
    <w:rsid w:val="000F76CA"/>
    <w:rsid w:val="001035A5"/>
    <w:rsid w:val="00110B63"/>
    <w:rsid w:val="00121291"/>
    <w:rsid w:val="00125B6D"/>
    <w:rsid w:val="00126616"/>
    <w:rsid w:val="001269EE"/>
    <w:rsid w:val="001304C7"/>
    <w:rsid w:val="00136802"/>
    <w:rsid w:val="00136E20"/>
    <w:rsid w:val="00136ED6"/>
    <w:rsid w:val="0014061E"/>
    <w:rsid w:val="0014258F"/>
    <w:rsid w:val="00143D62"/>
    <w:rsid w:val="001449C6"/>
    <w:rsid w:val="00146FC2"/>
    <w:rsid w:val="0015365C"/>
    <w:rsid w:val="0015455B"/>
    <w:rsid w:val="00155B28"/>
    <w:rsid w:val="00162F60"/>
    <w:rsid w:val="0016337C"/>
    <w:rsid w:val="00163959"/>
    <w:rsid w:val="00166790"/>
    <w:rsid w:val="00170B6E"/>
    <w:rsid w:val="00171A18"/>
    <w:rsid w:val="00172D5C"/>
    <w:rsid w:val="001730CE"/>
    <w:rsid w:val="001736AD"/>
    <w:rsid w:val="00173820"/>
    <w:rsid w:val="0017517E"/>
    <w:rsid w:val="001752D3"/>
    <w:rsid w:val="00176AC3"/>
    <w:rsid w:val="001771D6"/>
    <w:rsid w:val="001855AB"/>
    <w:rsid w:val="00185AFB"/>
    <w:rsid w:val="00192273"/>
    <w:rsid w:val="00192B0D"/>
    <w:rsid w:val="00193DC5"/>
    <w:rsid w:val="001959C6"/>
    <w:rsid w:val="00196487"/>
    <w:rsid w:val="001A3531"/>
    <w:rsid w:val="001A4728"/>
    <w:rsid w:val="001A4CCF"/>
    <w:rsid w:val="001A5261"/>
    <w:rsid w:val="001B1BA1"/>
    <w:rsid w:val="001B5D93"/>
    <w:rsid w:val="001B6412"/>
    <w:rsid w:val="001B68DA"/>
    <w:rsid w:val="001C393A"/>
    <w:rsid w:val="001C5792"/>
    <w:rsid w:val="001C5873"/>
    <w:rsid w:val="001C6951"/>
    <w:rsid w:val="001C779B"/>
    <w:rsid w:val="001C77C5"/>
    <w:rsid w:val="001D233F"/>
    <w:rsid w:val="001D3415"/>
    <w:rsid w:val="001D515B"/>
    <w:rsid w:val="001D536F"/>
    <w:rsid w:val="001D70E6"/>
    <w:rsid w:val="001E19FE"/>
    <w:rsid w:val="001E20E9"/>
    <w:rsid w:val="001E2F2E"/>
    <w:rsid w:val="001E4CEB"/>
    <w:rsid w:val="001E6775"/>
    <w:rsid w:val="001F10C9"/>
    <w:rsid w:val="001F47EF"/>
    <w:rsid w:val="001F5C22"/>
    <w:rsid w:val="001F6F3E"/>
    <w:rsid w:val="002059D7"/>
    <w:rsid w:val="002076D3"/>
    <w:rsid w:val="0021121E"/>
    <w:rsid w:val="00211980"/>
    <w:rsid w:val="00213427"/>
    <w:rsid w:val="00217017"/>
    <w:rsid w:val="00222311"/>
    <w:rsid w:val="002227A7"/>
    <w:rsid w:val="002250CC"/>
    <w:rsid w:val="0023067B"/>
    <w:rsid w:val="00230B5C"/>
    <w:rsid w:val="0023121D"/>
    <w:rsid w:val="00232D78"/>
    <w:rsid w:val="00232E0C"/>
    <w:rsid w:val="00234417"/>
    <w:rsid w:val="00236007"/>
    <w:rsid w:val="002362B5"/>
    <w:rsid w:val="002377D4"/>
    <w:rsid w:val="00237A50"/>
    <w:rsid w:val="00240F94"/>
    <w:rsid w:val="00242164"/>
    <w:rsid w:val="002425A4"/>
    <w:rsid w:val="00243203"/>
    <w:rsid w:val="00243FFC"/>
    <w:rsid w:val="002444B5"/>
    <w:rsid w:val="00250D1C"/>
    <w:rsid w:val="00251222"/>
    <w:rsid w:val="00251710"/>
    <w:rsid w:val="00251911"/>
    <w:rsid w:val="00251953"/>
    <w:rsid w:val="00251BE7"/>
    <w:rsid w:val="00252ABC"/>
    <w:rsid w:val="00254EDF"/>
    <w:rsid w:val="00256D28"/>
    <w:rsid w:val="00257944"/>
    <w:rsid w:val="00264E5E"/>
    <w:rsid w:val="00267443"/>
    <w:rsid w:val="002701E1"/>
    <w:rsid w:val="0027030B"/>
    <w:rsid w:val="0027045A"/>
    <w:rsid w:val="00270D45"/>
    <w:rsid w:val="00274D20"/>
    <w:rsid w:val="0027624E"/>
    <w:rsid w:val="0027775B"/>
    <w:rsid w:val="00283609"/>
    <w:rsid w:val="0028467E"/>
    <w:rsid w:val="00287121"/>
    <w:rsid w:val="0029231A"/>
    <w:rsid w:val="002939B8"/>
    <w:rsid w:val="0029556C"/>
    <w:rsid w:val="002961B5"/>
    <w:rsid w:val="00297557"/>
    <w:rsid w:val="0029793E"/>
    <w:rsid w:val="002A11F0"/>
    <w:rsid w:val="002A533F"/>
    <w:rsid w:val="002A5D0B"/>
    <w:rsid w:val="002B346A"/>
    <w:rsid w:val="002B4136"/>
    <w:rsid w:val="002B6751"/>
    <w:rsid w:val="002C278C"/>
    <w:rsid w:val="002C2A75"/>
    <w:rsid w:val="002C5489"/>
    <w:rsid w:val="002C5A7D"/>
    <w:rsid w:val="002C5F15"/>
    <w:rsid w:val="002D0D81"/>
    <w:rsid w:val="002D130E"/>
    <w:rsid w:val="002D2934"/>
    <w:rsid w:val="002D4BDD"/>
    <w:rsid w:val="002D6B2B"/>
    <w:rsid w:val="002E0B13"/>
    <w:rsid w:val="002E4529"/>
    <w:rsid w:val="002E47FD"/>
    <w:rsid w:val="002E5F96"/>
    <w:rsid w:val="002E69D3"/>
    <w:rsid w:val="002E714E"/>
    <w:rsid w:val="002F2A5A"/>
    <w:rsid w:val="002F3F70"/>
    <w:rsid w:val="002F45F2"/>
    <w:rsid w:val="002F4926"/>
    <w:rsid w:val="002F49F5"/>
    <w:rsid w:val="002F623E"/>
    <w:rsid w:val="002F6F3E"/>
    <w:rsid w:val="003003DA"/>
    <w:rsid w:val="00303DC5"/>
    <w:rsid w:val="003073B3"/>
    <w:rsid w:val="00313CA4"/>
    <w:rsid w:val="00314886"/>
    <w:rsid w:val="00314A47"/>
    <w:rsid w:val="00320170"/>
    <w:rsid w:val="00322570"/>
    <w:rsid w:val="00322F85"/>
    <w:rsid w:val="003247C6"/>
    <w:rsid w:val="00325CF7"/>
    <w:rsid w:val="00327791"/>
    <w:rsid w:val="00327D7E"/>
    <w:rsid w:val="0033246A"/>
    <w:rsid w:val="00332575"/>
    <w:rsid w:val="0033381B"/>
    <w:rsid w:val="00334B37"/>
    <w:rsid w:val="00340B09"/>
    <w:rsid w:val="003450AE"/>
    <w:rsid w:val="00345DE6"/>
    <w:rsid w:val="00352241"/>
    <w:rsid w:val="00352431"/>
    <w:rsid w:val="00353103"/>
    <w:rsid w:val="0035545C"/>
    <w:rsid w:val="003562DF"/>
    <w:rsid w:val="003571C8"/>
    <w:rsid w:val="00360484"/>
    <w:rsid w:val="00360784"/>
    <w:rsid w:val="00360A97"/>
    <w:rsid w:val="00363A61"/>
    <w:rsid w:val="00363B8A"/>
    <w:rsid w:val="00363C6B"/>
    <w:rsid w:val="00363D85"/>
    <w:rsid w:val="00364A59"/>
    <w:rsid w:val="003663F5"/>
    <w:rsid w:val="00366496"/>
    <w:rsid w:val="00370A99"/>
    <w:rsid w:val="00371D7A"/>
    <w:rsid w:val="00372ACE"/>
    <w:rsid w:val="0037414E"/>
    <w:rsid w:val="003751DE"/>
    <w:rsid w:val="003771C2"/>
    <w:rsid w:val="00377D0B"/>
    <w:rsid w:val="00380057"/>
    <w:rsid w:val="00381656"/>
    <w:rsid w:val="00382546"/>
    <w:rsid w:val="003830D8"/>
    <w:rsid w:val="00387647"/>
    <w:rsid w:val="00391B04"/>
    <w:rsid w:val="00392E2D"/>
    <w:rsid w:val="00394E0D"/>
    <w:rsid w:val="00396373"/>
    <w:rsid w:val="00396855"/>
    <w:rsid w:val="00397D0C"/>
    <w:rsid w:val="003A4098"/>
    <w:rsid w:val="003A4444"/>
    <w:rsid w:val="003B02DC"/>
    <w:rsid w:val="003B07C8"/>
    <w:rsid w:val="003B106F"/>
    <w:rsid w:val="003B431F"/>
    <w:rsid w:val="003C0153"/>
    <w:rsid w:val="003C06B1"/>
    <w:rsid w:val="003C0936"/>
    <w:rsid w:val="003C0B22"/>
    <w:rsid w:val="003C18EB"/>
    <w:rsid w:val="003C3ACF"/>
    <w:rsid w:val="003C40FE"/>
    <w:rsid w:val="003C545A"/>
    <w:rsid w:val="003C75A7"/>
    <w:rsid w:val="003D04FB"/>
    <w:rsid w:val="003D0D61"/>
    <w:rsid w:val="003D3F58"/>
    <w:rsid w:val="003E2A85"/>
    <w:rsid w:val="003E4C55"/>
    <w:rsid w:val="003E5976"/>
    <w:rsid w:val="003E5F1C"/>
    <w:rsid w:val="003E66D6"/>
    <w:rsid w:val="003E69A1"/>
    <w:rsid w:val="003E76A2"/>
    <w:rsid w:val="003E7DFF"/>
    <w:rsid w:val="003F0B0C"/>
    <w:rsid w:val="003F1CE8"/>
    <w:rsid w:val="003F5EEE"/>
    <w:rsid w:val="004025D9"/>
    <w:rsid w:val="00402E1D"/>
    <w:rsid w:val="00403259"/>
    <w:rsid w:val="00406F24"/>
    <w:rsid w:val="004076FC"/>
    <w:rsid w:val="00410A6B"/>
    <w:rsid w:val="00410EF0"/>
    <w:rsid w:val="00411296"/>
    <w:rsid w:val="004141A8"/>
    <w:rsid w:val="0041589D"/>
    <w:rsid w:val="00415CD3"/>
    <w:rsid w:val="0041632C"/>
    <w:rsid w:val="004222D7"/>
    <w:rsid w:val="004238D6"/>
    <w:rsid w:val="0042450B"/>
    <w:rsid w:val="004246F1"/>
    <w:rsid w:val="00424941"/>
    <w:rsid w:val="00425C05"/>
    <w:rsid w:val="00427F35"/>
    <w:rsid w:val="00431534"/>
    <w:rsid w:val="0043285B"/>
    <w:rsid w:val="0043324A"/>
    <w:rsid w:val="00433AAE"/>
    <w:rsid w:val="00434411"/>
    <w:rsid w:val="00437D86"/>
    <w:rsid w:val="0044267B"/>
    <w:rsid w:val="004446C0"/>
    <w:rsid w:val="00446C50"/>
    <w:rsid w:val="0044763D"/>
    <w:rsid w:val="00450C22"/>
    <w:rsid w:val="0045142D"/>
    <w:rsid w:val="00452236"/>
    <w:rsid w:val="0046235A"/>
    <w:rsid w:val="00463005"/>
    <w:rsid w:val="004646B1"/>
    <w:rsid w:val="004647E8"/>
    <w:rsid w:val="004658A8"/>
    <w:rsid w:val="004739EF"/>
    <w:rsid w:val="0047445E"/>
    <w:rsid w:val="00477D39"/>
    <w:rsid w:val="00481C51"/>
    <w:rsid w:val="00481EB6"/>
    <w:rsid w:val="004827ED"/>
    <w:rsid w:val="00482B66"/>
    <w:rsid w:val="004839B6"/>
    <w:rsid w:val="0048487E"/>
    <w:rsid w:val="00484D43"/>
    <w:rsid w:val="0048703C"/>
    <w:rsid w:val="00491664"/>
    <w:rsid w:val="00491EF4"/>
    <w:rsid w:val="00492ED6"/>
    <w:rsid w:val="00494D55"/>
    <w:rsid w:val="004956D4"/>
    <w:rsid w:val="004957EF"/>
    <w:rsid w:val="00495E27"/>
    <w:rsid w:val="00496312"/>
    <w:rsid w:val="00497B7C"/>
    <w:rsid w:val="004A0599"/>
    <w:rsid w:val="004A2C44"/>
    <w:rsid w:val="004A2D43"/>
    <w:rsid w:val="004A39B1"/>
    <w:rsid w:val="004B1F0B"/>
    <w:rsid w:val="004B1FDD"/>
    <w:rsid w:val="004B4AA2"/>
    <w:rsid w:val="004B4EB0"/>
    <w:rsid w:val="004B5890"/>
    <w:rsid w:val="004B69FD"/>
    <w:rsid w:val="004B6FC5"/>
    <w:rsid w:val="004C18C1"/>
    <w:rsid w:val="004C1C75"/>
    <w:rsid w:val="004C28FB"/>
    <w:rsid w:val="004C3DD6"/>
    <w:rsid w:val="004C4531"/>
    <w:rsid w:val="004D2373"/>
    <w:rsid w:val="004D36BF"/>
    <w:rsid w:val="004D3907"/>
    <w:rsid w:val="004D4F8D"/>
    <w:rsid w:val="004D55B3"/>
    <w:rsid w:val="004D6F34"/>
    <w:rsid w:val="004D724D"/>
    <w:rsid w:val="004E0655"/>
    <w:rsid w:val="004E08F4"/>
    <w:rsid w:val="004E1242"/>
    <w:rsid w:val="004E36AA"/>
    <w:rsid w:val="004E72AD"/>
    <w:rsid w:val="004E7878"/>
    <w:rsid w:val="004F1574"/>
    <w:rsid w:val="004F1FA2"/>
    <w:rsid w:val="004F2590"/>
    <w:rsid w:val="004F2FA7"/>
    <w:rsid w:val="004F344C"/>
    <w:rsid w:val="004F5376"/>
    <w:rsid w:val="004F618E"/>
    <w:rsid w:val="004F7210"/>
    <w:rsid w:val="004F7661"/>
    <w:rsid w:val="00507351"/>
    <w:rsid w:val="00507844"/>
    <w:rsid w:val="00510CF2"/>
    <w:rsid w:val="00510F35"/>
    <w:rsid w:val="00511A12"/>
    <w:rsid w:val="00514487"/>
    <w:rsid w:val="00515792"/>
    <w:rsid w:val="00517228"/>
    <w:rsid w:val="00521D21"/>
    <w:rsid w:val="00524376"/>
    <w:rsid w:val="005257F9"/>
    <w:rsid w:val="00525E02"/>
    <w:rsid w:val="005267C9"/>
    <w:rsid w:val="00526D61"/>
    <w:rsid w:val="00530616"/>
    <w:rsid w:val="00532606"/>
    <w:rsid w:val="00533CE4"/>
    <w:rsid w:val="0053661F"/>
    <w:rsid w:val="00536FB6"/>
    <w:rsid w:val="0054062F"/>
    <w:rsid w:val="00543015"/>
    <w:rsid w:val="00546107"/>
    <w:rsid w:val="00546BCD"/>
    <w:rsid w:val="005503FE"/>
    <w:rsid w:val="00550A13"/>
    <w:rsid w:val="00552208"/>
    <w:rsid w:val="00552593"/>
    <w:rsid w:val="00555543"/>
    <w:rsid w:val="0055593C"/>
    <w:rsid w:val="0055733C"/>
    <w:rsid w:val="005619F1"/>
    <w:rsid w:val="00563401"/>
    <w:rsid w:val="00563F8F"/>
    <w:rsid w:val="00564730"/>
    <w:rsid w:val="00571926"/>
    <w:rsid w:val="005731B7"/>
    <w:rsid w:val="005739A7"/>
    <w:rsid w:val="0057481C"/>
    <w:rsid w:val="00577395"/>
    <w:rsid w:val="0058068E"/>
    <w:rsid w:val="00583785"/>
    <w:rsid w:val="005849B0"/>
    <w:rsid w:val="00586908"/>
    <w:rsid w:val="00587A44"/>
    <w:rsid w:val="00592DCC"/>
    <w:rsid w:val="00593AC8"/>
    <w:rsid w:val="00593C5A"/>
    <w:rsid w:val="00595BCD"/>
    <w:rsid w:val="005A045B"/>
    <w:rsid w:val="005A06E9"/>
    <w:rsid w:val="005A08DD"/>
    <w:rsid w:val="005A0DF5"/>
    <w:rsid w:val="005A29FD"/>
    <w:rsid w:val="005A57F3"/>
    <w:rsid w:val="005A714F"/>
    <w:rsid w:val="005B0D9E"/>
    <w:rsid w:val="005B2A34"/>
    <w:rsid w:val="005B2BDD"/>
    <w:rsid w:val="005B361F"/>
    <w:rsid w:val="005C026A"/>
    <w:rsid w:val="005C0D3B"/>
    <w:rsid w:val="005C16A7"/>
    <w:rsid w:val="005C2159"/>
    <w:rsid w:val="005C26AD"/>
    <w:rsid w:val="005C564F"/>
    <w:rsid w:val="005C62D9"/>
    <w:rsid w:val="005C6765"/>
    <w:rsid w:val="005C7523"/>
    <w:rsid w:val="005D1D2E"/>
    <w:rsid w:val="005D2955"/>
    <w:rsid w:val="005D52C6"/>
    <w:rsid w:val="005D600A"/>
    <w:rsid w:val="005D7F2E"/>
    <w:rsid w:val="005E66C9"/>
    <w:rsid w:val="005E673D"/>
    <w:rsid w:val="005F0264"/>
    <w:rsid w:val="005F0BA4"/>
    <w:rsid w:val="005F3B1D"/>
    <w:rsid w:val="005F7187"/>
    <w:rsid w:val="005F7C8B"/>
    <w:rsid w:val="00601169"/>
    <w:rsid w:val="00601545"/>
    <w:rsid w:val="00602E21"/>
    <w:rsid w:val="00604B0D"/>
    <w:rsid w:val="00607054"/>
    <w:rsid w:val="00607AE7"/>
    <w:rsid w:val="00607BCB"/>
    <w:rsid w:val="00611252"/>
    <w:rsid w:val="0061345F"/>
    <w:rsid w:val="006167B1"/>
    <w:rsid w:val="00617F98"/>
    <w:rsid w:val="00625FBD"/>
    <w:rsid w:val="00627127"/>
    <w:rsid w:val="006314E3"/>
    <w:rsid w:val="00632004"/>
    <w:rsid w:val="006348B6"/>
    <w:rsid w:val="00640C2F"/>
    <w:rsid w:val="00644B49"/>
    <w:rsid w:val="00652197"/>
    <w:rsid w:val="00654620"/>
    <w:rsid w:val="006553B5"/>
    <w:rsid w:val="00656283"/>
    <w:rsid w:val="0065761A"/>
    <w:rsid w:val="006631F0"/>
    <w:rsid w:val="00663E32"/>
    <w:rsid w:val="00664E84"/>
    <w:rsid w:val="00664FB0"/>
    <w:rsid w:val="00665A11"/>
    <w:rsid w:val="00665BF3"/>
    <w:rsid w:val="00667584"/>
    <w:rsid w:val="00667CB2"/>
    <w:rsid w:val="00672326"/>
    <w:rsid w:val="0067307F"/>
    <w:rsid w:val="00673E0F"/>
    <w:rsid w:val="00675E72"/>
    <w:rsid w:val="00676223"/>
    <w:rsid w:val="00676A69"/>
    <w:rsid w:val="00676D5D"/>
    <w:rsid w:val="00680ED8"/>
    <w:rsid w:val="006920D1"/>
    <w:rsid w:val="0069291B"/>
    <w:rsid w:val="006933C9"/>
    <w:rsid w:val="0069416F"/>
    <w:rsid w:val="00695293"/>
    <w:rsid w:val="00696357"/>
    <w:rsid w:val="00696485"/>
    <w:rsid w:val="00696D47"/>
    <w:rsid w:val="006A6423"/>
    <w:rsid w:val="006A6F25"/>
    <w:rsid w:val="006A7047"/>
    <w:rsid w:val="006B0DBA"/>
    <w:rsid w:val="006B0F4C"/>
    <w:rsid w:val="006B249E"/>
    <w:rsid w:val="006B3571"/>
    <w:rsid w:val="006B4C9A"/>
    <w:rsid w:val="006B50B6"/>
    <w:rsid w:val="006B520C"/>
    <w:rsid w:val="006B58F2"/>
    <w:rsid w:val="006C1882"/>
    <w:rsid w:val="006C1FAD"/>
    <w:rsid w:val="006C2B1A"/>
    <w:rsid w:val="006C2BDC"/>
    <w:rsid w:val="006C38C1"/>
    <w:rsid w:val="006C3D4F"/>
    <w:rsid w:val="006C3DFF"/>
    <w:rsid w:val="006C40D1"/>
    <w:rsid w:val="006C4A0E"/>
    <w:rsid w:val="006C5383"/>
    <w:rsid w:val="006C5A10"/>
    <w:rsid w:val="006C5DBB"/>
    <w:rsid w:val="006C7512"/>
    <w:rsid w:val="006D08E4"/>
    <w:rsid w:val="006D0C4D"/>
    <w:rsid w:val="006D2DF6"/>
    <w:rsid w:val="006D31DF"/>
    <w:rsid w:val="006D41FD"/>
    <w:rsid w:val="006D44DF"/>
    <w:rsid w:val="006D5205"/>
    <w:rsid w:val="006D7F79"/>
    <w:rsid w:val="006E0574"/>
    <w:rsid w:val="006E24D4"/>
    <w:rsid w:val="006E4834"/>
    <w:rsid w:val="006E5773"/>
    <w:rsid w:val="006E58D6"/>
    <w:rsid w:val="006E74A2"/>
    <w:rsid w:val="006E7CB1"/>
    <w:rsid w:val="006F3340"/>
    <w:rsid w:val="006F6381"/>
    <w:rsid w:val="006F7186"/>
    <w:rsid w:val="006F7CE6"/>
    <w:rsid w:val="0070136A"/>
    <w:rsid w:val="00703112"/>
    <w:rsid w:val="007062DA"/>
    <w:rsid w:val="00707676"/>
    <w:rsid w:val="00710388"/>
    <w:rsid w:val="007174B8"/>
    <w:rsid w:val="00717C8B"/>
    <w:rsid w:val="00720FE4"/>
    <w:rsid w:val="0072270C"/>
    <w:rsid w:val="007231CD"/>
    <w:rsid w:val="0072496D"/>
    <w:rsid w:val="00727553"/>
    <w:rsid w:val="0073144A"/>
    <w:rsid w:val="0073150F"/>
    <w:rsid w:val="0073288F"/>
    <w:rsid w:val="00732DAC"/>
    <w:rsid w:val="00735157"/>
    <w:rsid w:val="00737730"/>
    <w:rsid w:val="0074004A"/>
    <w:rsid w:val="0074309E"/>
    <w:rsid w:val="00743643"/>
    <w:rsid w:val="00743DD5"/>
    <w:rsid w:val="00745E86"/>
    <w:rsid w:val="00746BB9"/>
    <w:rsid w:val="00750858"/>
    <w:rsid w:val="00751A70"/>
    <w:rsid w:val="007529D3"/>
    <w:rsid w:val="0075326E"/>
    <w:rsid w:val="0075422C"/>
    <w:rsid w:val="007542ED"/>
    <w:rsid w:val="00754629"/>
    <w:rsid w:val="007579EF"/>
    <w:rsid w:val="00760DA0"/>
    <w:rsid w:val="0076186B"/>
    <w:rsid w:val="00763F72"/>
    <w:rsid w:val="007646A2"/>
    <w:rsid w:val="00764CFD"/>
    <w:rsid w:val="0076561E"/>
    <w:rsid w:val="00772B5A"/>
    <w:rsid w:val="00775C7E"/>
    <w:rsid w:val="00777A8A"/>
    <w:rsid w:val="00781944"/>
    <w:rsid w:val="00781A3D"/>
    <w:rsid w:val="00785886"/>
    <w:rsid w:val="00785BB3"/>
    <w:rsid w:val="00785BC6"/>
    <w:rsid w:val="007863DB"/>
    <w:rsid w:val="007874B0"/>
    <w:rsid w:val="00787F0F"/>
    <w:rsid w:val="007917B2"/>
    <w:rsid w:val="00792037"/>
    <w:rsid w:val="007925C3"/>
    <w:rsid w:val="00792C6D"/>
    <w:rsid w:val="00792D92"/>
    <w:rsid w:val="007965F5"/>
    <w:rsid w:val="007A2CA0"/>
    <w:rsid w:val="007A4BFB"/>
    <w:rsid w:val="007A5A67"/>
    <w:rsid w:val="007A684B"/>
    <w:rsid w:val="007A6A97"/>
    <w:rsid w:val="007A7103"/>
    <w:rsid w:val="007A7392"/>
    <w:rsid w:val="007A7AAD"/>
    <w:rsid w:val="007B0370"/>
    <w:rsid w:val="007B1A06"/>
    <w:rsid w:val="007B23B1"/>
    <w:rsid w:val="007B437C"/>
    <w:rsid w:val="007B57C5"/>
    <w:rsid w:val="007B5F88"/>
    <w:rsid w:val="007B686C"/>
    <w:rsid w:val="007C4A53"/>
    <w:rsid w:val="007C5582"/>
    <w:rsid w:val="007C5935"/>
    <w:rsid w:val="007C69B5"/>
    <w:rsid w:val="007C6E10"/>
    <w:rsid w:val="007D278F"/>
    <w:rsid w:val="007D44A8"/>
    <w:rsid w:val="007D59EB"/>
    <w:rsid w:val="007D6F72"/>
    <w:rsid w:val="007D76FC"/>
    <w:rsid w:val="007E1A15"/>
    <w:rsid w:val="007E296E"/>
    <w:rsid w:val="007E3481"/>
    <w:rsid w:val="007E4364"/>
    <w:rsid w:val="007E447B"/>
    <w:rsid w:val="007E7600"/>
    <w:rsid w:val="007F0D85"/>
    <w:rsid w:val="007F27F1"/>
    <w:rsid w:val="008071EA"/>
    <w:rsid w:val="00807369"/>
    <w:rsid w:val="00807EF2"/>
    <w:rsid w:val="008104F9"/>
    <w:rsid w:val="00810EF4"/>
    <w:rsid w:val="00811D92"/>
    <w:rsid w:val="00811E0D"/>
    <w:rsid w:val="00814325"/>
    <w:rsid w:val="00816443"/>
    <w:rsid w:val="00817DFE"/>
    <w:rsid w:val="00822B41"/>
    <w:rsid w:val="00824235"/>
    <w:rsid w:val="008249D1"/>
    <w:rsid w:val="008260F5"/>
    <w:rsid w:val="0082752D"/>
    <w:rsid w:val="008309DB"/>
    <w:rsid w:val="00830F53"/>
    <w:rsid w:val="00832224"/>
    <w:rsid w:val="0083234E"/>
    <w:rsid w:val="00832AE9"/>
    <w:rsid w:val="00832CE5"/>
    <w:rsid w:val="00835340"/>
    <w:rsid w:val="00836DC0"/>
    <w:rsid w:val="00837587"/>
    <w:rsid w:val="00837CE6"/>
    <w:rsid w:val="00837EF1"/>
    <w:rsid w:val="00842B2B"/>
    <w:rsid w:val="0084330E"/>
    <w:rsid w:val="00843845"/>
    <w:rsid w:val="00847A9F"/>
    <w:rsid w:val="00847E1B"/>
    <w:rsid w:val="0085308C"/>
    <w:rsid w:val="00854F21"/>
    <w:rsid w:val="00855741"/>
    <w:rsid w:val="0086025C"/>
    <w:rsid w:val="0086228D"/>
    <w:rsid w:val="00862A04"/>
    <w:rsid w:val="00864464"/>
    <w:rsid w:val="00864C0C"/>
    <w:rsid w:val="0086570A"/>
    <w:rsid w:val="0086705F"/>
    <w:rsid w:val="0087368A"/>
    <w:rsid w:val="00874579"/>
    <w:rsid w:val="008745B1"/>
    <w:rsid w:val="0087595F"/>
    <w:rsid w:val="00876060"/>
    <w:rsid w:val="008770BF"/>
    <w:rsid w:val="00880A30"/>
    <w:rsid w:val="00893043"/>
    <w:rsid w:val="00894F6F"/>
    <w:rsid w:val="0089621F"/>
    <w:rsid w:val="008A049F"/>
    <w:rsid w:val="008A39C9"/>
    <w:rsid w:val="008A4017"/>
    <w:rsid w:val="008A4A71"/>
    <w:rsid w:val="008A5017"/>
    <w:rsid w:val="008A6A68"/>
    <w:rsid w:val="008B0B11"/>
    <w:rsid w:val="008B2FFB"/>
    <w:rsid w:val="008B3297"/>
    <w:rsid w:val="008B5D95"/>
    <w:rsid w:val="008B6A9D"/>
    <w:rsid w:val="008C003E"/>
    <w:rsid w:val="008C154E"/>
    <w:rsid w:val="008C2AB2"/>
    <w:rsid w:val="008C7B4C"/>
    <w:rsid w:val="008D07DC"/>
    <w:rsid w:val="008D3402"/>
    <w:rsid w:val="008D49FE"/>
    <w:rsid w:val="008D5CCE"/>
    <w:rsid w:val="008D6E3C"/>
    <w:rsid w:val="008D6F89"/>
    <w:rsid w:val="008E4323"/>
    <w:rsid w:val="008E6EBA"/>
    <w:rsid w:val="008F22B9"/>
    <w:rsid w:val="008F2C33"/>
    <w:rsid w:val="008F673E"/>
    <w:rsid w:val="009004A9"/>
    <w:rsid w:val="00900879"/>
    <w:rsid w:val="009056D0"/>
    <w:rsid w:val="00906041"/>
    <w:rsid w:val="00906B47"/>
    <w:rsid w:val="009112EB"/>
    <w:rsid w:val="00911D9F"/>
    <w:rsid w:val="009124F5"/>
    <w:rsid w:val="00912F2C"/>
    <w:rsid w:val="00913A9A"/>
    <w:rsid w:val="00917DF8"/>
    <w:rsid w:val="00920292"/>
    <w:rsid w:val="0092204B"/>
    <w:rsid w:val="00922199"/>
    <w:rsid w:val="00923E13"/>
    <w:rsid w:val="00924D06"/>
    <w:rsid w:val="009269A4"/>
    <w:rsid w:val="00927EF3"/>
    <w:rsid w:val="009316D6"/>
    <w:rsid w:val="00931F4C"/>
    <w:rsid w:val="00934088"/>
    <w:rsid w:val="00935647"/>
    <w:rsid w:val="0093566D"/>
    <w:rsid w:val="009366BB"/>
    <w:rsid w:val="009426D1"/>
    <w:rsid w:val="00942D10"/>
    <w:rsid w:val="009469FE"/>
    <w:rsid w:val="00955166"/>
    <w:rsid w:val="00957744"/>
    <w:rsid w:val="00957B73"/>
    <w:rsid w:val="009614A0"/>
    <w:rsid w:val="0096318E"/>
    <w:rsid w:val="00963B1E"/>
    <w:rsid w:val="00965857"/>
    <w:rsid w:val="0097021B"/>
    <w:rsid w:val="0097049A"/>
    <w:rsid w:val="009707BE"/>
    <w:rsid w:val="00970FCE"/>
    <w:rsid w:val="00974920"/>
    <w:rsid w:val="00974937"/>
    <w:rsid w:val="00974C94"/>
    <w:rsid w:val="0097587B"/>
    <w:rsid w:val="0098145B"/>
    <w:rsid w:val="00984A6B"/>
    <w:rsid w:val="00992305"/>
    <w:rsid w:val="009930DB"/>
    <w:rsid w:val="009A210F"/>
    <w:rsid w:val="009A2B5F"/>
    <w:rsid w:val="009A3645"/>
    <w:rsid w:val="009A4574"/>
    <w:rsid w:val="009A50CB"/>
    <w:rsid w:val="009A5874"/>
    <w:rsid w:val="009A602D"/>
    <w:rsid w:val="009B0993"/>
    <w:rsid w:val="009B225F"/>
    <w:rsid w:val="009B2476"/>
    <w:rsid w:val="009B3DCE"/>
    <w:rsid w:val="009B492C"/>
    <w:rsid w:val="009B4C93"/>
    <w:rsid w:val="009B5451"/>
    <w:rsid w:val="009B5FA7"/>
    <w:rsid w:val="009B7835"/>
    <w:rsid w:val="009B7BDE"/>
    <w:rsid w:val="009C03B7"/>
    <w:rsid w:val="009C1651"/>
    <w:rsid w:val="009C4579"/>
    <w:rsid w:val="009C4B08"/>
    <w:rsid w:val="009C60B2"/>
    <w:rsid w:val="009C7F17"/>
    <w:rsid w:val="009D066D"/>
    <w:rsid w:val="009D7A44"/>
    <w:rsid w:val="009E0BD0"/>
    <w:rsid w:val="009E2C4D"/>
    <w:rsid w:val="009E4055"/>
    <w:rsid w:val="009E52F3"/>
    <w:rsid w:val="009E6DDE"/>
    <w:rsid w:val="009F0F2D"/>
    <w:rsid w:val="009F55BF"/>
    <w:rsid w:val="009F6E6C"/>
    <w:rsid w:val="009F7408"/>
    <w:rsid w:val="009F7CCE"/>
    <w:rsid w:val="00A0112E"/>
    <w:rsid w:val="00A019DC"/>
    <w:rsid w:val="00A02375"/>
    <w:rsid w:val="00A02690"/>
    <w:rsid w:val="00A11047"/>
    <w:rsid w:val="00A11C1B"/>
    <w:rsid w:val="00A120A9"/>
    <w:rsid w:val="00A13E19"/>
    <w:rsid w:val="00A145DF"/>
    <w:rsid w:val="00A152C5"/>
    <w:rsid w:val="00A175B5"/>
    <w:rsid w:val="00A17E48"/>
    <w:rsid w:val="00A202C1"/>
    <w:rsid w:val="00A22950"/>
    <w:rsid w:val="00A2538B"/>
    <w:rsid w:val="00A26450"/>
    <w:rsid w:val="00A3398D"/>
    <w:rsid w:val="00A343E7"/>
    <w:rsid w:val="00A34B2E"/>
    <w:rsid w:val="00A34F15"/>
    <w:rsid w:val="00A430FC"/>
    <w:rsid w:val="00A4560A"/>
    <w:rsid w:val="00A505E6"/>
    <w:rsid w:val="00A52960"/>
    <w:rsid w:val="00A55398"/>
    <w:rsid w:val="00A57641"/>
    <w:rsid w:val="00A6098B"/>
    <w:rsid w:val="00A702A0"/>
    <w:rsid w:val="00A70C68"/>
    <w:rsid w:val="00A752BF"/>
    <w:rsid w:val="00A75603"/>
    <w:rsid w:val="00A7718D"/>
    <w:rsid w:val="00A804B2"/>
    <w:rsid w:val="00A80996"/>
    <w:rsid w:val="00A82B43"/>
    <w:rsid w:val="00A84A13"/>
    <w:rsid w:val="00A85363"/>
    <w:rsid w:val="00A92F11"/>
    <w:rsid w:val="00A93840"/>
    <w:rsid w:val="00A9429F"/>
    <w:rsid w:val="00A9572C"/>
    <w:rsid w:val="00AA1BDB"/>
    <w:rsid w:val="00AA2831"/>
    <w:rsid w:val="00AA2C08"/>
    <w:rsid w:val="00AA440D"/>
    <w:rsid w:val="00AA5B0E"/>
    <w:rsid w:val="00AA5E4B"/>
    <w:rsid w:val="00AA6545"/>
    <w:rsid w:val="00AA7FB1"/>
    <w:rsid w:val="00AB088E"/>
    <w:rsid w:val="00AB3A45"/>
    <w:rsid w:val="00AB3BC7"/>
    <w:rsid w:val="00AB587B"/>
    <w:rsid w:val="00AB5F63"/>
    <w:rsid w:val="00AC0886"/>
    <w:rsid w:val="00AC099B"/>
    <w:rsid w:val="00AC0B61"/>
    <w:rsid w:val="00AC3758"/>
    <w:rsid w:val="00AC37B6"/>
    <w:rsid w:val="00AC4B51"/>
    <w:rsid w:val="00AC503E"/>
    <w:rsid w:val="00AD18DC"/>
    <w:rsid w:val="00AD3B70"/>
    <w:rsid w:val="00AD3E99"/>
    <w:rsid w:val="00AD5F2F"/>
    <w:rsid w:val="00AE377E"/>
    <w:rsid w:val="00AE43F6"/>
    <w:rsid w:val="00AE6410"/>
    <w:rsid w:val="00AE6DD8"/>
    <w:rsid w:val="00AE75C4"/>
    <w:rsid w:val="00AF02DC"/>
    <w:rsid w:val="00AF0569"/>
    <w:rsid w:val="00AF0FD4"/>
    <w:rsid w:val="00AF35A2"/>
    <w:rsid w:val="00AF5F04"/>
    <w:rsid w:val="00B005DF"/>
    <w:rsid w:val="00B0261E"/>
    <w:rsid w:val="00B10CB2"/>
    <w:rsid w:val="00B12846"/>
    <w:rsid w:val="00B13454"/>
    <w:rsid w:val="00B177FA"/>
    <w:rsid w:val="00B17E3C"/>
    <w:rsid w:val="00B210E1"/>
    <w:rsid w:val="00B2130F"/>
    <w:rsid w:val="00B213D6"/>
    <w:rsid w:val="00B23375"/>
    <w:rsid w:val="00B264D1"/>
    <w:rsid w:val="00B267BF"/>
    <w:rsid w:val="00B273B6"/>
    <w:rsid w:val="00B27A6E"/>
    <w:rsid w:val="00B30874"/>
    <w:rsid w:val="00B311C4"/>
    <w:rsid w:val="00B3424A"/>
    <w:rsid w:val="00B34820"/>
    <w:rsid w:val="00B3568F"/>
    <w:rsid w:val="00B3586E"/>
    <w:rsid w:val="00B37B9F"/>
    <w:rsid w:val="00B41685"/>
    <w:rsid w:val="00B41E6C"/>
    <w:rsid w:val="00B42BAC"/>
    <w:rsid w:val="00B44601"/>
    <w:rsid w:val="00B45340"/>
    <w:rsid w:val="00B469E9"/>
    <w:rsid w:val="00B52CB3"/>
    <w:rsid w:val="00B540EF"/>
    <w:rsid w:val="00B54212"/>
    <w:rsid w:val="00B56A06"/>
    <w:rsid w:val="00B63F33"/>
    <w:rsid w:val="00B65A54"/>
    <w:rsid w:val="00B70192"/>
    <w:rsid w:val="00B70D4F"/>
    <w:rsid w:val="00B73A3E"/>
    <w:rsid w:val="00B7516C"/>
    <w:rsid w:val="00B76236"/>
    <w:rsid w:val="00B80A1E"/>
    <w:rsid w:val="00B84874"/>
    <w:rsid w:val="00B90A35"/>
    <w:rsid w:val="00B932CB"/>
    <w:rsid w:val="00B94AE8"/>
    <w:rsid w:val="00B94CF8"/>
    <w:rsid w:val="00B94FAC"/>
    <w:rsid w:val="00B9537F"/>
    <w:rsid w:val="00B95859"/>
    <w:rsid w:val="00BA0DE0"/>
    <w:rsid w:val="00BA12C8"/>
    <w:rsid w:val="00BA1C3F"/>
    <w:rsid w:val="00BA2181"/>
    <w:rsid w:val="00BB0F20"/>
    <w:rsid w:val="00BB213F"/>
    <w:rsid w:val="00BB6FA9"/>
    <w:rsid w:val="00BB72E3"/>
    <w:rsid w:val="00BC44A1"/>
    <w:rsid w:val="00BC662A"/>
    <w:rsid w:val="00BD3F81"/>
    <w:rsid w:val="00BD4FDA"/>
    <w:rsid w:val="00BD7FD4"/>
    <w:rsid w:val="00BE0183"/>
    <w:rsid w:val="00BE11F5"/>
    <w:rsid w:val="00BE259C"/>
    <w:rsid w:val="00BE59AD"/>
    <w:rsid w:val="00BE5AF1"/>
    <w:rsid w:val="00BE7A45"/>
    <w:rsid w:val="00BF0AEA"/>
    <w:rsid w:val="00BF1369"/>
    <w:rsid w:val="00BF40D6"/>
    <w:rsid w:val="00BF55F1"/>
    <w:rsid w:val="00BF5B9D"/>
    <w:rsid w:val="00BF6E2E"/>
    <w:rsid w:val="00BF6EC0"/>
    <w:rsid w:val="00C03958"/>
    <w:rsid w:val="00C05265"/>
    <w:rsid w:val="00C05635"/>
    <w:rsid w:val="00C0627D"/>
    <w:rsid w:val="00C06763"/>
    <w:rsid w:val="00C06D61"/>
    <w:rsid w:val="00C0704B"/>
    <w:rsid w:val="00C074DD"/>
    <w:rsid w:val="00C1171A"/>
    <w:rsid w:val="00C1613B"/>
    <w:rsid w:val="00C163AC"/>
    <w:rsid w:val="00C16C42"/>
    <w:rsid w:val="00C17704"/>
    <w:rsid w:val="00C206D2"/>
    <w:rsid w:val="00C21E09"/>
    <w:rsid w:val="00C21ED3"/>
    <w:rsid w:val="00C23FEF"/>
    <w:rsid w:val="00C252B8"/>
    <w:rsid w:val="00C26BF7"/>
    <w:rsid w:val="00C302C4"/>
    <w:rsid w:val="00C318AA"/>
    <w:rsid w:val="00C35DF4"/>
    <w:rsid w:val="00C36EB3"/>
    <w:rsid w:val="00C3772F"/>
    <w:rsid w:val="00C37C78"/>
    <w:rsid w:val="00C4198B"/>
    <w:rsid w:val="00C423A2"/>
    <w:rsid w:val="00C424EC"/>
    <w:rsid w:val="00C42A8E"/>
    <w:rsid w:val="00C44BC5"/>
    <w:rsid w:val="00C4507B"/>
    <w:rsid w:val="00C50B06"/>
    <w:rsid w:val="00C53A13"/>
    <w:rsid w:val="00C54FDC"/>
    <w:rsid w:val="00C55A05"/>
    <w:rsid w:val="00C568C1"/>
    <w:rsid w:val="00C57F2D"/>
    <w:rsid w:val="00C6031A"/>
    <w:rsid w:val="00C62897"/>
    <w:rsid w:val="00C63523"/>
    <w:rsid w:val="00C63F5C"/>
    <w:rsid w:val="00C6426D"/>
    <w:rsid w:val="00C65C5D"/>
    <w:rsid w:val="00C6614D"/>
    <w:rsid w:val="00C664D5"/>
    <w:rsid w:val="00C72FE5"/>
    <w:rsid w:val="00C76C44"/>
    <w:rsid w:val="00C828C8"/>
    <w:rsid w:val="00C8316A"/>
    <w:rsid w:val="00C86081"/>
    <w:rsid w:val="00C9140C"/>
    <w:rsid w:val="00C91D61"/>
    <w:rsid w:val="00C91E4A"/>
    <w:rsid w:val="00C94426"/>
    <w:rsid w:val="00C95058"/>
    <w:rsid w:val="00C9683A"/>
    <w:rsid w:val="00C96E63"/>
    <w:rsid w:val="00C971FB"/>
    <w:rsid w:val="00CA17B5"/>
    <w:rsid w:val="00CA3721"/>
    <w:rsid w:val="00CA3C2A"/>
    <w:rsid w:val="00CA41E3"/>
    <w:rsid w:val="00CA57C6"/>
    <w:rsid w:val="00CA5846"/>
    <w:rsid w:val="00CB0709"/>
    <w:rsid w:val="00CB1970"/>
    <w:rsid w:val="00CB238E"/>
    <w:rsid w:val="00CC0F38"/>
    <w:rsid w:val="00CC174D"/>
    <w:rsid w:val="00CC1C3E"/>
    <w:rsid w:val="00CC4A51"/>
    <w:rsid w:val="00CC51EA"/>
    <w:rsid w:val="00CC61BE"/>
    <w:rsid w:val="00CC655F"/>
    <w:rsid w:val="00CC6A64"/>
    <w:rsid w:val="00CC749A"/>
    <w:rsid w:val="00CD0836"/>
    <w:rsid w:val="00CD08C9"/>
    <w:rsid w:val="00CD2374"/>
    <w:rsid w:val="00CD29B6"/>
    <w:rsid w:val="00CD38FE"/>
    <w:rsid w:val="00CD3C91"/>
    <w:rsid w:val="00CD414E"/>
    <w:rsid w:val="00CD42C5"/>
    <w:rsid w:val="00CD4CB1"/>
    <w:rsid w:val="00CD767D"/>
    <w:rsid w:val="00CE1923"/>
    <w:rsid w:val="00CE446F"/>
    <w:rsid w:val="00CE57FD"/>
    <w:rsid w:val="00CF061D"/>
    <w:rsid w:val="00CF5449"/>
    <w:rsid w:val="00D02891"/>
    <w:rsid w:val="00D02C21"/>
    <w:rsid w:val="00D05118"/>
    <w:rsid w:val="00D05149"/>
    <w:rsid w:val="00D05A69"/>
    <w:rsid w:val="00D10293"/>
    <w:rsid w:val="00D10ABC"/>
    <w:rsid w:val="00D15364"/>
    <w:rsid w:val="00D15DD0"/>
    <w:rsid w:val="00D1675C"/>
    <w:rsid w:val="00D17AE2"/>
    <w:rsid w:val="00D22BD5"/>
    <w:rsid w:val="00D25736"/>
    <w:rsid w:val="00D25A72"/>
    <w:rsid w:val="00D25B20"/>
    <w:rsid w:val="00D25CDC"/>
    <w:rsid w:val="00D316E4"/>
    <w:rsid w:val="00D31A43"/>
    <w:rsid w:val="00D3465F"/>
    <w:rsid w:val="00D35CC1"/>
    <w:rsid w:val="00D3644F"/>
    <w:rsid w:val="00D36572"/>
    <w:rsid w:val="00D37C4C"/>
    <w:rsid w:val="00D40336"/>
    <w:rsid w:val="00D40AC5"/>
    <w:rsid w:val="00D414FB"/>
    <w:rsid w:val="00D41552"/>
    <w:rsid w:val="00D41663"/>
    <w:rsid w:val="00D4329B"/>
    <w:rsid w:val="00D44641"/>
    <w:rsid w:val="00D45D56"/>
    <w:rsid w:val="00D461A8"/>
    <w:rsid w:val="00D46DB7"/>
    <w:rsid w:val="00D556ED"/>
    <w:rsid w:val="00D577A9"/>
    <w:rsid w:val="00D62849"/>
    <w:rsid w:val="00D64EE2"/>
    <w:rsid w:val="00D6572E"/>
    <w:rsid w:val="00D6674E"/>
    <w:rsid w:val="00D66FE3"/>
    <w:rsid w:val="00D67988"/>
    <w:rsid w:val="00D70E63"/>
    <w:rsid w:val="00D71D71"/>
    <w:rsid w:val="00D75507"/>
    <w:rsid w:val="00D767F4"/>
    <w:rsid w:val="00D800C6"/>
    <w:rsid w:val="00D80A65"/>
    <w:rsid w:val="00D81CC5"/>
    <w:rsid w:val="00D822A7"/>
    <w:rsid w:val="00D830C5"/>
    <w:rsid w:val="00D836ED"/>
    <w:rsid w:val="00D83D8D"/>
    <w:rsid w:val="00D8437A"/>
    <w:rsid w:val="00D93188"/>
    <w:rsid w:val="00D936F3"/>
    <w:rsid w:val="00D93FA9"/>
    <w:rsid w:val="00D96C94"/>
    <w:rsid w:val="00DA035C"/>
    <w:rsid w:val="00DA3177"/>
    <w:rsid w:val="00DA3A70"/>
    <w:rsid w:val="00DA4AB9"/>
    <w:rsid w:val="00DA4E53"/>
    <w:rsid w:val="00DA5C61"/>
    <w:rsid w:val="00DA5EBB"/>
    <w:rsid w:val="00DA7E9E"/>
    <w:rsid w:val="00DB08BC"/>
    <w:rsid w:val="00DB12C5"/>
    <w:rsid w:val="00DB42C7"/>
    <w:rsid w:val="00DB4D60"/>
    <w:rsid w:val="00DB519A"/>
    <w:rsid w:val="00DB5CCC"/>
    <w:rsid w:val="00DB6B14"/>
    <w:rsid w:val="00DC0FA4"/>
    <w:rsid w:val="00DC2CD9"/>
    <w:rsid w:val="00DC2FBF"/>
    <w:rsid w:val="00DC4763"/>
    <w:rsid w:val="00DC4792"/>
    <w:rsid w:val="00DC7D07"/>
    <w:rsid w:val="00DD04E9"/>
    <w:rsid w:val="00DD0CA8"/>
    <w:rsid w:val="00DD3AF9"/>
    <w:rsid w:val="00DD51DC"/>
    <w:rsid w:val="00DD6054"/>
    <w:rsid w:val="00DD7BE3"/>
    <w:rsid w:val="00DE0849"/>
    <w:rsid w:val="00DE2EE9"/>
    <w:rsid w:val="00DE3C64"/>
    <w:rsid w:val="00DE41F7"/>
    <w:rsid w:val="00DE4FB8"/>
    <w:rsid w:val="00DE7BD5"/>
    <w:rsid w:val="00DF0FCE"/>
    <w:rsid w:val="00DF2117"/>
    <w:rsid w:val="00DF2AF7"/>
    <w:rsid w:val="00DF2CA0"/>
    <w:rsid w:val="00DF31F5"/>
    <w:rsid w:val="00DF337F"/>
    <w:rsid w:val="00DF5B05"/>
    <w:rsid w:val="00DF60B9"/>
    <w:rsid w:val="00DF6F62"/>
    <w:rsid w:val="00E063A5"/>
    <w:rsid w:val="00E10EDD"/>
    <w:rsid w:val="00E12236"/>
    <w:rsid w:val="00E130AA"/>
    <w:rsid w:val="00E153DB"/>
    <w:rsid w:val="00E1592C"/>
    <w:rsid w:val="00E203CD"/>
    <w:rsid w:val="00E2106F"/>
    <w:rsid w:val="00E23086"/>
    <w:rsid w:val="00E23785"/>
    <w:rsid w:val="00E24A10"/>
    <w:rsid w:val="00E25A06"/>
    <w:rsid w:val="00E25E96"/>
    <w:rsid w:val="00E26AA5"/>
    <w:rsid w:val="00E3006B"/>
    <w:rsid w:val="00E3077F"/>
    <w:rsid w:val="00E335F1"/>
    <w:rsid w:val="00E33787"/>
    <w:rsid w:val="00E34A79"/>
    <w:rsid w:val="00E34C47"/>
    <w:rsid w:val="00E34DF9"/>
    <w:rsid w:val="00E372E9"/>
    <w:rsid w:val="00E37A38"/>
    <w:rsid w:val="00E430BD"/>
    <w:rsid w:val="00E44496"/>
    <w:rsid w:val="00E47DA6"/>
    <w:rsid w:val="00E50DAF"/>
    <w:rsid w:val="00E54190"/>
    <w:rsid w:val="00E60016"/>
    <w:rsid w:val="00E6221C"/>
    <w:rsid w:val="00E62B81"/>
    <w:rsid w:val="00E6325E"/>
    <w:rsid w:val="00E6687B"/>
    <w:rsid w:val="00E7294B"/>
    <w:rsid w:val="00E73019"/>
    <w:rsid w:val="00E80312"/>
    <w:rsid w:val="00E804AE"/>
    <w:rsid w:val="00E81791"/>
    <w:rsid w:val="00E81EA6"/>
    <w:rsid w:val="00E90D6E"/>
    <w:rsid w:val="00E91237"/>
    <w:rsid w:val="00E92173"/>
    <w:rsid w:val="00E927C9"/>
    <w:rsid w:val="00E9311A"/>
    <w:rsid w:val="00E9347F"/>
    <w:rsid w:val="00E93802"/>
    <w:rsid w:val="00E95FBF"/>
    <w:rsid w:val="00EA078F"/>
    <w:rsid w:val="00EA1C4B"/>
    <w:rsid w:val="00EA1DD2"/>
    <w:rsid w:val="00EA274D"/>
    <w:rsid w:val="00EB2C2C"/>
    <w:rsid w:val="00EB5B09"/>
    <w:rsid w:val="00EB5E82"/>
    <w:rsid w:val="00EB6E51"/>
    <w:rsid w:val="00EB7B12"/>
    <w:rsid w:val="00EC16FB"/>
    <w:rsid w:val="00EC6C62"/>
    <w:rsid w:val="00EC75FD"/>
    <w:rsid w:val="00EC7CD2"/>
    <w:rsid w:val="00ED19B7"/>
    <w:rsid w:val="00ED245D"/>
    <w:rsid w:val="00ED3A13"/>
    <w:rsid w:val="00ED4793"/>
    <w:rsid w:val="00ED51D9"/>
    <w:rsid w:val="00ED5411"/>
    <w:rsid w:val="00ED5B42"/>
    <w:rsid w:val="00EE0213"/>
    <w:rsid w:val="00EE4F53"/>
    <w:rsid w:val="00EE7670"/>
    <w:rsid w:val="00EE7EB5"/>
    <w:rsid w:val="00EF355D"/>
    <w:rsid w:val="00EF6C85"/>
    <w:rsid w:val="00F026FA"/>
    <w:rsid w:val="00F02794"/>
    <w:rsid w:val="00F032B0"/>
    <w:rsid w:val="00F03325"/>
    <w:rsid w:val="00F035A9"/>
    <w:rsid w:val="00F061B5"/>
    <w:rsid w:val="00F0729E"/>
    <w:rsid w:val="00F10761"/>
    <w:rsid w:val="00F11E69"/>
    <w:rsid w:val="00F1602D"/>
    <w:rsid w:val="00F16ACF"/>
    <w:rsid w:val="00F17E1D"/>
    <w:rsid w:val="00F25799"/>
    <w:rsid w:val="00F25BD5"/>
    <w:rsid w:val="00F34357"/>
    <w:rsid w:val="00F34F3F"/>
    <w:rsid w:val="00F37A02"/>
    <w:rsid w:val="00F40B94"/>
    <w:rsid w:val="00F4135D"/>
    <w:rsid w:val="00F41679"/>
    <w:rsid w:val="00F41717"/>
    <w:rsid w:val="00F433DB"/>
    <w:rsid w:val="00F4410E"/>
    <w:rsid w:val="00F448E2"/>
    <w:rsid w:val="00F54A6D"/>
    <w:rsid w:val="00F54C7F"/>
    <w:rsid w:val="00F55903"/>
    <w:rsid w:val="00F56E40"/>
    <w:rsid w:val="00F573EC"/>
    <w:rsid w:val="00F57F8E"/>
    <w:rsid w:val="00F62D06"/>
    <w:rsid w:val="00F63EDC"/>
    <w:rsid w:val="00F65845"/>
    <w:rsid w:val="00F66278"/>
    <w:rsid w:val="00F66D96"/>
    <w:rsid w:val="00F67273"/>
    <w:rsid w:val="00F70396"/>
    <w:rsid w:val="00F74C87"/>
    <w:rsid w:val="00F75F1E"/>
    <w:rsid w:val="00F77573"/>
    <w:rsid w:val="00F80660"/>
    <w:rsid w:val="00F80C60"/>
    <w:rsid w:val="00F81A31"/>
    <w:rsid w:val="00F82610"/>
    <w:rsid w:val="00F85B51"/>
    <w:rsid w:val="00F85C82"/>
    <w:rsid w:val="00F87529"/>
    <w:rsid w:val="00F90721"/>
    <w:rsid w:val="00F90E5D"/>
    <w:rsid w:val="00F9239E"/>
    <w:rsid w:val="00F945B0"/>
    <w:rsid w:val="00F94D5D"/>
    <w:rsid w:val="00F95109"/>
    <w:rsid w:val="00FA0B5B"/>
    <w:rsid w:val="00FA1C0D"/>
    <w:rsid w:val="00FA2674"/>
    <w:rsid w:val="00FA474C"/>
    <w:rsid w:val="00FA4F59"/>
    <w:rsid w:val="00FA6D58"/>
    <w:rsid w:val="00FA770D"/>
    <w:rsid w:val="00FA7AA5"/>
    <w:rsid w:val="00FB0E61"/>
    <w:rsid w:val="00FB187F"/>
    <w:rsid w:val="00FB221B"/>
    <w:rsid w:val="00FB3A94"/>
    <w:rsid w:val="00FB3B9B"/>
    <w:rsid w:val="00FB4430"/>
    <w:rsid w:val="00FB4C6F"/>
    <w:rsid w:val="00FB5475"/>
    <w:rsid w:val="00FB5F1D"/>
    <w:rsid w:val="00FB63E9"/>
    <w:rsid w:val="00FC0D47"/>
    <w:rsid w:val="00FC0ED1"/>
    <w:rsid w:val="00FC3191"/>
    <w:rsid w:val="00FC60B8"/>
    <w:rsid w:val="00FD17E9"/>
    <w:rsid w:val="00FD1BD5"/>
    <w:rsid w:val="00FD43CF"/>
    <w:rsid w:val="00FD4584"/>
    <w:rsid w:val="00FE1001"/>
    <w:rsid w:val="00FE168B"/>
    <w:rsid w:val="00FE234E"/>
    <w:rsid w:val="00FE2CB3"/>
    <w:rsid w:val="00FE3B7B"/>
    <w:rsid w:val="00FE546B"/>
    <w:rsid w:val="00FE54CE"/>
    <w:rsid w:val="00FE67B0"/>
    <w:rsid w:val="00FE6BD6"/>
    <w:rsid w:val="00FF1160"/>
    <w:rsid w:val="00FF3DF1"/>
    <w:rsid w:val="00FF424F"/>
    <w:rsid w:val="00FF5A6F"/>
    <w:rsid w:val="00FF7711"/>
  </w:rsids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A1ACC7-9CE7-4FBD-B633-A63BE89D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0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70"/>
    <w:pPr>
      <w:spacing w:after="200" w:line="276" w:lineRule="auto"/>
    </w:pPr>
    <w:rPr>
      <w:rFonts w:eastAsia="Times New Roman"/>
      <w:sz w:val="22"/>
      <w:szCs w:val="22"/>
      <w:lang w:val="sk-SK"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1">
    <w:name w:val="Nadpis 1"/>
    <w:aliases w:val="ECDC AF Heading 1"/>
    <w:basedOn w:val="Normal"/>
    <w:next w:val="Normal"/>
    <w:link w:val="Nadpis1Char"/>
    <w:qFormat/>
    <w:rsid w:val="00DA3A70"/>
    <w:pPr>
      <w:keepNext/>
      <w:spacing w:after="0" w:line="240" w:lineRule="auto"/>
      <w:outlineLvl w:val="0"/>
    </w:pPr>
    <w:rPr>
      <w:rFonts w:ascii="Times New Roman" w:eastAsia="MS Mincho" w:hAnsi="Times New Roman"/>
      <w:b/>
      <w:sz w:val="24"/>
      <w:szCs w:val="24"/>
      <w:lang w:val="x-none" w:bidi="ar-SA"/>
    </w:rPr>
  </w:style>
  <w:style w:type="paragraph" w:customStyle="1" w:styleId="Nadpis2">
    <w:name w:val="Nadpis 2"/>
    <w:aliases w:val="ECDC AF Heading 2"/>
    <w:basedOn w:val="Normal"/>
    <w:next w:val="Paragrafoelenco1"/>
    <w:link w:val="Nadpis2Char"/>
    <w:autoRedefine/>
    <w:uiPriority w:val="9"/>
    <w:qFormat/>
    <w:rsid w:val="00DA3A70"/>
    <w:pPr>
      <w:keepNext/>
      <w:keepLines/>
      <w:spacing w:before="240" w:after="240" w:line="240" w:lineRule="auto"/>
      <w:jc w:val="both"/>
      <w:outlineLvl w:val="1"/>
    </w:pPr>
    <w:rPr>
      <w:rFonts w:ascii="Tahoma" w:hAnsi="Tahoma"/>
      <w:b/>
      <w:bCs/>
      <w:i/>
      <w:color w:val="008000"/>
      <w:sz w:val="26"/>
      <w:szCs w:val="26"/>
      <w:lang w:val="x-none" w:eastAsia="x-none" w:bidi="ar-SA"/>
    </w:rPr>
  </w:style>
  <w:style w:type="paragraph" w:customStyle="1" w:styleId="Nadpis3">
    <w:name w:val="Nadpis 3"/>
    <w:aliases w:val="ECDC AF Heading 3"/>
    <w:basedOn w:val="Normal"/>
    <w:next w:val="Normal"/>
    <w:link w:val="Nadpis3Char"/>
    <w:autoRedefine/>
    <w:uiPriority w:val="9"/>
    <w:qFormat/>
    <w:rsid w:val="00DA3A70"/>
    <w:pPr>
      <w:keepNext/>
      <w:keepLines/>
      <w:spacing w:before="240" w:after="240" w:line="240" w:lineRule="auto"/>
      <w:outlineLvl w:val="2"/>
    </w:pPr>
    <w:rPr>
      <w:rFonts w:ascii="Tahoma" w:hAnsi="Tahoma"/>
      <w:b/>
      <w:bCs/>
      <w:color w:val="1F497D"/>
      <w:sz w:val="20"/>
      <w:szCs w:val="20"/>
      <w:lang w:val="x-none" w:eastAsia="x-none" w:bidi="ar-SA"/>
    </w:rPr>
  </w:style>
  <w:style w:type="paragraph" w:customStyle="1" w:styleId="Nadpis4">
    <w:name w:val="Nadpis 4"/>
    <w:basedOn w:val="Normal"/>
    <w:next w:val="Normal"/>
    <w:link w:val="Nadpis4Char"/>
    <w:uiPriority w:val="9"/>
    <w:qFormat/>
    <w:rsid w:val="00EA1DD2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customStyle="1" w:styleId="Nadpis5">
    <w:name w:val="Nadpis 5"/>
    <w:basedOn w:val="Normal"/>
    <w:next w:val="Normal"/>
    <w:link w:val="Nadpis5Char"/>
    <w:uiPriority w:val="9"/>
    <w:qFormat/>
    <w:rsid w:val="00E93802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numbering" w:customStyle="1" w:styleId="Bezzoznamu">
    <w:name w:val="Bez zoznamu"/>
    <w:uiPriority w:val="99"/>
    <w:semiHidden/>
    <w:unhideWhenUsed/>
  </w:style>
  <w:style w:type="character" w:customStyle="1" w:styleId="Nadpis1Char">
    <w:name w:val="Nadpis 1 Char"/>
    <w:aliases w:val="ECDC AF Heading 1 Char"/>
    <w:link w:val="Nadpis1"/>
    <w:rsid w:val="00DA3A70"/>
    <w:rPr>
      <w:rFonts w:ascii="Times New Roman" w:eastAsia="MS Mincho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aliases w:val="ECDC AF Heading 2 Char"/>
    <w:link w:val="Nadpis2"/>
    <w:uiPriority w:val="9"/>
    <w:rsid w:val="00DA3A70"/>
    <w:rPr>
      <w:rFonts w:ascii="Tahoma" w:eastAsia="Times New Roman" w:hAnsi="Tahoma" w:cs="Times New Roman"/>
      <w:b/>
      <w:bCs/>
      <w:i/>
      <w:color w:val="008000"/>
      <w:sz w:val="26"/>
      <w:szCs w:val="26"/>
    </w:rPr>
  </w:style>
  <w:style w:type="character" w:customStyle="1" w:styleId="Nadpis3Char">
    <w:name w:val="Nadpis 3 Char"/>
    <w:aliases w:val="ECDC AF Heading 3 Char"/>
    <w:link w:val="Nadpis3"/>
    <w:uiPriority w:val="9"/>
    <w:rsid w:val="00DA3A70"/>
    <w:rPr>
      <w:rFonts w:ascii="Tahoma" w:eastAsia="Times New Roman" w:hAnsi="Tahoma" w:cs="Times New Roman"/>
      <w:b/>
      <w:bCs/>
      <w:color w:val="1F497D"/>
      <w:szCs w:val="20"/>
    </w:rPr>
  </w:style>
  <w:style w:type="paragraph" w:customStyle="1" w:styleId="Textbubliny">
    <w:name w:val="Text bubliny"/>
    <w:basedOn w:val="Normal"/>
    <w:link w:val="TextbublinyChar"/>
    <w:semiHidden/>
    <w:unhideWhenUsed/>
    <w:rsid w:val="00DA3A70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semiHidden/>
    <w:rsid w:val="00DA3A70"/>
    <w:rPr>
      <w:rFonts w:ascii="Tahoma" w:eastAsia="Times New Roman" w:hAnsi="Tahoma" w:cs="Times New Roman"/>
      <w:sz w:val="16"/>
      <w:szCs w:val="16"/>
      <w:lang w:val="sk-SK" w:eastAsia="sk-SK"/>
    </w:rPr>
  </w:style>
  <w:style w:type="paragraph" w:customStyle="1" w:styleId="ListParagraph1">
    <w:name w:val="List Paragraph1"/>
    <w:basedOn w:val="Normal"/>
    <w:uiPriority w:val="34"/>
    <w:qFormat/>
    <w:rsid w:val="00DA3A70"/>
    <w:pPr>
      <w:ind w:left="720"/>
      <w:contextualSpacing/>
    </w:pPr>
  </w:style>
  <w:style w:type="character" w:customStyle="1" w:styleId="Hypertextovprepojenie">
    <w:name w:val="Hypertextové prepojenie"/>
    <w:rsid w:val="00DA3A70"/>
    <w:rPr>
      <w:color w:val="0000FF"/>
      <w:u w:val="single"/>
    </w:rPr>
  </w:style>
  <w:style w:type="paragraph" w:customStyle="1" w:styleId="Textkomentra">
    <w:name w:val="Text komentára"/>
    <w:basedOn w:val="Normal"/>
    <w:link w:val="TextkomentraChar"/>
    <w:uiPriority w:val="99"/>
    <w:unhideWhenUsed/>
    <w:rsid w:val="00DA3A70"/>
    <w:pPr>
      <w:spacing w:line="240" w:lineRule="auto"/>
    </w:pPr>
    <w:rPr>
      <w:rFonts w:eastAsia="Calibri"/>
      <w:sz w:val="20"/>
      <w:szCs w:val="20"/>
      <w:lang w:eastAsia="x-none" w:bidi="ar-SA"/>
    </w:rPr>
  </w:style>
  <w:style w:type="character" w:customStyle="1" w:styleId="CommentTextChar">
    <w:name w:val="Comment Text Char"/>
    <w:uiPriority w:val="99"/>
    <w:rsid w:val="00DA3A70"/>
    <w:rPr>
      <w:rFonts w:eastAsia="Times New Roman" w:cs="Times New Roman"/>
      <w:lang w:val="sk-SK" w:eastAsia="sk-SK"/>
    </w:rPr>
  </w:style>
  <w:style w:type="character" w:customStyle="1" w:styleId="TextkomentraChar">
    <w:name w:val="Text komentára Char"/>
    <w:link w:val="Textkomentra"/>
    <w:uiPriority w:val="99"/>
    <w:rsid w:val="00DA3A70"/>
    <w:rPr>
      <w:rFonts w:ascii="Calibri" w:eastAsia="Calibri" w:hAnsi="Calibri" w:cs="Times New Roman"/>
      <w:sz w:val="20"/>
      <w:szCs w:val="20"/>
      <w:lang w:val="sk-SK"/>
    </w:rPr>
  </w:style>
  <w:style w:type="paragraph" w:customStyle="1" w:styleId="PredformtovanHTML">
    <w:name w:val="Predformátované HTML"/>
    <w:basedOn w:val="Normal"/>
    <w:link w:val="PredformtovanHTMLChar"/>
    <w:uiPriority w:val="99"/>
    <w:semiHidden/>
    <w:unhideWhenUsed/>
    <w:rsid w:val="00DA3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uiPriority w:val="99"/>
    <w:semiHidden/>
    <w:rsid w:val="00DA3A70"/>
    <w:rPr>
      <w:rFonts w:ascii="Courier New" w:eastAsia="Times New Roman" w:hAnsi="Courier New" w:cs="Times New Roman"/>
      <w:sz w:val="20"/>
      <w:szCs w:val="20"/>
      <w:lang w:val="sk-SK" w:eastAsia="sk-SK"/>
    </w:rPr>
  </w:style>
  <w:style w:type="character" w:customStyle="1" w:styleId="Odkaznakomentr">
    <w:name w:val="Odkaz na komentár"/>
    <w:uiPriority w:val="99"/>
    <w:semiHidden/>
    <w:unhideWhenUsed/>
    <w:rsid w:val="00DA3A70"/>
    <w:rPr>
      <w:sz w:val="16"/>
      <w:szCs w:val="16"/>
    </w:rPr>
  </w:style>
  <w:style w:type="paragraph" w:customStyle="1" w:styleId="Predmetkomentra">
    <w:name w:val="Predmet komentára"/>
    <w:basedOn w:val="Textkomentra"/>
    <w:next w:val="Textkomentra"/>
    <w:link w:val="PredmetkomentraChar"/>
    <w:uiPriority w:val="99"/>
    <w:semiHidden/>
    <w:unhideWhenUsed/>
    <w:rsid w:val="00DA3A70"/>
    <w:pPr>
      <w:spacing w:line="276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A3A70"/>
    <w:rPr>
      <w:rFonts w:ascii="Calibri" w:eastAsia="Calibri" w:hAnsi="Calibri" w:cs="Times New Roman"/>
      <w:b/>
      <w:bCs/>
      <w:sz w:val="20"/>
      <w:szCs w:val="20"/>
      <w:lang w:val="sk-SK"/>
    </w:rPr>
  </w:style>
  <w:style w:type="paragraph" w:customStyle="1" w:styleId="Hlavika">
    <w:name w:val="Hlavička"/>
    <w:basedOn w:val="Normal"/>
    <w:link w:val="HlavikaChar"/>
    <w:uiPriority w:val="99"/>
    <w:unhideWhenUsed/>
    <w:rsid w:val="00DA3A70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character" w:customStyle="1" w:styleId="HlavikaChar">
    <w:name w:val="Hlavička Char"/>
    <w:link w:val="Hlavika"/>
    <w:uiPriority w:val="99"/>
    <w:rsid w:val="00DA3A70"/>
    <w:rPr>
      <w:rFonts w:ascii="Calibri" w:eastAsia="Times New Roman" w:hAnsi="Calibri" w:cs="Times New Roman"/>
      <w:lang w:val="sk-SK" w:eastAsia="sk-SK"/>
    </w:rPr>
  </w:style>
  <w:style w:type="paragraph" w:customStyle="1" w:styleId="Pta">
    <w:name w:val="Päta"/>
    <w:basedOn w:val="Normal"/>
    <w:link w:val="PtaChar"/>
    <w:uiPriority w:val="99"/>
    <w:unhideWhenUsed/>
    <w:rsid w:val="00DA3A70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character" w:customStyle="1" w:styleId="PtaChar">
    <w:name w:val="Päta Char"/>
    <w:link w:val="Pta"/>
    <w:uiPriority w:val="99"/>
    <w:rsid w:val="00DA3A70"/>
    <w:rPr>
      <w:rFonts w:ascii="Calibri" w:eastAsia="Times New Roman" w:hAnsi="Calibri" w:cs="Times New Roman"/>
      <w:lang w:val="sk-SK" w:eastAsia="sk-SK"/>
    </w:rPr>
  </w:style>
  <w:style w:type="paragraph" w:customStyle="1" w:styleId="Textpoznmkypodiarou">
    <w:name w:val="Text poznámky pod čiarou"/>
    <w:basedOn w:val="Normal"/>
    <w:link w:val="TextpoznmkypodiarouChar"/>
    <w:unhideWhenUsed/>
    <w:rsid w:val="00DA3A70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rsid w:val="00DA3A70"/>
    <w:rPr>
      <w:rFonts w:ascii="Calibri" w:eastAsia="Times New Roman" w:hAnsi="Calibri" w:cs="Times New Roman"/>
      <w:sz w:val="20"/>
      <w:szCs w:val="20"/>
      <w:lang w:val="sk-SK" w:eastAsia="sk-SK"/>
    </w:rPr>
  </w:style>
  <w:style w:type="character" w:customStyle="1" w:styleId="Odkaznapoznmkupodiarou">
    <w:name w:val="Odkaz na poznámku pod čiarou"/>
    <w:unhideWhenUsed/>
    <w:rsid w:val="00DA3A70"/>
    <w:rPr>
      <w:vertAlign w:val="superscript"/>
    </w:rPr>
  </w:style>
  <w:style w:type="paragraph" w:customStyle="1" w:styleId="Obyajntext">
    <w:name w:val="Obyčajný text"/>
    <w:basedOn w:val="Normal"/>
    <w:link w:val="ObyajntextChar"/>
    <w:uiPriority w:val="99"/>
    <w:semiHidden/>
    <w:unhideWhenUsed/>
    <w:rsid w:val="00DA3A70"/>
    <w:pPr>
      <w:spacing w:after="0" w:line="240" w:lineRule="auto"/>
    </w:pPr>
    <w:rPr>
      <w:rFonts w:ascii="Consolas" w:eastAsia="Calibri" w:hAnsi="Consolas"/>
      <w:sz w:val="21"/>
      <w:szCs w:val="21"/>
      <w:lang w:eastAsia="x-none" w:bidi="ar-SA"/>
    </w:rPr>
  </w:style>
  <w:style w:type="character" w:customStyle="1" w:styleId="ObyajntextChar">
    <w:name w:val="Obyčajný text Char"/>
    <w:link w:val="Obyajntext"/>
    <w:uiPriority w:val="99"/>
    <w:semiHidden/>
    <w:rsid w:val="00DA3A70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Revision1">
    <w:name w:val="Revision1"/>
    <w:hidden/>
    <w:uiPriority w:val="99"/>
    <w:semiHidden/>
    <w:rsid w:val="00DA3A70"/>
    <w:rPr>
      <w:rFonts w:eastAsia="Times New Roman"/>
      <w:sz w:val="22"/>
      <w:szCs w:val="22"/>
      <w:lang w:val="sk-SK" w:eastAsia="sk-SK" w:bidi="sk-SK"/>
    </w:rPr>
  </w:style>
  <w:style w:type="character" w:customStyle="1" w:styleId="Zvraznenie">
    <w:name w:val="Zvýraznenie"/>
    <w:uiPriority w:val="20"/>
    <w:qFormat/>
    <w:rsid w:val="00DA3A70"/>
    <w:rPr>
      <w:i/>
      <w:iCs/>
    </w:rPr>
  </w:style>
  <w:style w:type="character" w:customStyle="1" w:styleId="Siln">
    <w:name w:val="Silný"/>
    <w:uiPriority w:val="22"/>
    <w:qFormat/>
    <w:rsid w:val="00DA3A70"/>
    <w:rPr>
      <w:b/>
      <w:bCs/>
    </w:rPr>
  </w:style>
  <w:style w:type="character" w:customStyle="1" w:styleId="cit-sep3">
    <w:name w:val="cit-sep3"/>
    <w:basedOn w:val="DefaultParagraphFont"/>
    <w:rsid w:val="00DA3A70"/>
  </w:style>
  <w:style w:type="character" w:customStyle="1" w:styleId="CitciaHTML">
    <w:name w:val="Citácia HTML"/>
    <w:uiPriority w:val="99"/>
    <w:semiHidden/>
    <w:unhideWhenUsed/>
    <w:rsid w:val="00DA3A70"/>
    <w:rPr>
      <w:i/>
      <w:iCs/>
    </w:rPr>
  </w:style>
  <w:style w:type="character" w:customStyle="1" w:styleId="cit-title3">
    <w:name w:val="cit-title3"/>
    <w:basedOn w:val="DefaultParagraphFont"/>
    <w:rsid w:val="00DA3A70"/>
  </w:style>
  <w:style w:type="character" w:customStyle="1" w:styleId="cit-print-date">
    <w:name w:val="cit-print-date"/>
    <w:basedOn w:val="DefaultParagraphFont"/>
    <w:rsid w:val="00DA3A70"/>
  </w:style>
  <w:style w:type="character" w:customStyle="1" w:styleId="cit-vol">
    <w:name w:val="cit-vol"/>
    <w:basedOn w:val="DefaultParagraphFont"/>
    <w:rsid w:val="00DA3A70"/>
  </w:style>
  <w:style w:type="character" w:customStyle="1" w:styleId="cit-first-page">
    <w:name w:val="cit-first-page"/>
    <w:basedOn w:val="DefaultParagraphFont"/>
    <w:rsid w:val="00DA3A70"/>
  </w:style>
  <w:style w:type="character" w:customStyle="1" w:styleId="cit-last-page">
    <w:name w:val="cit-last-page"/>
    <w:basedOn w:val="DefaultParagraphFont"/>
    <w:rsid w:val="00DA3A70"/>
  </w:style>
  <w:style w:type="character" w:customStyle="1" w:styleId="search-result-highlight1">
    <w:name w:val="search-result-highlight1"/>
    <w:rsid w:val="00DA3A70"/>
    <w:rPr>
      <w:b/>
      <w:bCs/>
      <w:color w:val="CC0000"/>
    </w:rPr>
  </w:style>
  <w:style w:type="character" w:customStyle="1" w:styleId="cit-auth2">
    <w:name w:val="cit-auth2"/>
    <w:basedOn w:val="DefaultParagraphFont"/>
    <w:rsid w:val="00DA3A70"/>
  </w:style>
  <w:style w:type="character" w:customStyle="1" w:styleId="cit-sep4">
    <w:name w:val="cit-sep4"/>
    <w:basedOn w:val="DefaultParagraphFont"/>
    <w:rsid w:val="00DA3A70"/>
  </w:style>
  <w:style w:type="character" w:customStyle="1" w:styleId="cit-title9">
    <w:name w:val="cit-title9"/>
    <w:basedOn w:val="DefaultParagraphFont"/>
    <w:rsid w:val="00DA3A70"/>
  </w:style>
  <w:style w:type="character" w:customStyle="1" w:styleId="cit-subtitle">
    <w:name w:val="cit-subtitle"/>
    <w:basedOn w:val="DefaultParagraphFont"/>
    <w:rsid w:val="00DA3A70"/>
  </w:style>
  <w:style w:type="character" w:customStyle="1" w:styleId="cit-vol2">
    <w:name w:val="cit-vol2"/>
    <w:basedOn w:val="DefaultParagraphFont"/>
    <w:rsid w:val="00DA3A70"/>
  </w:style>
  <w:style w:type="character" w:customStyle="1" w:styleId="cit-issue">
    <w:name w:val="cit-issue"/>
    <w:basedOn w:val="DefaultParagraphFont"/>
    <w:rsid w:val="00DA3A70"/>
  </w:style>
  <w:style w:type="character" w:customStyle="1" w:styleId="cit-last-page2">
    <w:name w:val="cit-last-page2"/>
    <w:basedOn w:val="DefaultParagraphFont"/>
    <w:rsid w:val="00DA3A70"/>
  </w:style>
  <w:style w:type="paragraph" w:customStyle="1" w:styleId="Pa4">
    <w:name w:val="Pa4"/>
    <w:basedOn w:val="Normal"/>
    <w:next w:val="Normal"/>
    <w:uiPriority w:val="99"/>
    <w:rsid w:val="00DA3A70"/>
    <w:pPr>
      <w:autoSpaceDE w:val="0"/>
      <w:autoSpaceDN w:val="0"/>
      <w:adjustRightInd w:val="0"/>
      <w:spacing w:after="0" w:line="201" w:lineRule="atLeast"/>
    </w:pPr>
    <w:rPr>
      <w:rFonts w:ascii="Minion Pro" w:eastAsia="MS Mincho" w:hAnsi="Minion Pro"/>
      <w:sz w:val="24"/>
      <w:szCs w:val="24"/>
    </w:rPr>
  </w:style>
  <w:style w:type="character" w:customStyle="1" w:styleId="ja50-ce-author1">
    <w:name w:val="ja50-ce-author1"/>
    <w:rsid w:val="00DA3A70"/>
    <w:rPr>
      <w:color w:val="808080"/>
      <w:sz w:val="23"/>
      <w:szCs w:val="23"/>
    </w:rPr>
  </w:style>
  <w:style w:type="character" w:customStyle="1" w:styleId="ja50-ce-title2">
    <w:name w:val="ja50-ce-title2"/>
    <w:rsid w:val="00DA3A70"/>
    <w:rPr>
      <w:b/>
      <w:bCs/>
      <w:color w:val="000000"/>
      <w:sz w:val="24"/>
      <w:szCs w:val="24"/>
    </w:rPr>
  </w:style>
  <w:style w:type="paragraph" w:customStyle="1" w:styleId="Elencoacolori-Colore11">
    <w:name w:val="Elenco a colori - Colore 11"/>
    <w:basedOn w:val="Normal"/>
    <w:uiPriority w:val="34"/>
    <w:qFormat/>
    <w:rsid w:val="00DA3A70"/>
    <w:pPr>
      <w:ind w:left="720"/>
      <w:contextualSpacing/>
    </w:pPr>
  </w:style>
  <w:style w:type="paragraph" w:customStyle="1" w:styleId="Elencoacolori-Colore12">
    <w:name w:val="Elenco a colori - Colore 12"/>
    <w:basedOn w:val="Normal"/>
    <w:qFormat/>
    <w:rsid w:val="00DA3A70"/>
    <w:pPr>
      <w:ind w:left="720"/>
      <w:contextualSpacing/>
    </w:pPr>
  </w:style>
  <w:style w:type="table" w:customStyle="1" w:styleId="Mriekatabuky">
    <w:name w:val="Mriežka tabuľky"/>
    <w:basedOn w:val="TableNormal"/>
    <w:uiPriority w:val="39"/>
    <w:rsid w:val="00DA3A7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3zvraznenie3">
    <w:name w:val="Stredná mriežka 3 – zvýraznenie 3"/>
    <w:basedOn w:val="TableNormal"/>
    <w:uiPriority w:val="60"/>
    <w:rsid w:val="00DA3A70"/>
    <w:rPr>
      <w:rFonts w:ascii="Tahoma" w:hAnsi="Tahoma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Hlavikaobsahu">
    <w:name w:val="Hlavička obsahu"/>
    <w:basedOn w:val="Nadpis1"/>
    <w:next w:val="Normal"/>
    <w:uiPriority w:val="39"/>
    <w:qFormat/>
    <w:rsid w:val="00DA3A70"/>
    <w:pPr>
      <w:keepLines/>
      <w:spacing w:before="240" w:after="600"/>
      <w:jc w:val="center"/>
      <w:outlineLvl w:val="9"/>
    </w:pPr>
    <w:rPr>
      <w:rFonts w:ascii="Tahoma" w:eastAsia="Times New Roman" w:hAnsi="Tahoma"/>
      <w:bCs/>
      <w:color w:val="008000"/>
      <w:sz w:val="28"/>
      <w:szCs w:val="28"/>
    </w:rPr>
  </w:style>
  <w:style w:type="paragraph" w:customStyle="1" w:styleId="Nzov">
    <w:name w:val="Názov"/>
    <w:aliases w:val="ECDC AF Title"/>
    <w:basedOn w:val="Normal"/>
    <w:next w:val="Normal"/>
    <w:link w:val="NzovChar"/>
    <w:autoRedefine/>
    <w:uiPriority w:val="10"/>
    <w:qFormat/>
    <w:rsid w:val="00DA3A70"/>
    <w:pPr>
      <w:spacing w:before="240" w:after="360" w:line="240" w:lineRule="auto"/>
      <w:jc w:val="center"/>
    </w:pPr>
    <w:rPr>
      <w:rFonts w:ascii="Tahoma" w:hAnsi="Tahoma"/>
      <w:b/>
      <w:spacing w:val="5"/>
      <w:kern w:val="28"/>
      <w:sz w:val="28"/>
      <w:szCs w:val="52"/>
      <w:lang w:val="x-none" w:eastAsia="x-none" w:bidi="ar-SA"/>
    </w:rPr>
  </w:style>
  <w:style w:type="character" w:customStyle="1" w:styleId="NzovChar">
    <w:name w:val="Názov Char"/>
    <w:aliases w:val="ECDC AF Title Char"/>
    <w:link w:val="Nzov"/>
    <w:uiPriority w:val="10"/>
    <w:rsid w:val="00DA3A70"/>
    <w:rPr>
      <w:rFonts w:ascii="Tahoma" w:eastAsia="Times New Roman" w:hAnsi="Tahoma" w:cs="Times New Roman"/>
      <w:b/>
      <w:spacing w:val="5"/>
      <w:kern w:val="28"/>
      <w:sz w:val="28"/>
      <w:szCs w:val="52"/>
    </w:rPr>
  </w:style>
  <w:style w:type="paragraph" w:customStyle="1" w:styleId="Paragrafoelenco1">
    <w:name w:val="Paragrafo elenco1"/>
    <w:aliases w:val="ECDC AF Paragraph"/>
    <w:basedOn w:val="Normal"/>
    <w:autoRedefine/>
    <w:uiPriority w:val="34"/>
    <w:qFormat/>
    <w:rsid w:val="00DA3A70"/>
    <w:pPr>
      <w:numPr>
        <w:numId w:val="7"/>
      </w:numPr>
      <w:tabs>
        <w:tab w:val="left" w:pos="567"/>
      </w:tabs>
      <w:spacing w:before="120" w:after="120" w:line="240" w:lineRule="auto"/>
      <w:ind w:left="0" w:firstLine="0"/>
      <w:jc w:val="both"/>
    </w:pPr>
    <w:rPr>
      <w:rFonts w:ascii="Tahoma" w:eastAsia="Calibri" w:hAnsi="Tahoma"/>
      <w:sz w:val="20"/>
      <w:szCs w:val="20"/>
    </w:rPr>
  </w:style>
  <w:style w:type="paragraph" w:customStyle="1" w:styleId="Obsah1">
    <w:name w:val="Obsah 1"/>
    <w:basedOn w:val="Normal"/>
    <w:next w:val="Normal"/>
    <w:autoRedefine/>
    <w:uiPriority w:val="39"/>
    <w:unhideWhenUsed/>
    <w:rsid w:val="00DA3A70"/>
    <w:pPr>
      <w:spacing w:before="120" w:after="100" w:line="240" w:lineRule="auto"/>
    </w:pPr>
    <w:rPr>
      <w:rFonts w:ascii="Tahoma" w:eastAsia="Calibri" w:hAnsi="Tahoma"/>
      <w:sz w:val="20"/>
      <w:szCs w:val="20"/>
    </w:rPr>
  </w:style>
  <w:style w:type="paragraph" w:customStyle="1" w:styleId="Obsah2">
    <w:name w:val="Obsah 2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200"/>
    </w:pPr>
    <w:rPr>
      <w:rFonts w:ascii="Tahoma" w:eastAsia="Calibri" w:hAnsi="Tahoma"/>
      <w:sz w:val="20"/>
      <w:szCs w:val="20"/>
    </w:rPr>
  </w:style>
  <w:style w:type="paragraph" w:customStyle="1" w:styleId="Obsah3">
    <w:name w:val="Obsah 3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400"/>
    </w:pPr>
    <w:rPr>
      <w:rFonts w:ascii="Tahoma" w:eastAsia="Calibri" w:hAnsi="Tahoma"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DA3A70"/>
    <w:rPr>
      <w:rFonts w:eastAsia="Times New Roman"/>
      <w:sz w:val="22"/>
      <w:szCs w:val="22"/>
      <w:lang w:val="sk-SK" w:eastAsia="sk-SK" w:bidi="sk-SK"/>
    </w:rPr>
  </w:style>
  <w:style w:type="paragraph" w:customStyle="1" w:styleId="ColorfulList-Accent11">
    <w:name w:val="Colorful List - Accent 11"/>
    <w:basedOn w:val="Normal"/>
    <w:uiPriority w:val="34"/>
    <w:qFormat/>
    <w:rsid w:val="00DA3A70"/>
    <w:pPr>
      <w:ind w:left="708"/>
    </w:pPr>
  </w:style>
  <w:style w:type="paragraph" w:customStyle="1" w:styleId="Normlnywebov">
    <w:name w:val="Normálny (webový)"/>
    <w:basedOn w:val="Normal"/>
    <w:uiPriority w:val="99"/>
    <w:semiHidden/>
    <w:unhideWhenUsed/>
    <w:rsid w:val="00DA3A70"/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A3A70"/>
    <w:pPr>
      <w:spacing w:after="0"/>
      <w:jc w:val="center"/>
    </w:pPr>
    <w:rPr>
      <w:noProof/>
      <w:sz w:val="20"/>
      <w:szCs w:val="20"/>
      <w:lang w:bidi="ar-SA"/>
    </w:rPr>
  </w:style>
  <w:style w:type="character" w:customStyle="1" w:styleId="EndNoteBibliographyTitleChar">
    <w:name w:val="EndNote Bibliography Title Char"/>
    <w:link w:val="EndNoteBibliographyTitle"/>
    <w:rsid w:val="00DA3A70"/>
    <w:rPr>
      <w:rFonts w:ascii="Calibri" w:eastAsia="Times New Roman" w:hAnsi="Calibri" w:cs="Times New Roman"/>
      <w:noProof/>
      <w:sz w:val="20"/>
      <w:lang w:val="sk-SK" w:eastAsia="sk-SK"/>
    </w:rPr>
  </w:style>
  <w:style w:type="paragraph" w:customStyle="1" w:styleId="EndNoteBibliography">
    <w:name w:val="EndNote Bibliography"/>
    <w:basedOn w:val="Normal"/>
    <w:link w:val="EndNoteBibliographyChar"/>
    <w:rsid w:val="00DA3A70"/>
    <w:pPr>
      <w:spacing w:line="240" w:lineRule="auto"/>
      <w:jc w:val="both"/>
    </w:pPr>
    <w:rPr>
      <w:noProof/>
      <w:sz w:val="20"/>
      <w:szCs w:val="20"/>
      <w:lang w:bidi="ar-SA"/>
    </w:rPr>
  </w:style>
  <w:style w:type="character" w:customStyle="1" w:styleId="EndNoteBibliographyChar">
    <w:name w:val="EndNote Bibliography Char"/>
    <w:link w:val="EndNoteBibliography"/>
    <w:rsid w:val="00DA3A70"/>
    <w:rPr>
      <w:rFonts w:ascii="Calibri" w:eastAsia="Times New Roman" w:hAnsi="Calibri" w:cs="Times New Roman"/>
      <w:noProof/>
      <w:sz w:val="20"/>
      <w:lang w:val="sk-SK" w:eastAsia="sk-SK"/>
    </w:rPr>
  </w:style>
  <w:style w:type="character" w:customStyle="1" w:styleId="PouitHypertextovPrepojenie">
    <w:name w:val="PoužitéHypertextovéPrepojenie"/>
    <w:uiPriority w:val="99"/>
    <w:semiHidden/>
    <w:unhideWhenUsed/>
    <w:rsid w:val="00DA3A70"/>
    <w:rPr>
      <w:color w:val="954F72"/>
      <w:u w:val="single"/>
    </w:rPr>
  </w:style>
  <w:style w:type="paragraph" w:customStyle="1" w:styleId="MediumGrid21">
    <w:name w:val="Medium Grid 21"/>
    <w:uiPriority w:val="1"/>
    <w:qFormat/>
    <w:rsid w:val="00DA3A7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Arial Unicode MS" w:hAnsi="Times New Roman"/>
      <w:sz w:val="24"/>
      <w:szCs w:val="24"/>
      <w:bdr w:val="nil"/>
      <w:lang w:val="sk-SK" w:eastAsia="sk-SK" w:bidi="sk-SK"/>
    </w:rPr>
  </w:style>
  <w:style w:type="character" w:customStyle="1" w:styleId="Hyperlink0">
    <w:name w:val="Hyperlink.0"/>
    <w:rsid w:val="00DA3A70"/>
  </w:style>
  <w:style w:type="character" w:customStyle="1" w:styleId="hide1">
    <w:name w:val="hide1"/>
    <w:rsid w:val="00DA3A70"/>
    <w:rPr>
      <w:vanish/>
      <w:webHidden w:val="0"/>
      <w:specVanish w:val="0"/>
    </w:rPr>
  </w:style>
  <w:style w:type="paragraph" w:customStyle="1" w:styleId="Default">
    <w:name w:val="Default"/>
    <w:rsid w:val="00DA3A70"/>
    <w:pPr>
      <w:pBdr>
        <w:top w:val="nil"/>
        <w:left w:val="nil"/>
        <w:bottom w:val="nil"/>
        <w:right w:val="nil"/>
        <w:between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sk-SK" w:eastAsia="sk-SK" w:bidi="sk-SK"/>
    </w:rPr>
  </w:style>
  <w:style w:type="paragraph" w:customStyle="1" w:styleId="Odsekzoznamu">
    <w:name w:val="Odsek zoznamu"/>
    <w:basedOn w:val="Normal"/>
    <w:uiPriority w:val="34"/>
    <w:qFormat/>
    <w:rsid w:val="00DA3A70"/>
    <w:pPr>
      <w:ind w:left="720"/>
    </w:pPr>
  </w:style>
  <w:style w:type="table" w:customStyle="1" w:styleId="GridTable4-Accent31">
    <w:name w:val="Grid Table 4 - Accent 31"/>
    <w:basedOn w:val="TableNormal"/>
    <w:next w:val="GridTable4-Accent32"/>
    <w:uiPriority w:val="49"/>
    <w:rsid w:val="00DA3A7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2">
    <w:name w:val="Grid Table 4 - Accent 32"/>
    <w:basedOn w:val="TableNormal"/>
    <w:uiPriority w:val="49"/>
    <w:rsid w:val="00DA3A70"/>
    <w:rPr>
      <w:rFonts w:eastAsia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m2344583173576020509msolistparagraph">
    <w:name w:val="m_2344583173576020509msolistparagraph"/>
    <w:basedOn w:val="Normal"/>
    <w:rsid w:val="00DA3A7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customStyle="1" w:styleId="Strednpodfarbenie2zvraznenie4">
    <w:name w:val="Stredné podfarbenie 2 – zvýraznenie 4"/>
    <w:basedOn w:val="TableNormal"/>
    <w:uiPriority w:val="60"/>
    <w:rsid w:val="00DA3A70"/>
    <w:rPr>
      <w:rFonts w:ascii="Tahoma" w:hAnsi="Tahoma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Zkladntext">
    <w:name w:val="Základný text"/>
    <w:basedOn w:val="Normal"/>
    <w:link w:val="ZkladntextChar"/>
    <w:uiPriority w:val="1"/>
    <w:qFormat/>
    <w:rsid w:val="00DA3A70"/>
    <w:pPr>
      <w:widowControl w:val="0"/>
      <w:spacing w:after="0" w:line="240" w:lineRule="auto"/>
    </w:pPr>
    <w:rPr>
      <w:rFonts w:eastAsia="Calibri" w:cs="Calibri"/>
    </w:rPr>
  </w:style>
  <w:style w:type="character" w:customStyle="1" w:styleId="ZkladntextChar">
    <w:name w:val="Základný text Char"/>
    <w:basedOn w:val="DefaultParagraphFont"/>
    <w:link w:val="Zkladntext"/>
    <w:uiPriority w:val="1"/>
    <w:rsid w:val="00DA3A70"/>
    <w:rPr>
      <w:rFonts w:ascii="Calibri" w:eastAsia="Calibri" w:hAnsi="Calibri" w:cs="Calibri"/>
      <w:lang w:val="sk-SK"/>
    </w:rPr>
  </w:style>
  <w:style w:type="character" w:customStyle="1" w:styleId="Nadpis4Char">
    <w:name w:val="Nadpis 4 Char"/>
    <w:basedOn w:val="DefaultParagraphFont"/>
    <w:link w:val="Nadpis4"/>
    <w:uiPriority w:val="9"/>
    <w:rsid w:val="00EA1DD2"/>
    <w:rPr>
      <w:rFonts w:ascii="Calibri Light" w:eastAsia="Times New Roman" w:hAnsi="Calibri Light" w:cs="Times New Roman"/>
      <w:i/>
      <w:iCs/>
      <w:color w:val="2E74B5"/>
      <w:lang w:val="sk-SK" w:eastAsia="sk-SK"/>
    </w:rPr>
  </w:style>
  <w:style w:type="character" w:customStyle="1" w:styleId="Nadpis5Char">
    <w:name w:val="Nadpis 5 Char"/>
    <w:basedOn w:val="DefaultParagraphFont"/>
    <w:link w:val="Nadpis5"/>
    <w:uiPriority w:val="9"/>
    <w:rsid w:val="00E93802"/>
    <w:rPr>
      <w:rFonts w:ascii="Calibri Light" w:eastAsia="Times New Roman" w:hAnsi="Calibri Light" w:cs="Times New Roman"/>
      <w:color w:val="2E74B5"/>
      <w:lang w:val="sk-SK" w:eastAsia="sk-SK"/>
    </w:rPr>
  </w:style>
  <w:style w:type="paragraph" w:customStyle="1" w:styleId="EC-Title-5">
    <w:name w:val="EC-Title-5"/>
    <w:next w:val="Normal"/>
    <w:link w:val="EC-Title-5CharChar"/>
    <w:qFormat/>
    <w:rsid w:val="00E93802"/>
    <w:pPr>
      <w:autoSpaceDE w:val="0"/>
      <w:autoSpaceDN w:val="0"/>
      <w:adjustRightInd w:val="0"/>
      <w:spacing w:before="240" w:after="120" w:line="241" w:lineRule="atLeast"/>
      <w:outlineLvl w:val="1"/>
    </w:pPr>
    <w:rPr>
      <w:rFonts w:ascii="Tahoma" w:eastAsia="Batang" w:hAnsi="Tahoma" w:cs="Tahoma"/>
      <w:b/>
      <w:bCs/>
      <w:color w:val="69AE23"/>
      <w:sz w:val="30"/>
      <w:szCs w:val="30"/>
      <w:lang w:val="sk-SK" w:eastAsia="sk-SK" w:bidi="sk-SK"/>
    </w:rPr>
  </w:style>
  <w:style w:type="character" w:customStyle="1" w:styleId="EC-Title-5CharChar">
    <w:name w:val="EC-Title-5 Char Char"/>
    <w:basedOn w:val="DefaultParagraphFont"/>
    <w:link w:val="EC-Title-5"/>
    <w:rsid w:val="00E93802"/>
    <w:rPr>
      <w:rFonts w:ascii="Tahoma" w:eastAsia="Batang" w:hAnsi="Tahoma" w:cs="Tahoma"/>
      <w:b/>
      <w:bCs/>
      <w:color w:val="69AE23"/>
      <w:sz w:val="30"/>
      <w:szCs w:val="30"/>
      <w:lang w:val="sk-SK" w:eastAsia="sk-SK" w:bidi="sk-SK"/>
    </w:rPr>
  </w:style>
  <w:style w:type="paragraph" w:customStyle="1" w:styleId="EC-Title-6">
    <w:name w:val="EC-Title-6"/>
    <w:next w:val="Normal"/>
    <w:link w:val="EC-Title-6CharChar"/>
    <w:qFormat/>
    <w:rsid w:val="00E93802"/>
    <w:pPr>
      <w:widowControl w:val="0"/>
      <w:spacing w:before="120" w:after="120"/>
      <w:outlineLvl w:val="2"/>
    </w:pPr>
    <w:rPr>
      <w:rFonts w:ascii="Tahoma" w:eastAsia="Batang" w:hAnsi="Tahoma"/>
      <w:b/>
      <w:bCs/>
      <w:color w:val="69AE23"/>
      <w:sz w:val="26"/>
      <w:szCs w:val="26"/>
    </w:rPr>
  </w:style>
  <w:style w:type="character" w:customStyle="1" w:styleId="EC-Title-6CharChar">
    <w:name w:val="EC-Title-6 Char Char"/>
    <w:link w:val="EC-Title-6"/>
    <w:rsid w:val="00E93802"/>
    <w:rPr>
      <w:rFonts w:ascii="Tahoma" w:eastAsia="Batang" w:hAnsi="Tahoma"/>
      <w:b/>
      <w:bCs/>
      <w:color w:val="69AE23"/>
      <w:sz w:val="26"/>
      <w:szCs w:val="26"/>
      <w:lang w:bidi="ar-SA"/>
    </w:rPr>
  </w:style>
  <w:style w:type="paragraph" w:customStyle="1" w:styleId="EC-Title-7">
    <w:name w:val="EC-Title-7"/>
    <w:next w:val="Normal"/>
    <w:link w:val="EC-Title-7Char"/>
    <w:qFormat/>
    <w:rsid w:val="00083CEE"/>
    <w:pPr>
      <w:spacing w:before="120"/>
      <w:outlineLvl w:val="3"/>
    </w:pPr>
    <w:rPr>
      <w:rFonts w:ascii="Tahoma" w:eastAsia="Times New Roman" w:hAnsi="Tahoma" w:cs="Tahoma"/>
      <w:b/>
      <w:bCs/>
      <w:i/>
      <w:color w:val="69AE23"/>
      <w:sz w:val="22"/>
      <w:szCs w:val="22"/>
      <w:lang w:val="sk-SK" w:eastAsia="sk-SK" w:bidi="sk-SK"/>
    </w:rPr>
  </w:style>
  <w:style w:type="character" w:customStyle="1" w:styleId="EC-Title-7Char">
    <w:name w:val="EC-Title-7 Char"/>
    <w:basedOn w:val="DefaultParagraphFont"/>
    <w:link w:val="EC-Title-7"/>
    <w:rsid w:val="00083CEE"/>
    <w:rPr>
      <w:rFonts w:ascii="Tahoma" w:eastAsia="Times New Roman" w:hAnsi="Tahoma" w:cs="Tahoma"/>
      <w:b/>
      <w:bCs/>
      <w:i/>
      <w:color w:val="69AE23"/>
      <w:sz w:val="22"/>
      <w:szCs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96F9-C3FA-443F-B2AF-72421C07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5901</Words>
  <Characters>33638</Characters>
  <Application>Microsoft Office Word</Application>
  <DocSecurity>0</DocSecurity>
  <Lines>280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CDT</Company>
  <LinksUpToDate>false</LinksUpToDate>
  <CharactersWithSpaces>39461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CDT</cp:lastModifiedBy>
  <cp:revision>3</cp:revision>
  <cp:lastPrinted>2018-05-24T11:29:00Z</cp:lastPrinted>
  <dcterms:created xsi:type="dcterms:W3CDTF">2018-07-23T07:34:00Z</dcterms:created>
  <dcterms:modified xsi:type="dcterms:W3CDTF">2018-07-23T08:47:00Z</dcterms:modified>
</cp:coreProperties>
</file>