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 -->
  <w:body>
    <w:p w:rsidR="00DA3A70" w:rsidRPr="00907EAA" w:rsidP="000D0DB0">
      <w:pPr>
        <w:pStyle w:val="EC-Title-5"/>
        <w:rPr>
          <w:b w:val="0"/>
          <w:spacing w:val="-10"/>
          <w:sz w:val="24"/>
        </w:rPr>
      </w:pPr>
      <w:bookmarkStart w:id="0" w:name="_GoBack"/>
      <w:bookmarkEnd w:id="0"/>
      <w:r w:rsidRPr="00907EAA">
        <w:t>Eiropas Savienības tuberkulozes aprūpes standarti – 2017. gada atjauninātā versija</w:t>
      </w:r>
    </w:p>
    <w:p w:rsidR="008745B1" w:rsidRPr="00907EAA" w:rsidP="000D0DB0">
      <w:pPr>
        <w:autoSpaceDE w:val="0"/>
        <w:autoSpaceDN w:val="0"/>
        <w:adjustRightInd w:val="0"/>
        <w:spacing w:before="120" w:after="0"/>
        <w:jc w:val="both"/>
        <w:rPr>
          <w:rFonts w:ascii="Tahoma" w:hAnsi="Tahoma" w:cs="Tahoma"/>
          <w:sz w:val="18"/>
          <w:szCs w:val="18"/>
        </w:rPr>
      </w:pPr>
      <w:r w:rsidRPr="00907EAA">
        <w:rPr>
          <w:rFonts w:ascii="Tahoma" w:hAnsi="Tahoma"/>
          <w:sz w:val="18"/>
        </w:rPr>
        <w:t xml:space="preserve">Eiropas Slimību </w:t>
      </w:r>
      <w:r w:rsidRPr="00907EAA">
        <w:rPr>
          <w:rFonts w:ascii="Tahoma" w:hAnsi="Tahoma"/>
          <w:sz w:val="18"/>
        </w:rPr>
        <w:t>profilakses</w:t>
      </w:r>
      <w:r w:rsidR="00B51C58">
        <w:rPr>
          <w:rFonts w:ascii="Tahoma" w:hAnsi="Tahoma"/>
          <w:sz w:val="18"/>
        </w:rPr>
        <w:t xml:space="preserve"> un kontroles</w:t>
      </w:r>
      <w:r w:rsidRPr="00907EAA">
        <w:rPr>
          <w:rFonts w:ascii="Tahoma" w:hAnsi="Tahoma"/>
          <w:sz w:val="18"/>
        </w:rPr>
        <w:t xml:space="preserve"> centrs (</w:t>
      </w:r>
      <w:r w:rsidRPr="00907EAA">
        <w:rPr>
          <w:rFonts w:ascii="Tahoma" w:hAnsi="Tahoma"/>
          <w:i/>
          <w:sz w:val="18"/>
        </w:rPr>
        <w:t>ECDC</w:t>
      </w:r>
      <w:r w:rsidRPr="00907EAA">
        <w:rPr>
          <w:rFonts w:ascii="Tahoma" w:hAnsi="Tahoma"/>
          <w:sz w:val="18"/>
        </w:rPr>
        <w:t xml:space="preserve">) un Eiropas Respiratorā </w:t>
      </w:r>
      <w:r w:rsidRPr="007114DD">
        <w:rPr>
          <w:rFonts w:ascii="Tahoma" w:hAnsi="Tahoma"/>
          <w:sz w:val="18"/>
        </w:rPr>
        <w:t xml:space="preserve">sabiedrība </w:t>
      </w:r>
      <w:r w:rsidRPr="00907EAA">
        <w:rPr>
          <w:rFonts w:ascii="Tahoma" w:hAnsi="Tahoma"/>
          <w:sz w:val="18"/>
        </w:rPr>
        <w:t>(ERS) izstrādāja 21 uz pacientiem orientētu standartu, kas nosaka klīnicistu un sabiedrības veselības</w:t>
      </w:r>
      <w:r w:rsidR="002A4CBA">
        <w:rPr>
          <w:rFonts w:ascii="Tahoma" w:hAnsi="Tahoma"/>
          <w:sz w:val="18"/>
        </w:rPr>
        <w:t xml:space="preserve"> </w:t>
      </w:r>
      <w:r w:rsidR="00B51C58">
        <w:rPr>
          <w:rFonts w:ascii="Tahoma" w:hAnsi="Tahoma"/>
          <w:sz w:val="18"/>
        </w:rPr>
        <w:t>speciālistu</w:t>
      </w:r>
      <w:r w:rsidRPr="00907EAA">
        <w:rPr>
          <w:rFonts w:ascii="Tahoma" w:hAnsi="Tahoma"/>
          <w:sz w:val="18"/>
        </w:rPr>
        <w:t xml:space="preserve"> darbu</w:t>
      </w:r>
      <w:r w:rsidRPr="00907EAA">
        <w:rPr>
          <w:rFonts w:ascii="Tahoma" w:hAnsi="Tahoma"/>
          <w:sz w:val="18"/>
        </w:rPr>
        <w:t xml:space="preserve"> optimāl</w:t>
      </w:r>
      <w:r w:rsidR="00B51C58">
        <w:rPr>
          <w:rFonts w:ascii="Tahoma" w:hAnsi="Tahoma"/>
          <w:sz w:val="18"/>
        </w:rPr>
        <w:t>ai</w:t>
      </w:r>
      <w:r w:rsidRPr="00907EAA">
        <w:rPr>
          <w:rFonts w:ascii="Tahoma" w:hAnsi="Tahoma"/>
          <w:sz w:val="18"/>
        </w:rPr>
        <w:t xml:space="preserve"> tuberkulozes (TB) diagnosti</w:t>
      </w:r>
      <w:r w:rsidR="00B51C58">
        <w:rPr>
          <w:rFonts w:ascii="Tahoma" w:hAnsi="Tahoma"/>
          <w:sz w:val="18"/>
        </w:rPr>
        <w:t>kai</w:t>
      </w:r>
      <w:r w:rsidRPr="00907EAA">
        <w:rPr>
          <w:rFonts w:ascii="Tahoma" w:hAnsi="Tahoma"/>
          <w:sz w:val="18"/>
        </w:rPr>
        <w:t>, ārstēšan</w:t>
      </w:r>
      <w:r w:rsidR="00B51C58">
        <w:rPr>
          <w:rFonts w:ascii="Tahoma" w:hAnsi="Tahoma"/>
          <w:sz w:val="18"/>
        </w:rPr>
        <w:t>ai</w:t>
      </w:r>
      <w:r w:rsidRPr="00907EAA">
        <w:rPr>
          <w:rFonts w:ascii="Tahoma" w:hAnsi="Tahoma"/>
          <w:sz w:val="18"/>
        </w:rPr>
        <w:t xml:space="preserve"> un profilaks</w:t>
      </w:r>
      <w:r w:rsidR="00B51C58">
        <w:rPr>
          <w:rFonts w:ascii="Tahoma" w:hAnsi="Tahoma"/>
          <w:sz w:val="18"/>
        </w:rPr>
        <w:t>e</w:t>
      </w:r>
      <w:r w:rsidRPr="00907EAA">
        <w:rPr>
          <w:rFonts w:ascii="Tahoma" w:hAnsi="Tahoma"/>
          <w:sz w:val="18"/>
        </w:rPr>
        <w:t>i Eiropā. Eiropas Savienības</w:t>
      </w:r>
      <w:r w:rsidRPr="00907EAA">
        <w:rPr>
          <w:rFonts w:ascii="Tahoma" w:hAnsi="Tahoma"/>
          <w:sz w:val="18"/>
        </w:rPr>
        <w:t xml:space="preserve"> tuberkulozes aprūpes standartus (</w:t>
      </w:r>
      <w:r w:rsidRPr="00907EAA">
        <w:rPr>
          <w:rFonts w:ascii="Tahoma" w:hAnsi="Tahoma"/>
          <w:i/>
          <w:sz w:val="18"/>
        </w:rPr>
        <w:t>ESTC</w:t>
      </w:r>
      <w:r w:rsidRPr="00907EAA">
        <w:rPr>
          <w:rFonts w:ascii="Tahoma" w:hAnsi="Tahoma"/>
          <w:sz w:val="18"/>
        </w:rPr>
        <w:t>) 2017. gadā atjaunināja, lai tajos iekļautu informāciju par jaunākajiem tehnoloģiskajiem sasniegumiem</w:t>
      </w:r>
      <w:r w:rsidR="00B51C58">
        <w:rPr>
          <w:rFonts w:ascii="Tahoma" w:hAnsi="Tahoma"/>
          <w:sz w:val="18"/>
        </w:rPr>
        <w:t>, kā arī</w:t>
      </w:r>
      <w:r w:rsidR="002A4CBA">
        <w:rPr>
          <w:rFonts w:ascii="Tahoma" w:hAnsi="Tahoma"/>
          <w:sz w:val="18"/>
        </w:rPr>
        <w:t xml:space="preserve"> </w:t>
      </w:r>
      <w:r w:rsidRPr="00907EAA">
        <w:rPr>
          <w:rFonts w:ascii="Tahoma" w:hAnsi="Tahoma"/>
          <w:sz w:val="18"/>
        </w:rPr>
        <w:t>starptautiskos ieteikumus par TB diagnosti</w:t>
      </w:r>
      <w:r w:rsidR="00B51C58">
        <w:rPr>
          <w:rFonts w:ascii="Tahoma" w:hAnsi="Tahoma"/>
          <w:sz w:val="18"/>
        </w:rPr>
        <w:t>k</w:t>
      </w:r>
      <w:r w:rsidRPr="00907EAA">
        <w:rPr>
          <w:rFonts w:ascii="Tahoma" w:hAnsi="Tahoma"/>
          <w:sz w:val="18"/>
        </w:rPr>
        <w:t>u, ārstēšanu un profilaksi.</w:t>
      </w:r>
    </w:p>
    <w:p w:rsidR="00E93802" w:rsidRPr="00907EAA" w:rsidP="0028467E">
      <w:pPr>
        <w:pStyle w:val="EC-Title-6"/>
      </w:pPr>
      <w:bookmarkStart w:id="1" w:name="_Toc512588780"/>
      <w:r w:rsidRPr="00907EAA">
        <w:t xml:space="preserve">Nepieciešami augstāki </w:t>
      </w:r>
      <w:r w:rsidRPr="00907EAA">
        <w:t>standarti, lai panāktu progresu TB izskaušanā Eiropas Savienībā</w:t>
      </w:r>
      <w:bookmarkEnd w:id="1"/>
    </w:p>
    <w:p w:rsidR="00083CEE" w:rsidRPr="00907EAA" w:rsidP="00083CEE">
      <w:pPr>
        <w:pStyle w:val="EC-Title-7"/>
      </w:pPr>
      <w:r w:rsidRPr="00907EAA">
        <w:t>Kāpēc ES pielāgoja standartus?</w:t>
      </w:r>
    </w:p>
    <w:p w:rsidR="008745B1" w:rsidRPr="00907EAA" w:rsidP="000D0DB0">
      <w:pPr>
        <w:autoSpaceDE w:val="0"/>
        <w:autoSpaceDN w:val="0"/>
        <w:adjustRightInd w:val="0"/>
        <w:spacing w:after="120"/>
        <w:jc w:val="both"/>
        <w:rPr>
          <w:rFonts w:ascii="Tahoma" w:hAnsi="Tahoma" w:cs="Tahoma"/>
          <w:sz w:val="18"/>
          <w:szCs w:val="18"/>
        </w:rPr>
      </w:pPr>
      <w:r w:rsidRPr="00907EAA">
        <w:rPr>
          <w:rFonts w:ascii="Tahoma" w:hAnsi="Tahoma"/>
          <w:sz w:val="18"/>
        </w:rPr>
        <w:t>Starptautiskos tuberkulozes aprūpes standartus (</w:t>
      </w:r>
      <w:r w:rsidRPr="00907EAA">
        <w:rPr>
          <w:rFonts w:ascii="Tahoma" w:hAnsi="Tahoma"/>
          <w:i/>
          <w:sz w:val="18"/>
        </w:rPr>
        <w:t>ISTC</w:t>
      </w:r>
      <w:r w:rsidRPr="00907EAA">
        <w:rPr>
          <w:rFonts w:ascii="Tahoma" w:hAnsi="Tahoma"/>
          <w:sz w:val="18"/>
        </w:rPr>
        <w:t xml:space="preserve">) pirmoreiz publicēja 2006. gadā, un tos atjaunināja 2009. gadā un 2014. gadā. </w:t>
      </w:r>
      <w:r w:rsidRPr="00907EAA">
        <w:rPr>
          <w:rFonts w:ascii="Tahoma" w:hAnsi="Tahoma"/>
          <w:i/>
          <w:sz w:val="18"/>
        </w:rPr>
        <w:t>ISTC</w:t>
      </w:r>
      <w:r w:rsidRPr="00907EAA">
        <w:rPr>
          <w:rFonts w:ascii="Tahoma" w:hAnsi="Tahoma"/>
          <w:sz w:val="18"/>
        </w:rPr>
        <w:t xml:space="preserve"> tiek aprakstīts </w:t>
      </w:r>
      <w:r w:rsidR="00B51C58">
        <w:rPr>
          <w:rFonts w:ascii="Tahoma" w:hAnsi="Tahoma"/>
          <w:sz w:val="18"/>
        </w:rPr>
        <w:t>vispārīgi</w:t>
      </w:r>
      <w:r w:rsidRPr="00907EAA" w:rsidR="00B51C58">
        <w:rPr>
          <w:rFonts w:ascii="Tahoma" w:hAnsi="Tahoma"/>
          <w:sz w:val="18"/>
        </w:rPr>
        <w:t xml:space="preserve"> </w:t>
      </w:r>
      <w:r w:rsidRPr="00907EAA">
        <w:rPr>
          <w:rFonts w:ascii="Tahoma" w:hAnsi="Tahoma"/>
          <w:sz w:val="18"/>
        </w:rPr>
        <w:t xml:space="preserve">pieņemts TB aprūpes līmenis, taču šie standarti ir vērsti uz </w:t>
      </w:r>
      <w:r w:rsidRPr="00907EAA">
        <w:rPr>
          <w:rFonts w:ascii="Tahoma" w:hAnsi="Tahoma"/>
          <w:sz w:val="18"/>
        </w:rPr>
        <w:t>augstu tuberkulozes slogu un mazturīgām populācijām.</w:t>
      </w:r>
    </w:p>
    <w:p w:rsidR="008745B1" w:rsidRPr="00907EAA" w:rsidP="000D0DB0">
      <w:pPr>
        <w:autoSpaceDE w:val="0"/>
        <w:autoSpaceDN w:val="0"/>
        <w:adjustRightInd w:val="0"/>
        <w:spacing w:after="120"/>
        <w:jc w:val="both"/>
        <w:rPr>
          <w:rFonts w:ascii="Tahoma" w:hAnsi="Tahoma" w:cs="Tahoma"/>
          <w:sz w:val="18"/>
          <w:szCs w:val="18"/>
        </w:rPr>
      </w:pPr>
      <w:r w:rsidRPr="00907EAA">
        <w:rPr>
          <w:rFonts w:ascii="Tahoma" w:hAnsi="Tahoma"/>
          <w:sz w:val="18"/>
        </w:rPr>
        <w:t>ES/EEZ epidemioloģiskais konteksts un finanšu resursu pieejamība atšķiras:</w:t>
      </w:r>
    </w:p>
    <w:p w:rsidR="00F03325" w:rsidRPr="00907EAA"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907EAA">
        <w:rPr>
          <w:rFonts w:ascii="Tahoma" w:hAnsi="Tahoma"/>
          <w:sz w:val="18"/>
        </w:rPr>
        <w:t>slogs ir zems/vidējs, bet nevienmērīgs;</w:t>
      </w:r>
    </w:p>
    <w:p w:rsidR="008745B1" w:rsidRPr="00907EAA"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907EAA">
        <w:rPr>
          <w:rFonts w:ascii="Tahoma" w:hAnsi="Tahoma"/>
          <w:sz w:val="18"/>
        </w:rPr>
        <w:t>pastāv il</w:t>
      </w:r>
      <w:r w:rsidRPr="00907EAA">
        <w:rPr>
          <w:rFonts w:ascii="Tahoma" w:hAnsi="Tahoma"/>
          <w:sz w:val="18"/>
        </w:rPr>
        <w:t>gstošas TB profilakses un kontroles tradīcijas;</w:t>
      </w:r>
    </w:p>
    <w:p w:rsidR="008745B1" w:rsidRPr="00907EAA"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907EAA">
        <w:rPr>
          <w:rFonts w:ascii="Tahoma" w:hAnsi="Tahoma"/>
          <w:sz w:val="18"/>
        </w:rPr>
        <w:t>ir pieejami resursi;</w:t>
      </w:r>
    </w:p>
    <w:p w:rsidR="008745B1" w:rsidRPr="00907EAA"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907EAA">
        <w:rPr>
          <w:rFonts w:ascii="Tahoma" w:hAnsi="Tahoma"/>
          <w:sz w:val="18"/>
        </w:rPr>
        <w:t>nepieciešams nodrošināt optimālu šo resursu izlietojumu;</w:t>
      </w:r>
    </w:p>
    <w:p w:rsidR="008745B1" w:rsidRPr="00907EAA"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907EAA">
        <w:rPr>
          <w:rFonts w:ascii="Tahoma" w:hAnsi="Tahoma"/>
          <w:sz w:val="18"/>
        </w:rPr>
        <w:t>TB dienesti ir iekļauti veselības aprūpes sistēmā;</w:t>
      </w:r>
    </w:p>
    <w:p w:rsidR="008745B1" w:rsidRPr="00907EAA"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907EAA">
        <w:rPr>
          <w:rFonts w:ascii="Tahoma" w:hAnsi="Tahoma"/>
          <w:sz w:val="18"/>
        </w:rPr>
        <w:t>ikvienam pacientam ir tiesības piekļūt vislabākajai iespējamajai aprūpei.</w:t>
      </w:r>
    </w:p>
    <w:p w:rsidR="008745B1" w:rsidRPr="00907EAA" w:rsidP="0028467E">
      <w:pPr>
        <w:pStyle w:val="EC-Title-6"/>
        <w:rPr>
          <w:sz w:val="30"/>
          <w:szCs w:val="30"/>
        </w:rPr>
      </w:pPr>
      <w:r w:rsidRPr="00907EAA">
        <w:rPr>
          <w:i/>
          <w:sz w:val="30"/>
        </w:rPr>
        <w:t>ESTC</w:t>
      </w:r>
      <w:r w:rsidRPr="00907EAA">
        <w:rPr>
          <w:sz w:val="30"/>
        </w:rPr>
        <w:t xml:space="preserve"> </w:t>
      </w:r>
      <w:r w:rsidRPr="00907EAA">
        <w:rPr>
          <w:sz w:val="30"/>
        </w:rPr>
        <w:t>ir uz pacientiem orientēti standarti, kas paredzēti klīnicistiem un sabiedrības veselības</w:t>
      </w:r>
      <w:r w:rsidR="002A4CBA">
        <w:rPr>
          <w:sz w:val="30"/>
        </w:rPr>
        <w:t xml:space="preserve"> </w:t>
      </w:r>
      <w:r w:rsidR="00B51C58">
        <w:rPr>
          <w:sz w:val="30"/>
        </w:rPr>
        <w:t>speciālistiem</w:t>
      </w:r>
    </w:p>
    <w:p w:rsidR="008745B1" w:rsidRPr="00907EAA" w:rsidP="0028467E">
      <w:pPr>
        <w:pStyle w:val="EC-Title-7"/>
        <w:rPr>
          <w:rFonts w:eastAsia="Batang"/>
        </w:rPr>
      </w:pPr>
      <w:r w:rsidRPr="00907EAA">
        <w:t>Kā ESTC tika izstrādāti un atjaunināti?</w:t>
      </w:r>
    </w:p>
    <w:p w:rsidR="008745B1" w:rsidRPr="00907EAA" w:rsidP="008745B1">
      <w:pPr>
        <w:autoSpaceDE w:val="0"/>
        <w:autoSpaceDN w:val="0"/>
        <w:adjustRightInd w:val="0"/>
        <w:spacing w:after="0"/>
        <w:jc w:val="both"/>
        <w:rPr>
          <w:rFonts w:ascii="Tahoma" w:hAnsi="Tahoma" w:cs="Tahoma"/>
          <w:sz w:val="18"/>
          <w:szCs w:val="18"/>
        </w:rPr>
      </w:pPr>
      <w:r w:rsidRPr="00907EAA">
        <w:rPr>
          <w:rFonts w:ascii="Tahoma" w:hAnsi="Tahoma"/>
          <w:sz w:val="18"/>
        </w:rPr>
        <w:t xml:space="preserve">Šajā kopīgajā darbā ERS uzņēmās vadošo lomu klīnisko standartu izstrādē un atjaunināšanā, un </w:t>
      </w:r>
      <w:r w:rsidRPr="00907EAA">
        <w:rPr>
          <w:rFonts w:ascii="Tahoma" w:hAnsi="Tahoma"/>
          <w:i/>
          <w:sz w:val="18"/>
        </w:rPr>
        <w:t>ECDC</w:t>
      </w:r>
      <w:r w:rsidRPr="00907EAA">
        <w:rPr>
          <w:rFonts w:ascii="Tahoma" w:hAnsi="Tahoma"/>
          <w:sz w:val="18"/>
        </w:rPr>
        <w:t xml:space="preserve"> izstrādāja un atjaunināja sabiedrības veselības standartus. Izstrādes un atjaunināšanas procesu </w:t>
      </w:r>
      <w:r w:rsidR="00B51C58">
        <w:rPr>
          <w:rFonts w:ascii="Tahoma" w:hAnsi="Tahoma"/>
          <w:sz w:val="18"/>
        </w:rPr>
        <w:t>veica</w:t>
      </w:r>
      <w:r w:rsidRPr="00907EAA" w:rsidR="00B51C58">
        <w:rPr>
          <w:rFonts w:ascii="Tahoma" w:hAnsi="Tahoma"/>
          <w:sz w:val="18"/>
        </w:rPr>
        <w:t xml:space="preserve"> </w:t>
      </w:r>
      <w:r w:rsidRPr="00907EAA">
        <w:rPr>
          <w:rFonts w:ascii="Tahoma" w:hAnsi="Tahoma"/>
          <w:sz w:val="18"/>
        </w:rPr>
        <w:t>darba grupa ar dažādu jomu starptautiskajiem ekspertiem, organizāciju</w:t>
      </w:r>
      <w:r w:rsidR="00B51C58">
        <w:rPr>
          <w:rFonts w:ascii="Tahoma" w:hAnsi="Tahoma"/>
          <w:sz w:val="18"/>
        </w:rPr>
        <w:t>, kā arī</w:t>
      </w:r>
      <w:r w:rsidRPr="00907EAA">
        <w:rPr>
          <w:rFonts w:ascii="Tahoma" w:hAnsi="Tahoma"/>
          <w:sz w:val="18"/>
        </w:rPr>
        <w:t xml:space="preserve"> </w:t>
      </w:r>
      <w:r w:rsidRPr="00907EAA">
        <w:rPr>
          <w:rFonts w:ascii="Tahoma" w:hAnsi="Tahoma"/>
          <w:sz w:val="18"/>
        </w:rPr>
        <w:t>TB pacientu pārstāvjiem. Pierādījumi tika vērtēt</w:t>
      </w:r>
      <w:r w:rsidRPr="00907EAA">
        <w:rPr>
          <w:rFonts w:ascii="Tahoma" w:hAnsi="Tahoma"/>
          <w:sz w:val="18"/>
        </w:rPr>
        <w:t xml:space="preserve">i, pamatojoties uz publicētajām starptautiskajām vadlīnijām. Rakstīšanas komiteja sagatavoja dokumenta projektu, kuru darba grupa pēc tam izskatīja un apstiprināja. </w:t>
      </w:r>
      <w:r w:rsidRPr="00907EAA">
        <w:rPr>
          <w:rFonts w:ascii="Tahoma" w:hAnsi="Tahoma"/>
          <w:i/>
          <w:sz w:val="18"/>
        </w:rPr>
        <w:t>ESTC</w:t>
      </w:r>
      <w:r w:rsidRPr="00907EAA">
        <w:rPr>
          <w:rFonts w:ascii="Tahoma" w:hAnsi="Tahoma"/>
          <w:sz w:val="18"/>
        </w:rPr>
        <w:t xml:space="preserve"> tika izstrādāti un atjaunināti, lai papildinātu </w:t>
      </w:r>
      <w:r w:rsidRPr="00907EAA">
        <w:rPr>
          <w:rFonts w:ascii="Tahoma" w:hAnsi="Tahoma"/>
          <w:i/>
          <w:sz w:val="18"/>
        </w:rPr>
        <w:t>ISTC</w:t>
      </w:r>
      <w:r w:rsidRPr="00907EAA">
        <w:rPr>
          <w:rFonts w:ascii="Tahoma" w:hAnsi="Tahoma"/>
          <w:sz w:val="18"/>
        </w:rPr>
        <w:t xml:space="preserve"> un citas esošās vadlīnijas.</w:t>
      </w:r>
    </w:p>
    <w:p w:rsidR="008745B1" w:rsidRPr="00907EAA" w:rsidP="000D0DB0">
      <w:pPr>
        <w:pStyle w:val="EC-Title-5"/>
        <w:spacing w:before="120"/>
        <w:rPr>
          <w:b w:val="0"/>
        </w:rPr>
      </w:pPr>
      <w:r w:rsidRPr="00907EAA">
        <w:t>Vien</w:t>
      </w:r>
      <w:r w:rsidRPr="00907EAA">
        <w:t>kārši lietojams materiāls optimālai TB </w:t>
      </w:r>
      <w:r w:rsidRPr="00907EAA" w:rsidR="00B51C58">
        <w:t>diagnosti</w:t>
      </w:r>
      <w:r w:rsidR="00B51C58">
        <w:t>k</w:t>
      </w:r>
      <w:r w:rsidRPr="00907EAA" w:rsidR="00B51C58">
        <w:t>ai</w:t>
      </w:r>
      <w:r w:rsidRPr="00907EAA">
        <w:t>, ārstēšanai un profilaksei</w:t>
      </w:r>
    </w:p>
    <w:p w:rsidR="008745B1" w:rsidRPr="00907EAA" w:rsidP="000D0DB0">
      <w:pPr>
        <w:pStyle w:val="EC-Title-6"/>
        <w:spacing w:after="0"/>
        <w:rPr>
          <w:b w:val="0"/>
        </w:rPr>
      </w:pPr>
      <w:r w:rsidRPr="00907EAA">
        <w:rPr>
          <w:i/>
        </w:rPr>
        <w:t>ESTC</w:t>
      </w:r>
      <w:r w:rsidRPr="00907EAA">
        <w:t xml:space="preserve"> pamatojums</w:t>
      </w:r>
    </w:p>
    <w:p w:rsidR="008745B1" w:rsidRPr="00907EAA" w:rsidP="008745B1">
      <w:pPr>
        <w:autoSpaceDE w:val="0"/>
        <w:autoSpaceDN w:val="0"/>
        <w:adjustRightInd w:val="0"/>
        <w:spacing w:after="0"/>
        <w:jc w:val="both"/>
        <w:rPr>
          <w:rFonts w:ascii="Tahoma" w:hAnsi="Tahoma" w:cs="Tahoma"/>
          <w:sz w:val="18"/>
          <w:szCs w:val="18"/>
        </w:rPr>
      </w:pPr>
      <w:r w:rsidRPr="00907EAA">
        <w:rPr>
          <w:rFonts w:ascii="Tahoma" w:hAnsi="Tahoma"/>
          <w:sz w:val="18"/>
        </w:rPr>
        <w:t>Ar Eiropas Savienības Tuberkulozes aprūpes standartiem (</w:t>
      </w:r>
      <w:r w:rsidRPr="00907EAA">
        <w:rPr>
          <w:rFonts w:ascii="Tahoma" w:hAnsi="Tahoma"/>
          <w:i/>
          <w:sz w:val="18"/>
        </w:rPr>
        <w:t>ESTC</w:t>
      </w:r>
      <w:r w:rsidRPr="00907EAA">
        <w:rPr>
          <w:rFonts w:ascii="Tahoma" w:hAnsi="Tahoma"/>
          <w:sz w:val="18"/>
        </w:rPr>
        <w:t xml:space="preserve">) tiek mēģināts novērst pašreizējos trūkumus TB gadījumu </w:t>
      </w:r>
      <w:r w:rsidR="006F6BFC">
        <w:rPr>
          <w:rFonts w:ascii="Tahoma" w:hAnsi="Tahoma"/>
          <w:sz w:val="18"/>
        </w:rPr>
        <w:t>vadīšanā</w:t>
      </w:r>
      <w:r w:rsidRPr="00907EAA">
        <w:rPr>
          <w:rFonts w:ascii="Tahoma" w:hAnsi="Tahoma"/>
          <w:sz w:val="18"/>
        </w:rPr>
        <w:t xml:space="preserve"> Eiropas Savienībā/Eiropas Ekonomikas zonā (ES/EEZ). </w:t>
      </w:r>
    </w:p>
    <w:p w:rsidR="008745B1" w:rsidRPr="00907EAA" w:rsidP="008745B1">
      <w:pPr>
        <w:autoSpaceDE w:val="0"/>
        <w:autoSpaceDN w:val="0"/>
        <w:adjustRightInd w:val="0"/>
        <w:spacing w:after="0"/>
        <w:jc w:val="both"/>
        <w:rPr>
          <w:rFonts w:ascii="Tahoma" w:hAnsi="Tahoma" w:cs="Tahoma"/>
          <w:sz w:val="18"/>
          <w:szCs w:val="18"/>
        </w:rPr>
      </w:pPr>
      <w:r w:rsidRPr="00907EAA">
        <w:rPr>
          <w:rFonts w:ascii="Tahoma" w:hAnsi="Tahoma"/>
          <w:i/>
          <w:sz w:val="18"/>
        </w:rPr>
        <w:t>ESTC</w:t>
      </w:r>
      <w:r w:rsidRPr="00907EAA">
        <w:rPr>
          <w:rFonts w:ascii="Tahoma" w:hAnsi="Tahoma"/>
          <w:sz w:val="18"/>
        </w:rPr>
        <w:t xml:space="preserve"> mērķis ir sabiedrības veselības ekspertiem, klīnicistiem un veselības aprūpes programmām sniegt strukturētu kopumu ar pierādījumos balstītiem standartiem, kuros aprakstītas minimālās prasības optim</w:t>
      </w:r>
      <w:r w:rsidRPr="00907EAA">
        <w:rPr>
          <w:rFonts w:ascii="Tahoma" w:hAnsi="Tahoma"/>
          <w:sz w:val="18"/>
        </w:rPr>
        <w:t>ālas TB aprūpes, profilakses un kontroles nodrošināšanai.</w:t>
      </w:r>
    </w:p>
    <w:p w:rsidR="008745B1" w:rsidRPr="00907EAA" w:rsidP="000D0DB0">
      <w:pPr>
        <w:pStyle w:val="EC-Title-5"/>
        <w:spacing w:before="120"/>
        <w:rPr>
          <w:b w:val="0"/>
        </w:rPr>
      </w:pPr>
      <w:r w:rsidRPr="00907EAA">
        <w:t>Plašākai informācijai</w:t>
      </w:r>
    </w:p>
    <w:p w:rsidR="008745B1" w:rsidRPr="00907EAA" w:rsidP="000D0DB0">
      <w:pPr>
        <w:autoSpaceDE w:val="0"/>
        <w:autoSpaceDN w:val="0"/>
        <w:adjustRightInd w:val="0"/>
        <w:spacing w:before="120" w:after="120"/>
        <w:jc w:val="both"/>
        <w:rPr>
          <w:rFonts w:ascii="Tahoma" w:hAnsi="Tahoma" w:cs="Tahoma"/>
          <w:sz w:val="18"/>
          <w:szCs w:val="18"/>
        </w:rPr>
      </w:pPr>
      <w:r w:rsidRPr="00907EAA">
        <w:rPr>
          <w:rFonts w:ascii="Tahoma" w:hAnsi="Tahoma"/>
          <w:i/>
          <w:sz w:val="18"/>
        </w:rPr>
        <w:t>ECDC</w:t>
      </w:r>
      <w:r w:rsidRPr="00907EAA">
        <w:rPr>
          <w:rFonts w:ascii="Tahoma" w:hAnsi="Tahoma"/>
          <w:sz w:val="18"/>
        </w:rPr>
        <w:t xml:space="preserve"> ir ES aģentūra, kuras uzdevums ir identificēt, novērtēt un izziņot infekciju slimību radītos draudus cilvēku veselībai. Tā atbalsta ES/EEZ dalībvalstu sabiedrības veselība</w:t>
      </w:r>
      <w:r w:rsidRPr="00907EAA">
        <w:rPr>
          <w:rFonts w:ascii="Tahoma" w:hAnsi="Tahoma"/>
          <w:sz w:val="18"/>
        </w:rPr>
        <w:t>s iestāžu darbu.</w:t>
      </w:r>
    </w:p>
    <w:p w:rsidR="008745B1" w:rsidRPr="00907EAA" w:rsidP="008745B1">
      <w:pPr>
        <w:autoSpaceDE w:val="0"/>
        <w:autoSpaceDN w:val="0"/>
        <w:adjustRightInd w:val="0"/>
        <w:spacing w:after="0"/>
        <w:jc w:val="both"/>
        <w:rPr>
          <w:rFonts w:ascii="Tahoma" w:hAnsi="Tahoma" w:cs="Tahoma"/>
          <w:sz w:val="18"/>
          <w:szCs w:val="18"/>
        </w:rPr>
      </w:pPr>
      <w:r>
        <w:fldChar w:fldCharType="begin"/>
      </w:r>
      <w:r>
        <w:instrText xml:space="preserve"> HYPERLINK "http://www.ecdc.europa.eu/en/tuberculosis" </w:instrText>
      </w:r>
      <w:r>
        <w:fldChar w:fldCharType="separate"/>
      </w:r>
      <w:r w:rsidRPr="00907EAA" w:rsidR="004D5050">
        <w:rPr>
          <w:rStyle w:val="Hyperlink"/>
          <w:rFonts w:ascii="Tahoma" w:hAnsi="Tahoma"/>
          <w:sz w:val="18"/>
        </w:rPr>
        <w:t>www.ecdc.europa.eu/en/tuberculosis</w:t>
      </w:r>
      <w:r>
        <w:fldChar w:fldCharType="end"/>
      </w:r>
    </w:p>
    <w:p w:rsidR="008745B1" w:rsidRPr="00907EAA" w:rsidP="000D0DB0">
      <w:pPr>
        <w:autoSpaceDE w:val="0"/>
        <w:autoSpaceDN w:val="0"/>
        <w:adjustRightInd w:val="0"/>
        <w:spacing w:after="120"/>
        <w:jc w:val="both"/>
        <w:rPr>
          <w:rFonts w:ascii="Tahoma" w:hAnsi="Tahoma" w:cs="Tahoma"/>
          <w:sz w:val="18"/>
          <w:szCs w:val="18"/>
        </w:rPr>
      </w:pPr>
      <w:r w:rsidRPr="00907EAA">
        <w:rPr>
          <w:rFonts w:ascii="Tahoma" w:hAnsi="Tahoma"/>
          <w:sz w:val="18"/>
        </w:rPr>
        <w:t>ERS ir vadošā savas jomas profesionālā organizācija Eiropā. Tai ir vairāk nekā 30 000 biedru vairāk nekā 160 valstīs. ERS cenšas samazināt elpceļu</w:t>
      </w:r>
      <w:r w:rsidRPr="00907EAA">
        <w:rPr>
          <w:rFonts w:ascii="Tahoma" w:hAnsi="Tahoma"/>
          <w:sz w:val="18"/>
        </w:rPr>
        <w:t xml:space="preserve"> slimību slogu un veicināt plaušu veselību, veicot izpēti, daloties zināšanās un nodrošinot medicīnisku izglītību un sabiedrības izglītošanu.</w:t>
      </w:r>
    </w:p>
    <w:p w:rsidR="008745B1" w:rsidRPr="00907EAA" w:rsidP="008745B1">
      <w:pPr>
        <w:autoSpaceDE w:val="0"/>
        <w:autoSpaceDN w:val="0"/>
        <w:adjustRightInd w:val="0"/>
        <w:spacing w:after="0"/>
        <w:jc w:val="both"/>
        <w:rPr>
          <w:rFonts w:ascii="Tahoma" w:hAnsi="Tahoma" w:cs="Tahoma"/>
          <w:sz w:val="18"/>
          <w:szCs w:val="18"/>
        </w:rPr>
      </w:pPr>
      <w:r>
        <w:fldChar w:fldCharType="begin"/>
      </w:r>
      <w:r>
        <w:instrText xml:space="preserve"> HYPERLINK "http://www.ersnet.org/" </w:instrText>
      </w:r>
      <w:r>
        <w:fldChar w:fldCharType="separate"/>
      </w:r>
      <w:r w:rsidRPr="00907EAA" w:rsidR="004D5050">
        <w:rPr>
          <w:rStyle w:val="Hyperlink"/>
          <w:rFonts w:ascii="Tahoma" w:hAnsi="Tahoma"/>
          <w:sz w:val="18"/>
        </w:rPr>
        <w:t>www.ersnet.org</w:t>
      </w:r>
      <w:r>
        <w:fldChar w:fldCharType="end"/>
      </w:r>
    </w:p>
    <w:p w:rsidR="008745B1" w:rsidRPr="00907EAA" w:rsidP="008745B1">
      <w:pPr>
        <w:autoSpaceDE w:val="0"/>
        <w:autoSpaceDN w:val="0"/>
        <w:adjustRightInd w:val="0"/>
        <w:spacing w:after="0"/>
        <w:jc w:val="both"/>
        <w:rPr>
          <w:rFonts w:ascii="Tahoma" w:hAnsi="Tahoma" w:cs="Tahoma"/>
          <w:sz w:val="18"/>
          <w:szCs w:val="18"/>
        </w:rPr>
      </w:pPr>
      <w:r w:rsidRPr="00907EAA">
        <w:rPr>
          <w:rFonts w:ascii="Tahoma" w:hAnsi="Tahoma"/>
          <w:sz w:val="18"/>
        </w:rPr>
        <w:t xml:space="preserve">Visu </w:t>
      </w:r>
      <w:r w:rsidRPr="00907EAA">
        <w:rPr>
          <w:rFonts w:ascii="Tahoma" w:hAnsi="Tahoma"/>
          <w:i/>
          <w:sz w:val="18"/>
        </w:rPr>
        <w:t>ESTC</w:t>
      </w:r>
      <w:r w:rsidRPr="00907EAA">
        <w:rPr>
          <w:rFonts w:ascii="Tahoma" w:hAnsi="Tahoma"/>
          <w:sz w:val="18"/>
        </w:rPr>
        <w:t xml:space="preserve"> atjauninājumu publicēja žurnālā </w:t>
      </w:r>
      <w:r w:rsidRPr="00907EAA">
        <w:rPr>
          <w:rFonts w:ascii="Tahoma" w:hAnsi="Tahoma"/>
          <w:i/>
          <w:sz w:val="18"/>
        </w:rPr>
        <w:t>European Respirato</w:t>
      </w:r>
      <w:r w:rsidRPr="00907EAA">
        <w:rPr>
          <w:rFonts w:ascii="Tahoma" w:hAnsi="Tahoma"/>
          <w:i/>
          <w:sz w:val="18"/>
        </w:rPr>
        <w:t>ry Journal</w:t>
      </w:r>
      <w:r w:rsidRPr="00907EAA">
        <w:rPr>
          <w:rFonts w:ascii="Tahoma" w:hAnsi="Tahoma"/>
          <w:sz w:val="18"/>
        </w:rPr>
        <w:t xml:space="preserve"> (</w:t>
      </w:r>
      <w:r w:rsidRPr="00907EAA">
        <w:rPr>
          <w:rFonts w:ascii="Tahoma" w:hAnsi="Tahoma"/>
          <w:i/>
          <w:sz w:val="18"/>
        </w:rPr>
        <w:t>ERJ</w:t>
      </w:r>
      <w:r w:rsidRPr="00907EAA">
        <w:rPr>
          <w:rFonts w:ascii="Tahoma" w:hAnsi="Tahoma"/>
          <w:sz w:val="18"/>
        </w:rPr>
        <w:t>) 2018. gada maijā (DOI: 10.1183/13993003.02678-2017)</w:t>
      </w:r>
    </w:p>
    <w:p w:rsidR="00792C6D" w:rsidRPr="00907EAA">
      <w:pPr>
        <w:spacing w:after="160" w:line="259" w:lineRule="auto"/>
        <w:rPr>
          <w:rFonts w:ascii="Times New Roman" w:hAnsi="Times New Roman"/>
          <w:sz w:val="24"/>
          <w:szCs w:val="24"/>
        </w:rPr>
      </w:pPr>
      <w:r w:rsidRPr="00907EAA">
        <w:br w:type="page"/>
      </w:r>
    </w:p>
    <w:p w:rsidR="00CC0F38" w:rsidRPr="00907EAA" w:rsidP="0028467E">
      <w:pPr>
        <w:pStyle w:val="EC-Title-5"/>
        <w:spacing w:after="240"/>
      </w:pPr>
      <w:r w:rsidRPr="00907EAA">
        <w:t xml:space="preserve">Tuberkulozes </w:t>
      </w:r>
      <w:r w:rsidRPr="00907EAA" w:rsidR="00B51C58">
        <w:t>diagnosti</w:t>
      </w:r>
      <w:r w:rsidR="00B51C58">
        <w:t>k</w:t>
      </w:r>
      <w:r w:rsidRPr="00907EAA" w:rsidR="00B51C58">
        <w:t xml:space="preserve">as </w:t>
      </w:r>
      <w:r w:rsidRPr="00907EAA">
        <w:t>standarti</w:t>
      </w:r>
    </w:p>
    <w:p w:rsidR="00DA3A70" w:rsidRPr="00907EAA" w:rsidP="00A82B43">
      <w:pPr>
        <w:shd w:val="clear" w:color="auto" w:fill="D9D9D9"/>
        <w:autoSpaceDE w:val="0"/>
        <w:autoSpaceDN w:val="0"/>
        <w:adjustRightInd w:val="0"/>
        <w:spacing w:after="0"/>
        <w:jc w:val="both"/>
        <w:rPr>
          <w:rFonts w:ascii="Tahoma" w:hAnsi="Tahoma" w:cs="Tahoma"/>
          <w:b/>
          <w:sz w:val="24"/>
          <w:szCs w:val="24"/>
        </w:rPr>
      </w:pPr>
      <w:r w:rsidRPr="00907EAA">
        <w:rPr>
          <w:rFonts w:ascii="Tahoma" w:hAnsi="Tahoma"/>
          <w:b/>
          <w:sz w:val="24"/>
        </w:rPr>
        <w:t>1. standarts</w:t>
      </w:r>
    </w:p>
    <w:p w:rsidR="00DA3A70" w:rsidRPr="00907EAA" w:rsidP="0028467E">
      <w:pPr>
        <w:spacing w:after="120"/>
        <w:rPr>
          <w:rFonts w:ascii="Tahoma" w:hAnsi="Tahoma" w:cs="Tahoma"/>
          <w:sz w:val="18"/>
          <w:szCs w:val="18"/>
        </w:rPr>
      </w:pPr>
      <w:r w:rsidRPr="00907EAA">
        <w:rPr>
          <w:rFonts w:ascii="Tahoma" w:hAnsi="Tahoma"/>
          <w:sz w:val="18"/>
        </w:rPr>
        <w:t>Vis</w:t>
      </w:r>
      <w:r w:rsidR="00B51C58">
        <w:rPr>
          <w:rFonts w:ascii="Tahoma" w:hAnsi="Tahoma"/>
          <w:sz w:val="18"/>
        </w:rPr>
        <w:t>as</w:t>
      </w:r>
      <w:r w:rsidRPr="00907EAA">
        <w:rPr>
          <w:rFonts w:ascii="Tahoma" w:hAnsi="Tahoma"/>
          <w:sz w:val="18"/>
        </w:rPr>
        <w:t xml:space="preserve"> person</w:t>
      </w:r>
      <w:r w:rsidR="00B51C58">
        <w:rPr>
          <w:rFonts w:ascii="Tahoma" w:hAnsi="Tahoma"/>
          <w:sz w:val="18"/>
        </w:rPr>
        <w:t>as</w:t>
      </w:r>
      <w:r w:rsidRPr="00907EAA">
        <w:rPr>
          <w:rFonts w:ascii="Tahoma" w:hAnsi="Tahoma"/>
          <w:sz w:val="18"/>
        </w:rPr>
        <w:t xml:space="preserve"> ar tuberkulozei </w:t>
      </w:r>
      <w:r w:rsidR="00B51C58">
        <w:rPr>
          <w:rFonts w:ascii="Tahoma" w:hAnsi="Tahoma"/>
          <w:sz w:val="18"/>
        </w:rPr>
        <w:t>raksturīgām</w:t>
      </w:r>
      <w:r w:rsidRPr="00907EAA" w:rsidR="00B51C58">
        <w:rPr>
          <w:rFonts w:ascii="Tahoma" w:hAnsi="Tahoma"/>
          <w:sz w:val="18"/>
        </w:rPr>
        <w:t xml:space="preserve"> </w:t>
      </w:r>
      <w:r w:rsidRPr="00907EAA">
        <w:rPr>
          <w:rFonts w:ascii="Tahoma" w:hAnsi="Tahoma"/>
          <w:sz w:val="18"/>
        </w:rPr>
        <w:t xml:space="preserve">pazīmēm, simptomiem, anamnēzi vai riska faktoriem ir </w:t>
      </w:r>
      <w:r w:rsidR="00B51C58">
        <w:rPr>
          <w:rFonts w:ascii="Tahoma" w:hAnsi="Tahoma"/>
          <w:sz w:val="18"/>
        </w:rPr>
        <w:t>jāizmeklē uz</w:t>
      </w:r>
      <w:r w:rsidRPr="00907EAA" w:rsidR="00B51C58">
        <w:rPr>
          <w:rFonts w:ascii="Tahoma" w:hAnsi="Tahoma"/>
          <w:sz w:val="18"/>
        </w:rPr>
        <w:t xml:space="preserve"> </w:t>
      </w:r>
      <w:r w:rsidRPr="00907EAA">
        <w:rPr>
          <w:rFonts w:ascii="Tahoma" w:hAnsi="Tahoma"/>
          <w:sz w:val="18"/>
        </w:rPr>
        <w:t>plaušu un/vai ārpusplaušu tuberkuloz</w:t>
      </w:r>
      <w:r w:rsidR="00B51C58">
        <w:rPr>
          <w:rFonts w:ascii="Tahoma" w:hAnsi="Tahoma"/>
          <w:sz w:val="18"/>
        </w:rPr>
        <w:t>i</w:t>
      </w:r>
      <w:r w:rsidRPr="00907EAA">
        <w:rPr>
          <w:rFonts w:ascii="Tahoma" w:hAnsi="Tahoma"/>
          <w:sz w:val="18"/>
        </w:rPr>
        <w:t>.</w:t>
      </w:r>
    </w:p>
    <w:p w:rsidR="00DA3A70" w:rsidRPr="00907EAA" w:rsidP="00A82B43">
      <w:pPr>
        <w:shd w:val="clear" w:color="auto" w:fill="D9D9D9"/>
        <w:autoSpaceDE w:val="0"/>
        <w:autoSpaceDN w:val="0"/>
        <w:adjustRightInd w:val="0"/>
        <w:spacing w:after="0"/>
        <w:jc w:val="both"/>
        <w:rPr>
          <w:rFonts w:ascii="Tahoma" w:hAnsi="Tahoma" w:cs="Tahoma"/>
          <w:sz w:val="24"/>
          <w:szCs w:val="24"/>
        </w:rPr>
      </w:pPr>
      <w:r w:rsidRPr="00907EAA">
        <w:rPr>
          <w:rFonts w:ascii="Tahoma" w:hAnsi="Tahoma"/>
          <w:b/>
          <w:sz w:val="24"/>
        </w:rPr>
        <w:t>2. standarts</w:t>
      </w:r>
    </w:p>
    <w:p w:rsidR="00DA3A70" w:rsidRPr="00907EAA" w:rsidP="0028467E">
      <w:pPr>
        <w:spacing w:after="120"/>
        <w:rPr>
          <w:rFonts w:ascii="Tahoma" w:hAnsi="Tahoma" w:cs="Tahoma"/>
          <w:sz w:val="18"/>
          <w:szCs w:val="18"/>
        </w:rPr>
      </w:pPr>
      <w:r w:rsidRPr="00907EAA">
        <w:rPr>
          <w:rFonts w:ascii="Tahoma" w:hAnsi="Tahoma"/>
          <w:sz w:val="18"/>
        </w:rPr>
        <w:t>Visiem pacientiem (pieaugušajiem, pusaudžiem un bērniem, kuri prot atklepot krēpas) ar aizdomām par plaušu tuberkulozi jānodod vismaz divi krēpu paraugi mikroskopiskai izm</w:t>
      </w:r>
      <w:r w:rsidRPr="00907EAA">
        <w:rPr>
          <w:rFonts w:ascii="Tahoma" w:hAnsi="Tahoma"/>
          <w:sz w:val="18"/>
        </w:rPr>
        <w:t xml:space="preserve">eklēšanai un viens paraugs ātrajai testēšanai, lai noteiktu tuberkulozes esamību un zāļu rezistenci, izmantojot starptautiski rekomendētu (ātro) molekulāro testu. Paraugi ir jānosūta </w:t>
      </w:r>
      <w:r w:rsidRPr="00907EAA">
        <w:rPr>
          <w:rFonts w:ascii="Tahoma" w:hAnsi="Tahoma"/>
          <w:sz w:val="18"/>
        </w:rPr>
        <w:t>uzsējuma</w:t>
      </w:r>
      <w:r w:rsidR="00B51C58">
        <w:rPr>
          <w:rFonts w:ascii="Tahoma" w:hAnsi="Tahoma"/>
          <w:sz w:val="18"/>
        </w:rPr>
        <w:t>m šķidrā barotnē</w:t>
      </w:r>
      <w:r w:rsidRPr="00907EAA">
        <w:rPr>
          <w:rFonts w:ascii="Tahoma" w:hAnsi="Tahoma"/>
          <w:sz w:val="18"/>
        </w:rPr>
        <w:t xml:space="preserve"> </w:t>
      </w:r>
      <w:r w:rsidRPr="00907EAA">
        <w:rPr>
          <w:rFonts w:ascii="Tahoma" w:hAnsi="Tahoma"/>
          <w:sz w:val="18"/>
        </w:rPr>
        <w:t xml:space="preserve">un, ja rezultāts ir pozitīvs, </w:t>
      </w:r>
      <w:r w:rsidRPr="00907EAA">
        <w:rPr>
          <w:rFonts w:ascii="Tahoma" w:hAnsi="Tahoma"/>
          <w:sz w:val="18"/>
        </w:rPr>
        <w:t>jāveic zāļu jutī</w:t>
      </w:r>
      <w:r w:rsidR="00B51C58">
        <w:rPr>
          <w:rFonts w:ascii="Tahoma" w:hAnsi="Tahoma"/>
          <w:sz w:val="18"/>
        </w:rPr>
        <w:t>bas</w:t>
      </w:r>
      <w:r w:rsidRPr="00907EAA">
        <w:rPr>
          <w:rFonts w:ascii="Tahoma" w:hAnsi="Tahoma"/>
          <w:sz w:val="18"/>
        </w:rPr>
        <w:t xml:space="preserve"> testēšana (</w:t>
      </w:r>
      <w:r w:rsidRPr="00741BAA" w:rsidR="00741BAA">
        <w:rPr>
          <w:rFonts w:ascii="Tahoma" w:hAnsi="Tahoma"/>
          <w:sz w:val="18"/>
        </w:rPr>
        <w:t>ZJT</w:t>
      </w:r>
      <w:r w:rsidRPr="00907EAA">
        <w:rPr>
          <w:rFonts w:ascii="Tahoma" w:hAnsi="Tahoma"/>
          <w:sz w:val="18"/>
        </w:rPr>
        <w:t>)</w:t>
      </w:r>
      <w:r w:rsidR="002A4CBA">
        <w:rPr>
          <w:rFonts w:ascii="Tahoma" w:hAnsi="Tahoma"/>
          <w:sz w:val="18"/>
        </w:rPr>
        <w:t xml:space="preserve"> </w:t>
      </w:r>
      <w:r w:rsidRPr="00907EAA">
        <w:rPr>
          <w:rFonts w:ascii="Tahoma" w:hAnsi="Tahoma"/>
          <w:sz w:val="18"/>
        </w:rPr>
        <w:t xml:space="preserve">apstiprinātas kvalitātes laboratorijā. Ja iespējams, jāiegūst vismaz viens paraugs agri no rīta. Var izmantot arī krūškurvja </w:t>
      </w:r>
      <w:r w:rsidRPr="007114DD">
        <w:rPr>
          <w:rFonts w:ascii="Tahoma" w:hAnsi="Tahoma"/>
          <w:sz w:val="18"/>
        </w:rPr>
        <w:t>radiogrāfiju</w:t>
      </w:r>
      <w:r w:rsidRPr="00907EAA">
        <w:rPr>
          <w:rFonts w:ascii="Tahoma" w:hAnsi="Tahoma"/>
          <w:sz w:val="18"/>
        </w:rPr>
        <w:t>.</w:t>
      </w:r>
    </w:p>
    <w:p w:rsidR="00DA3A70" w:rsidRPr="00907EAA" w:rsidP="00A82B43">
      <w:pPr>
        <w:shd w:val="clear" w:color="auto" w:fill="D9D9D9"/>
        <w:autoSpaceDE w:val="0"/>
        <w:autoSpaceDN w:val="0"/>
        <w:adjustRightInd w:val="0"/>
        <w:spacing w:after="0"/>
        <w:jc w:val="both"/>
        <w:rPr>
          <w:rFonts w:ascii="Tahoma" w:hAnsi="Tahoma" w:cs="Tahoma"/>
          <w:b/>
          <w:sz w:val="24"/>
          <w:szCs w:val="24"/>
        </w:rPr>
      </w:pPr>
      <w:r w:rsidRPr="00907EAA">
        <w:rPr>
          <w:rFonts w:ascii="Tahoma" w:hAnsi="Tahoma"/>
          <w:b/>
          <w:sz w:val="24"/>
        </w:rPr>
        <w:t>3. standarts</w:t>
      </w:r>
    </w:p>
    <w:p w:rsidR="00DA3A70" w:rsidRPr="00907EAA" w:rsidP="0028467E">
      <w:pPr>
        <w:spacing w:after="120"/>
        <w:rPr>
          <w:rFonts w:ascii="Tahoma" w:hAnsi="Tahoma" w:cs="Tahoma"/>
          <w:sz w:val="18"/>
          <w:szCs w:val="18"/>
        </w:rPr>
      </w:pPr>
      <w:r w:rsidRPr="00907EAA">
        <w:rPr>
          <w:rFonts w:ascii="Tahoma" w:hAnsi="Tahoma"/>
          <w:sz w:val="18"/>
        </w:rPr>
        <w:t>No visiem pacientiem (pieaugušajiem, pusaudžiem un bērniem) ar iespējamu ārpusplaušu tuberkulozi jāpaņem attiecīgi paraugi no slimīb</w:t>
      </w:r>
      <w:r w:rsidR="00B74581">
        <w:rPr>
          <w:rFonts w:ascii="Tahoma" w:hAnsi="Tahoma"/>
          <w:sz w:val="18"/>
        </w:rPr>
        <w:t>as</w:t>
      </w:r>
      <w:r w:rsidRPr="00907EAA">
        <w:rPr>
          <w:rFonts w:ascii="Tahoma" w:hAnsi="Tahoma"/>
          <w:sz w:val="18"/>
        </w:rPr>
        <w:t xml:space="preserve"> varbūtēji </w:t>
      </w:r>
      <w:r w:rsidR="00B74581">
        <w:rPr>
          <w:rFonts w:ascii="Tahoma" w:hAnsi="Tahoma"/>
          <w:sz w:val="18"/>
        </w:rPr>
        <w:t>skartajām</w:t>
      </w:r>
      <w:r w:rsidRPr="00907EAA">
        <w:rPr>
          <w:rFonts w:ascii="Tahoma" w:hAnsi="Tahoma"/>
          <w:sz w:val="18"/>
        </w:rPr>
        <w:t xml:space="preserve"> ķermeņa vietām, lai veiktu mikrobioloģiskos testus (mikroskopiju, ātros molekulāros tes</w:t>
      </w:r>
      <w:r w:rsidRPr="00907EAA">
        <w:rPr>
          <w:rFonts w:ascii="Tahoma" w:hAnsi="Tahoma"/>
          <w:sz w:val="18"/>
        </w:rPr>
        <w:t>tus, uzsējum</w:t>
      </w:r>
      <w:r w:rsidR="005C7B83">
        <w:rPr>
          <w:rFonts w:ascii="Tahoma" w:hAnsi="Tahoma"/>
          <w:sz w:val="18"/>
        </w:rPr>
        <w:t>u</w:t>
      </w:r>
      <w:r w:rsidRPr="00907EAA">
        <w:rPr>
          <w:rFonts w:ascii="Tahoma" w:hAnsi="Tahoma"/>
          <w:sz w:val="18"/>
        </w:rPr>
        <w:t xml:space="preserve">, sugu identificēšanu, </w:t>
      </w:r>
      <w:r w:rsidRPr="00741BAA" w:rsidR="00741BAA">
        <w:rPr>
          <w:rFonts w:ascii="Tahoma" w:hAnsi="Tahoma"/>
          <w:sz w:val="18"/>
        </w:rPr>
        <w:t>ZJT</w:t>
      </w:r>
      <w:r w:rsidRPr="00907EAA" w:rsidR="00A2280E">
        <w:rPr>
          <w:rFonts w:ascii="Tahoma" w:hAnsi="Tahoma"/>
          <w:sz w:val="18"/>
        </w:rPr>
        <w:t xml:space="preserve"> </w:t>
      </w:r>
      <w:r w:rsidRPr="00907EAA">
        <w:rPr>
          <w:rFonts w:ascii="Tahoma" w:hAnsi="Tahoma"/>
          <w:sz w:val="18"/>
        </w:rPr>
        <w:t>ar ātrajiem molekulārajiem testiem un uzsējuma metodēm) un histo</w:t>
      </w:r>
      <w:r w:rsidRPr="00907EAA">
        <w:rPr>
          <w:rFonts w:ascii="Tahoma" w:hAnsi="Tahoma"/>
          <w:sz w:val="18"/>
        </w:rPr>
        <w:t>pato</w:t>
      </w:r>
      <w:r w:rsidRPr="00907EAA">
        <w:rPr>
          <w:rFonts w:ascii="Tahoma" w:hAnsi="Tahoma"/>
          <w:sz w:val="18"/>
        </w:rPr>
        <w:t>loģisko izmeklēšanu apstiprinātas kvalitātes laboratorijās.</w:t>
      </w:r>
    </w:p>
    <w:p w:rsidR="00CC0F38" w:rsidRPr="00907EAA" w:rsidP="00CC0F38">
      <w:pPr>
        <w:shd w:val="clear" w:color="auto" w:fill="D9D9D9"/>
        <w:autoSpaceDE w:val="0"/>
        <w:autoSpaceDN w:val="0"/>
        <w:adjustRightInd w:val="0"/>
        <w:spacing w:after="0"/>
        <w:jc w:val="both"/>
        <w:rPr>
          <w:rFonts w:ascii="Tahoma" w:hAnsi="Tahoma" w:cs="Tahoma"/>
          <w:b/>
          <w:sz w:val="24"/>
          <w:szCs w:val="24"/>
        </w:rPr>
      </w:pPr>
      <w:r w:rsidRPr="00907EAA">
        <w:rPr>
          <w:rFonts w:ascii="Tahoma" w:hAnsi="Tahoma"/>
          <w:b/>
          <w:sz w:val="24"/>
        </w:rPr>
        <w:t>4. standarts</w:t>
      </w:r>
    </w:p>
    <w:p w:rsidR="00DA3A70" w:rsidRPr="00907EAA" w:rsidP="0028467E">
      <w:pPr>
        <w:spacing w:after="120"/>
        <w:rPr>
          <w:rFonts w:ascii="Tahoma" w:hAnsi="Tahoma" w:cs="Tahoma"/>
          <w:sz w:val="18"/>
          <w:szCs w:val="18"/>
        </w:rPr>
      </w:pPr>
      <w:r w:rsidRPr="00907EAA">
        <w:rPr>
          <w:rFonts w:ascii="Tahoma" w:hAnsi="Tahoma"/>
          <w:sz w:val="18"/>
        </w:rPr>
        <w:t xml:space="preserve">Visām personām, kuru krūškurvja </w:t>
      </w:r>
      <w:r w:rsidRPr="007114DD">
        <w:rPr>
          <w:rFonts w:ascii="Tahoma" w:hAnsi="Tahoma"/>
          <w:sz w:val="18"/>
        </w:rPr>
        <w:t>radio</w:t>
      </w:r>
      <w:r w:rsidRPr="002A4CBA" w:rsidR="007114DD">
        <w:rPr>
          <w:rFonts w:ascii="Tahoma" w:hAnsi="Tahoma"/>
          <w:sz w:val="18"/>
        </w:rPr>
        <w:t xml:space="preserve">grāfijas </w:t>
      </w:r>
      <w:r w:rsidRPr="007114DD">
        <w:rPr>
          <w:rFonts w:ascii="Tahoma" w:hAnsi="Tahoma"/>
          <w:sz w:val="18"/>
        </w:rPr>
        <w:t>atrade</w:t>
      </w:r>
      <w:r w:rsidRPr="007114DD">
        <w:rPr>
          <w:rFonts w:ascii="Tahoma" w:hAnsi="Tahoma"/>
          <w:sz w:val="18"/>
        </w:rPr>
        <w:t>s</w:t>
      </w:r>
      <w:r w:rsidRPr="007114DD">
        <w:rPr>
          <w:rFonts w:ascii="Tahoma" w:hAnsi="Tahoma"/>
          <w:sz w:val="18"/>
        </w:rPr>
        <w:t xml:space="preserve"> </w:t>
      </w:r>
      <w:r w:rsidRPr="00907EAA">
        <w:rPr>
          <w:rFonts w:ascii="Tahoma" w:hAnsi="Tahoma"/>
          <w:sz w:val="18"/>
        </w:rPr>
        <w:t xml:space="preserve">liecina par plaušu tuberkulozi, jānodod krēpu paraugi mikroskopiskai izmeklēšanai, ātrajiem molekulārajiem testiem, uzsējuma analīzēm, sugu identificēšanai un </w:t>
      </w:r>
      <w:r w:rsidRPr="00741BAA" w:rsidR="00741BAA">
        <w:rPr>
          <w:rFonts w:ascii="Tahoma" w:hAnsi="Tahoma"/>
          <w:sz w:val="18"/>
        </w:rPr>
        <w:t>ZJT</w:t>
      </w:r>
      <w:r w:rsidRPr="00907EAA" w:rsidR="00A2280E">
        <w:rPr>
          <w:rFonts w:ascii="Tahoma" w:hAnsi="Tahoma"/>
          <w:sz w:val="18"/>
        </w:rPr>
        <w:t xml:space="preserve"> </w:t>
      </w:r>
      <w:r w:rsidRPr="00907EAA">
        <w:rPr>
          <w:rFonts w:ascii="Tahoma" w:hAnsi="Tahoma"/>
          <w:sz w:val="18"/>
        </w:rPr>
        <w:t xml:space="preserve">ar ātrajiem molekulārajiem testiem un uzsējuma metodēm </w:t>
      </w:r>
      <w:r w:rsidRPr="00907EAA">
        <w:rPr>
          <w:rFonts w:ascii="Tahoma" w:hAnsi="Tahoma"/>
          <w:sz w:val="18"/>
        </w:rPr>
        <w:t>apstiprinātas kvalitātes laboratorijā.</w:t>
      </w:r>
    </w:p>
    <w:p w:rsidR="00DA3A70" w:rsidRPr="00907EAA" w:rsidP="00A82B43">
      <w:pPr>
        <w:shd w:val="clear" w:color="auto" w:fill="D9D9D9"/>
        <w:autoSpaceDE w:val="0"/>
        <w:autoSpaceDN w:val="0"/>
        <w:adjustRightInd w:val="0"/>
        <w:spacing w:after="0"/>
        <w:jc w:val="both"/>
        <w:rPr>
          <w:rFonts w:ascii="Tahoma" w:hAnsi="Tahoma" w:cs="Tahoma"/>
          <w:b/>
          <w:bCs/>
          <w:sz w:val="24"/>
          <w:szCs w:val="24"/>
        </w:rPr>
      </w:pPr>
      <w:r w:rsidRPr="00907EAA">
        <w:rPr>
          <w:rFonts w:ascii="Tahoma" w:hAnsi="Tahoma"/>
          <w:b/>
          <w:sz w:val="24"/>
          <w:shd w:val="clear" w:color="auto" w:fill="D9D9D9"/>
        </w:rPr>
        <w:t>5. standarts</w:t>
      </w:r>
    </w:p>
    <w:p w:rsidR="00DA3A70" w:rsidRPr="00907EAA" w:rsidP="0028467E">
      <w:pPr>
        <w:spacing w:after="120"/>
        <w:rPr>
          <w:rFonts w:ascii="Tahoma" w:hAnsi="Tahoma" w:cs="Tahoma"/>
          <w:sz w:val="18"/>
          <w:szCs w:val="18"/>
        </w:rPr>
      </w:pPr>
      <w:r>
        <w:rPr>
          <w:rFonts w:ascii="Tahoma" w:hAnsi="Tahoma"/>
          <w:sz w:val="18"/>
        </w:rPr>
        <w:t xml:space="preserve">Bakterioloģiski </w:t>
      </w:r>
      <w:r>
        <w:rPr>
          <w:rFonts w:ascii="Tahoma" w:hAnsi="Tahoma"/>
          <w:sz w:val="18"/>
        </w:rPr>
        <w:t>n</w:t>
      </w:r>
      <w:r w:rsidRPr="00907EAA" w:rsidR="004D5050">
        <w:rPr>
          <w:rFonts w:ascii="Tahoma" w:hAnsi="Tahoma"/>
          <w:sz w:val="18"/>
        </w:rPr>
        <w:t>egatīva</w:t>
      </w:r>
      <w:r>
        <w:rPr>
          <w:rFonts w:ascii="Tahoma" w:hAnsi="Tahoma"/>
          <w:sz w:val="18"/>
        </w:rPr>
        <w:t>s</w:t>
      </w:r>
      <w:r w:rsidRPr="00907EAA" w:rsidR="004D5050">
        <w:rPr>
          <w:rFonts w:ascii="Tahoma" w:hAnsi="Tahoma"/>
          <w:sz w:val="18"/>
        </w:rPr>
        <w:t xml:space="preserve"> plaušu tuberkulozes diagnoze </w:t>
      </w:r>
      <w:r w:rsidR="00321B92">
        <w:rPr>
          <w:rFonts w:ascii="Tahoma" w:hAnsi="Tahoma"/>
          <w:sz w:val="18"/>
        </w:rPr>
        <w:t>ir jā</w:t>
      </w:r>
      <w:r w:rsidR="00B80A67">
        <w:rPr>
          <w:rFonts w:ascii="Tahoma" w:hAnsi="Tahoma"/>
          <w:sz w:val="18"/>
        </w:rPr>
        <w:t xml:space="preserve">balsta uz </w:t>
      </w:r>
      <w:r w:rsidRPr="00907EAA" w:rsidR="004D5050">
        <w:rPr>
          <w:rFonts w:ascii="Tahoma" w:hAnsi="Tahoma"/>
          <w:sz w:val="18"/>
        </w:rPr>
        <w:t>šādiem kritērijiem: visi bakterioloģiskie testi ir negatīvi (ieskaitot tieš</w:t>
      </w:r>
      <w:r>
        <w:rPr>
          <w:rFonts w:ascii="Tahoma" w:hAnsi="Tahoma"/>
          <w:sz w:val="18"/>
        </w:rPr>
        <w:t>ā</w:t>
      </w:r>
      <w:r w:rsidRPr="00907EAA" w:rsidR="004D5050">
        <w:rPr>
          <w:rFonts w:ascii="Tahoma" w:hAnsi="Tahoma"/>
          <w:sz w:val="18"/>
        </w:rPr>
        <w:t xml:space="preserve">s krēpu </w:t>
      </w:r>
      <w:r w:rsidR="00CE2AB1">
        <w:rPr>
          <w:rFonts w:ascii="Tahoma" w:hAnsi="Tahoma"/>
          <w:sz w:val="18"/>
        </w:rPr>
        <w:t>i</w:t>
      </w:r>
      <w:r w:rsidRPr="00907EAA" w:rsidR="004D5050">
        <w:rPr>
          <w:rFonts w:ascii="Tahoma" w:hAnsi="Tahoma"/>
          <w:sz w:val="18"/>
        </w:rPr>
        <w:t xml:space="preserve">ztriepes </w:t>
      </w:r>
      <w:r>
        <w:rPr>
          <w:rFonts w:ascii="Tahoma" w:hAnsi="Tahoma"/>
          <w:sz w:val="18"/>
        </w:rPr>
        <w:t>bakterioskopiju</w:t>
      </w:r>
      <w:r w:rsidRPr="00907EAA" w:rsidR="004D5050">
        <w:rPr>
          <w:rFonts w:ascii="Tahoma" w:hAnsi="Tahoma"/>
          <w:sz w:val="18"/>
        </w:rPr>
        <w:t>, uzsējumus un ātros molekulāros testus), krūškurvja radio</w:t>
      </w:r>
      <w:r w:rsidR="00321B92">
        <w:rPr>
          <w:rFonts w:ascii="Tahoma" w:hAnsi="Tahoma"/>
          <w:sz w:val="18"/>
        </w:rPr>
        <w:t xml:space="preserve">grāfijas </w:t>
      </w:r>
      <w:r w:rsidRPr="00907EAA" w:rsidR="004D5050">
        <w:rPr>
          <w:rFonts w:ascii="Tahoma" w:hAnsi="Tahoma"/>
          <w:sz w:val="18"/>
        </w:rPr>
        <w:t xml:space="preserve">atrade ir atbilstoša tuberkulozei, un nav </w:t>
      </w:r>
      <w:r>
        <w:rPr>
          <w:rFonts w:ascii="Tahoma" w:hAnsi="Tahoma"/>
          <w:sz w:val="18"/>
        </w:rPr>
        <w:t xml:space="preserve">pozitīvas </w:t>
      </w:r>
      <w:r w:rsidRPr="00907EAA" w:rsidR="004D5050">
        <w:rPr>
          <w:rFonts w:ascii="Tahoma" w:hAnsi="Tahoma"/>
          <w:sz w:val="18"/>
        </w:rPr>
        <w:t>reakcijas uz</w:t>
      </w:r>
      <w:r w:rsidR="002A4CBA">
        <w:rPr>
          <w:rFonts w:ascii="Tahoma" w:hAnsi="Tahoma"/>
          <w:sz w:val="18"/>
        </w:rPr>
        <w:t xml:space="preserve"> </w:t>
      </w:r>
      <w:r>
        <w:rPr>
          <w:rFonts w:ascii="Tahoma" w:hAnsi="Tahoma"/>
          <w:sz w:val="18"/>
        </w:rPr>
        <w:t>ārstē</w:t>
      </w:r>
      <w:r w:rsidR="000F3E8B">
        <w:rPr>
          <w:rFonts w:ascii="Tahoma" w:hAnsi="Tahoma"/>
          <w:sz w:val="18"/>
        </w:rPr>
        <w:t>šanu</w:t>
      </w:r>
      <w:r>
        <w:rPr>
          <w:rFonts w:ascii="Tahoma" w:hAnsi="Tahoma"/>
          <w:sz w:val="18"/>
        </w:rPr>
        <w:t xml:space="preserve"> </w:t>
      </w:r>
      <w:r w:rsidRPr="00907EAA" w:rsidR="004D5050">
        <w:rPr>
          <w:rFonts w:ascii="Tahoma" w:hAnsi="Tahoma"/>
          <w:sz w:val="18"/>
        </w:rPr>
        <w:t xml:space="preserve">ar plaša spektra </w:t>
      </w:r>
      <w:r>
        <w:rPr>
          <w:rFonts w:ascii="Tahoma" w:hAnsi="Tahoma"/>
          <w:sz w:val="18"/>
        </w:rPr>
        <w:t>antimikrob</w:t>
      </w:r>
      <w:r>
        <w:rPr>
          <w:rFonts w:ascii="Tahoma" w:hAnsi="Tahoma"/>
          <w:sz w:val="18"/>
        </w:rPr>
        <w:t xml:space="preserve">iem </w:t>
      </w:r>
      <w:r w:rsidRPr="00907EAA" w:rsidR="004D5050">
        <w:rPr>
          <w:rFonts w:ascii="Tahoma" w:hAnsi="Tahoma"/>
          <w:sz w:val="18"/>
        </w:rPr>
        <w:t xml:space="preserve">līdzekļiem (ņemiet vērā: tā kā fluorhinoloni ir aktīvi pret </w:t>
      </w:r>
      <w:r w:rsidRPr="00907EAA" w:rsidR="004D5050">
        <w:rPr>
          <w:rFonts w:ascii="Tahoma" w:hAnsi="Tahoma"/>
          <w:i/>
          <w:sz w:val="18"/>
        </w:rPr>
        <w:t xml:space="preserve">M. tuberculosis </w:t>
      </w:r>
      <w:r w:rsidRPr="00907EAA" w:rsidR="004D5050">
        <w:rPr>
          <w:rFonts w:ascii="Tahoma" w:hAnsi="Tahoma"/>
          <w:sz w:val="18"/>
        </w:rPr>
        <w:t xml:space="preserve">kompleksu un var izraisīt pārejošu stāvokļa uzlabojumu tuberkulozes pacientiem, no to lietošanas ir jāizvairās). Smagas slimības, apstiprināta vai iespējama cilvēka imūndeficīta vīrusa (HIV) infekcijas vai citu imūnsistēmu novājinošu saslimšanu gadījumā diagnostiskā </w:t>
      </w:r>
      <w:r w:rsidRPr="00321B92" w:rsidR="002F2DA3">
        <w:rPr>
          <w:rFonts w:ascii="Tahoma" w:hAnsi="Tahoma"/>
          <w:sz w:val="18"/>
        </w:rPr>
        <w:t>izmeklēšana</w:t>
      </w:r>
      <w:r w:rsidRPr="00907EAA" w:rsidR="002F2DA3">
        <w:rPr>
          <w:rFonts w:ascii="Tahoma" w:hAnsi="Tahoma"/>
          <w:sz w:val="18"/>
        </w:rPr>
        <w:t xml:space="preserve"> </w:t>
      </w:r>
      <w:r w:rsidRPr="00907EAA" w:rsidR="004D5050">
        <w:rPr>
          <w:rFonts w:ascii="Tahoma" w:hAnsi="Tahoma"/>
          <w:sz w:val="18"/>
        </w:rPr>
        <w:t>ir jāpaātrina un, ja klīniskie pierādījumi pārliecinoši norāda uz tuberkulozi, jāsāk tuberkulozes ārstēšana</w:t>
      </w:r>
      <w:r w:rsidR="002F2DA3">
        <w:rPr>
          <w:rFonts w:ascii="Tahoma" w:hAnsi="Tahoma"/>
          <w:sz w:val="18"/>
        </w:rPr>
        <w:t xml:space="preserve">s </w:t>
      </w:r>
      <w:r w:rsidRPr="00907EAA" w:rsidR="002F2DA3">
        <w:rPr>
          <w:rFonts w:ascii="Tahoma" w:hAnsi="Tahoma"/>
          <w:sz w:val="18"/>
        </w:rPr>
        <w:t>kurss</w:t>
      </w:r>
      <w:r w:rsidRPr="00907EAA" w:rsidR="004D5050">
        <w:rPr>
          <w:rFonts w:ascii="Tahoma" w:hAnsi="Tahoma"/>
          <w:sz w:val="18"/>
        </w:rPr>
        <w:t>.</w:t>
      </w:r>
    </w:p>
    <w:p w:rsidR="00E23086" w:rsidRPr="00907EAA" w:rsidP="000D0DB0">
      <w:pPr>
        <w:pStyle w:val="EC-Title-6"/>
      </w:pPr>
      <w:r w:rsidRPr="00907EAA">
        <w:t xml:space="preserve">ES </w:t>
      </w:r>
      <w:r w:rsidRPr="00907EAA">
        <w:t>specifiskās prasības</w:t>
      </w:r>
    </w:p>
    <w:p w:rsidR="00DA3A70" w:rsidRPr="00907EAA" w:rsidP="0028467E">
      <w:pPr>
        <w:spacing w:after="120"/>
        <w:rPr>
          <w:rFonts w:ascii="Tahoma" w:hAnsi="Tahoma" w:cs="Tahoma"/>
          <w:sz w:val="18"/>
          <w:szCs w:val="18"/>
        </w:rPr>
      </w:pPr>
      <w:r w:rsidRPr="00907EAA">
        <w:rPr>
          <w:rFonts w:ascii="Tahoma" w:hAnsi="Tahoma"/>
          <w:sz w:val="18"/>
        </w:rPr>
        <w:t>Lai nodrošinātu gan plaušu, gan ārpusplaušu tuberkulozes kvalitatīvu diagnosti</w:t>
      </w:r>
      <w:r w:rsidR="00762734">
        <w:rPr>
          <w:rFonts w:ascii="Tahoma" w:hAnsi="Tahoma"/>
          <w:sz w:val="18"/>
        </w:rPr>
        <w:t>k</w:t>
      </w:r>
      <w:r w:rsidRPr="00907EAA">
        <w:rPr>
          <w:rFonts w:ascii="Tahoma" w:hAnsi="Tahoma"/>
          <w:sz w:val="18"/>
        </w:rPr>
        <w:t>u, jāiegūst piemēroti paraugi bakterioloģiskai izmeklēšanai. Vajadzības gadījumā jāveic krēpu inducēšana, bronhoskopija un bronhoalveolārā lavāža, kuņģ</w:t>
      </w:r>
      <w:r w:rsidRPr="00907EAA">
        <w:rPr>
          <w:rFonts w:ascii="Tahoma" w:hAnsi="Tahoma"/>
          <w:sz w:val="18"/>
        </w:rPr>
        <w:t>a skalošana, biopsija vai aspirācija</w:t>
      </w:r>
      <w:r w:rsidR="00762734">
        <w:rPr>
          <w:rFonts w:ascii="Tahoma" w:hAnsi="Tahoma"/>
          <w:sz w:val="18"/>
        </w:rPr>
        <w:t>s biopsija</w:t>
      </w:r>
      <w:r w:rsidRPr="00907EAA">
        <w:rPr>
          <w:rFonts w:ascii="Tahoma" w:hAnsi="Tahoma"/>
          <w:sz w:val="18"/>
        </w:rPr>
        <w:t xml:space="preserve"> ar tievu adatu [1]. Paraugi jāapstrādā ar pieejamaj</w:t>
      </w:r>
      <w:r w:rsidR="00762734">
        <w:rPr>
          <w:rFonts w:ascii="Tahoma" w:hAnsi="Tahoma"/>
          <w:sz w:val="18"/>
        </w:rPr>
        <w:t>ā</w:t>
      </w:r>
      <w:r w:rsidRPr="00907EAA">
        <w:rPr>
          <w:rFonts w:ascii="Tahoma" w:hAnsi="Tahoma"/>
          <w:sz w:val="18"/>
        </w:rPr>
        <w:t xml:space="preserve">m diagnostiskas </w:t>
      </w:r>
      <w:r w:rsidR="00762734">
        <w:rPr>
          <w:rFonts w:ascii="Tahoma" w:hAnsi="Tahoma"/>
          <w:sz w:val="18"/>
        </w:rPr>
        <w:t>metodēm</w:t>
      </w:r>
      <w:r w:rsidRPr="00907EAA" w:rsidR="00762734">
        <w:rPr>
          <w:rFonts w:ascii="Tahoma" w:hAnsi="Tahoma"/>
          <w:sz w:val="18"/>
        </w:rPr>
        <w:t xml:space="preserve"> </w:t>
      </w:r>
      <w:r w:rsidRPr="00907EAA">
        <w:rPr>
          <w:rFonts w:ascii="Tahoma" w:hAnsi="Tahoma"/>
          <w:sz w:val="18"/>
        </w:rPr>
        <w:t xml:space="preserve">[2] un papildus jāveic </w:t>
      </w:r>
      <w:r w:rsidR="00762734">
        <w:rPr>
          <w:rFonts w:ascii="Tahoma" w:hAnsi="Tahoma"/>
          <w:sz w:val="18"/>
        </w:rPr>
        <w:t>attēldiagnostikas</w:t>
      </w:r>
      <w:r w:rsidRPr="00907EAA" w:rsidR="00762734">
        <w:rPr>
          <w:rFonts w:ascii="Tahoma" w:hAnsi="Tahoma"/>
          <w:sz w:val="18"/>
        </w:rPr>
        <w:t xml:space="preserve"> </w:t>
      </w:r>
      <w:r w:rsidRPr="00907EAA">
        <w:rPr>
          <w:rFonts w:ascii="Tahoma" w:hAnsi="Tahoma"/>
          <w:sz w:val="18"/>
        </w:rPr>
        <w:t xml:space="preserve">izmeklējumi (radioloģija, ultrasonogrāfija, datortomogrāfija, </w:t>
      </w:r>
      <w:r w:rsidR="00762734">
        <w:rPr>
          <w:rFonts w:ascii="Tahoma" w:hAnsi="Tahoma"/>
          <w:sz w:val="18"/>
        </w:rPr>
        <w:t>kodol</w:t>
      </w:r>
      <w:r w:rsidRPr="00907EAA">
        <w:rPr>
          <w:rFonts w:ascii="Tahoma" w:hAnsi="Tahoma"/>
          <w:sz w:val="18"/>
        </w:rPr>
        <w:t>magnētiskā</w:t>
      </w:r>
      <w:r w:rsidRPr="00907EAA">
        <w:rPr>
          <w:rFonts w:ascii="Tahoma" w:hAnsi="Tahoma"/>
          <w:sz w:val="18"/>
        </w:rPr>
        <w:t xml:space="preserve"> rezonanse</w:t>
      </w:r>
      <w:r w:rsidRPr="00907EAA">
        <w:rPr>
          <w:rFonts w:ascii="Tahoma" w:hAnsi="Tahoma"/>
          <w:sz w:val="18"/>
        </w:rPr>
        <w:t>, pozitronu emisijas tomogrāfija/datortomogrāfija) un citi nepieciešamie izmeklējumi atbilstoši pierādījumos balstītām vadlīnijām [2–4].</w:t>
      </w:r>
    </w:p>
    <w:p w:rsidR="00DA3A70" w:rsidRPr="00907EAA" w:rsidP="0028467E">
      <w:pPr>
        <w:spacing w:after="120"/>
        <w:rPr>
          <w:rFonts w:ascii="Tahoma" w:hAnsi="Tahoma" w:cs="Tahoma"/>
          <w:sz w:val="18"/>
          <w:szCs w:val="18"/>
        </w:rPr>
      </w:pPr>
      <w:r w:rsidRPr="00907EAA">
        <w:rPr>
          <w:rFonts w:ascii="Tahoma" w:hAnsi="Tahoma"/>
          <w:sz w:val="18"/>
        </w:rPr>
        <w:t xml:space="preserve">PVO ieteiktie ātrie molekulārie testi [5], uzsējums un </w:t>
      </w:r>
      <w:r w:rsidRPr="00741BAA" w:rsidR="00741BAA">
        <w:rPr>
          <w:rFonts w:ascii="Tahoma" w:hAnsi="Tahoma"/>
          <w:sz w:val="18"/>
        </w:rPr>
        <w:t>ZJT</w:t>
      </w:r>
      <w:r w:rsidRPr="00907EAA" w:rsidR="00762734">
        <w:rPr>
          <w:rFonts w:ascii="Tahoma" w:hAnsi="Tahoma"/>
          <w:sz w:val="18"/>
        </w:rPr>
        <w:t xml:space="preserve"> </w:t>
      </w:r>
      <w:r w:rsidRPr="00907EAA">
        <w:rPr>
          <w:rFonts w:ascii="Tahoma" w:hAnsi="Tahoma"/>
          <w:sz w:val="18"/>
        </w:rPr>
        <w:t>jāveic katram paraugam no pacientiem ar iespējamu plaušu vai ārpusplaušu tuberkulozi, tostarp paraugiem, kas iegūti ķirurģiskas operācijas vai citas invazīvas procedūras laikā un kam parasti veic histoloģisko izmeklēšanu. Tāpēc ķirurgi ir jāinformē, ka bio</w:t>
      </w:r>
      <w:r w:rsidRPr="00907EAA">
        <w:rPr>
          <w:rFonts w:ascii="Tahoma" w:hAnsi="Tahoma"/>
          <w:sz w:val="18"/>
        </w:rPr>
        <w:t>loģiskie paraugi jāsaglabā parastā fizioloģiskā šķīdumā mikrobioloģijas un molekulārās bioloģijas izmeklējumiem, bet formalīnā – histo</w:t>
      </w:r>
      <w:r w:rsidRPr="00907EAA">
        <w:rPr>
          <w:rFonts w:ascii="Tahoma" w:hAnsi="Tahoma"/>
          <w:sz w:val="18"/>
        </w:rPr>
        <w:t>pato</w:t>
      </w:r>
      <w:r w:rsidRPr="00907EAA">
        <w:rPr>
          <w:rFonts w:ascii="Tahoma" w:hAnsi="Tahoma"/>
          <w:sz w:val="18"/>
        </w:rPr>
        <w:t>loģijas izmeklējumiem.</w:t>
      </w:r>
    </w:p>
    <w:p w:rsidR="00DA3A70" w:rsidRPr="00907EAA" w:rsidP="008A39C9">
      <w:pPr>
        <w:shd w:val="clear" w:color="auto" w:fill="D9D9D9"/>
        <w:autoSpaceDE w:val="0"/>
        <w:autoSpaceDN w:val="0"/>
        <w:adjustRightInd w:val="0"/>
        <w:spacing w:after="0"/>
        <w:jc w:val="both"/>
        <w:rPr>
          <w:rFonts w:ascii="Tahoma" w:hAnsi="Tahoma" w:cs="Tahoma"/>
          <w:sz w:val="24"/>
          <w:szCs w:val="24"/>
        </w:rPr>
      </w:pPr>
      <w:r w:rsidRPr="00907EAA">
        <w:rPr>
          <w:rFonts w:ascii="Tahoma" w:hAnsi="Tahoma"/>
          <w:b/>
          <w:sz w:val="24"/>
        </w:rPr>
        <w:t>6. standarts</w:t>
      </w:r>
    </w:p>
    <w:p w:rsidR="00D830C5" w:rsidRPr="00907EAA" w:rsidP="000D0DB0">
      <w:pPr>
        <w:spacing w:after="120"/>
        <w:rPr>
          <w:rFonts w:ascii="Tahoma" w:hAnsi="Tahoma" w:cs="Tahoma"/>
          <w:spacing w:val="-4"/>
          <w:sz w:val="18"/>
          <w:szCs w:val="18"/>
        </w:rPr>
      </w:pPr>
      <w:r w:rsidRPr="00907EAA">
        <w:rPr>
          <w:rFonts w:ascii="Tahoma" w:hAnsi="Tahoma"/>
          <w:spacing w:val="-4"/>
          <w:sz w:val="18"/>
        </w:rPr>
        <w:t>Visos gadījumos, kad ir aizdomas par intratorakālu tuberkulozi (tas ir, plaušu, pl</w:t>
      </w:r>
      <w:r w:rsidRPr="00907EAA">
        <w:rPr>
          <w:rFonts w:ascii="Tahoma" w:hAnsi="Tahoma"/>
          <w:spacing w:val="-4"/>
          <w:sz w:val="18"/>
        </w:rPr>
        <w:t xml:space="preserve">eiras un videnes vai plaušu </w:t>
      </w:r>
      <w:r w:rsidR="00B944A0">
        <w:rPr>
          <w:rFonts w:ascii="Tahoma" w:hAnsi="Tahoma"/>
          <w:spacing w:val="-4"/>
          <w:sz w:val="18"/>
        </w:rPr>
        <w:t>sakņu</w:t>
      </w:r>
      <w:r w:rsidRPr="00907EAA" w:rsidR="00B944A0">
        <w:rPr>
          <w:rFonts w:ascii="Tahoma" w:hAnsi="Tahoma"/>
          <w:spacing w:val="-4"/>
          <w:sz w:val="18"/>
        </w:rPr>
        <w:t xml:space="preserve"> </w:t>
      </w:r>
      <w:r w:rsidRPr="00907EAA">
        <w:rPr>
          <w:rFonts w:ascii="Tahoma" w:hAnsi="Tahoma"/>
          <w:spacing w:val="-4"/>
          <w:sz w:val="18"/>
        </w:rPr>
        <w:t>limfmezglu tuberkulozi) bērnam, jāmēģina apstiprināt diagnozi bakterioloģiski, attiecīgos bioloģiskos paraugus (atklepotas vai inducētas krēpas, bronhu sekrētus, pleiras šķidrumu, paraugus, kas iegūti ar kuņģa skaloš</w:t>
      </w:r>
      <w:r w:rsidRPr="00907EAA">
        <w:rPr>
          <w:rFonts w:ascii="Tahoma" w:hAnsi="Tahoma"/>
          <w:spacing w:val="-4"/>
          <w:sz w:val="18"/>
        </w:rPr>
        <w:t xml:space="preserve">anu vai endoskopisku biopsiju ultrasonogrāfiskā kontrolē) pārbaudot ar </w:t>
      </w:r>
      <w:r w:rsidR="00676442">
        <w:rPr>
          <w:rFonts w:ascii="Tahoma" w:hAnsi="Tahoma"/>
          <w:spacing w:val="-4"/>
          <w:sz w:val="18"/>
        </w:rPr>
        <w:t>i</w:t>
      </w:r>
      <w:r w:rsidRPr="00907EAA">
        <w:rPr>
          <w:rFonts w:ascii="Tahoma" w:hAnsi="Tahoma"/>
          <w:spacing w:val="-4"/>
          <w:sz w:val="18"/>
        </w:rPr>
        <w:t xml:space="preserve">ztriepju mikroskopisku izmeklēšanu, ātrajiem molekulārajiem testiem, sugu identificēšanu un </w:t>
      </w:r>
      <w:r w:rsidRPr="00741BAA" w:rsidR="00741BAA">
        <w:rPr>
          <w:rFonts w:ascii="Tahoma" w:hAnsi="Tahoma"/>
          <w:spacing w:val="-4"/>
          <w:sz w:val="18"/>
        </w:rPr>
        <w:t>ZJT</w:t>
      </w:r>
      <w:r w:rsidRPr="00907EAA" w:rsidR="00B944A0">
        <w:rPr>
          <w:rFonts w:ascii="Tahoma" w:hAnsi="Tahoma"/>
          <w:spacing w:val="-4"/>
          <w:sz w:val="18"/>
        </w:rPr>
        <w:t xml:space="preserve"> </w:t>
      </w:r>
      <w:r w:rsidRPr="00907EAA">
        <w:rPr>
          <w:rFonts w:ascii="Tahoma" w:hAnsi="Tahoma"/>
          <w:spacing w:val="-4"/>
          <w:sz w:val="18"/>
        </w:rPr>
        <w:t xml:space="preserve">ar uzsējuma metodēm apstiprinātas kvalitātes laboratorijā [3, 5–9]. Ja bakterioloģiskie rezultāti ir negatīvi, tuberkulozes diagnoze </w:t>
      </w:r>
      <w:r w:rsidR="00B523B9">
        <w:rPr>
          <w:rFonts w:ascii="Tahoma" w:hAnsi="Tahoma"/>
          <w:spacing w:val="-4"/>
          <w:sz w:val="18"/>
        </w:rPr>
        <w:t>jā</w:t>
      </w:r>
      <w:r w:rsidR="00B80A67">
        <w:rPr>
          <w:rFonts w:ascii="Tahoma" w:hAnsi="Tahoma"/>
          <w:spacing w:val="-4"/>
          <w:sz w:val="18"/>
        </w:rPr>
        <w:t xml:space="preserve">balsta uz </w:t>
      </w:r>
      <w:r w:rsidRPr="00907EAA">
        <w:rPr>
          <w:rFonts w:ascii="Tahoma" w:hAnsi="Tahoma"/>
          <w:spacing w:val="-4"/>
          <w:sz w:val="18"/>
        </w:rPr>
        <w:t xml:space="preserve">tuberkulozei atbilstošām </w:t>
      </w:r>
      <w:r w:rsidR="00B944A0">
        <w:rPr>
          <w:rFonts w:ascii="Tahoma" w:hAnsi="Tahoma"/>
          <w:spacing w:val="-4"/>
          <w:sz w:val="18"/>
        </w:rPr>
        <w:t>izmaiņām</w:t>
      </w:r>
      <w:r w:rsidRPr="00907EAA" w:rsidR="00B944A0">
        <w:rPr>
          <w:rFonts w:ascii="Tahoma" w:hAnsi="Tahoma"/>
          <w:spacing w:val="-4"/>
          <w:sz w:val="18"/>
        </w:rPr>
        <w:t xml:space="preserve"> </w:t>
      </w:r>
      <w:r w:rsidRPr="00907EAA">
        <w:rPr>
          <w:rFonts w:ascii="Tahoma" w:hAnsi="Tahoma"/>
          <w:spacing w:val="-4"/>
          <w:sz w:val="18"/>
        </w:rPr>
        <w:t>krūškurvja radio</w:t>
      </w:r>
      <w:r w:rsidR="00321B92">
        <w:rPr>
          <w:rFonts w:ascii="Tahoma" w:hAnsi="Tahoma"/>
          <w:spacing w:val="-4"/>
          <w:sz w:val="18"/>
        </w:rPr>
        <w:t>grāfijā</w:t>
      </w:r>
      <w:r w:rsidRPr="00907EAA">
        <w:rPr>
          <w:rFonts w:ascii="Tahoma" w:hAnsi="Tahoma"/>
          <w:spacing w:val="-4"/>
          <w:sz w:val="18"/>
        </w:rPr>
        <w:t xml:space="preserve"> </w:t>
      </w:r>
      <w:r w:rsidRPr="00907EAA">
        <w:rPr>
          <w:rFonts w:ascii="Tahoma" w:hAnsi="Tahoma"/>
          <w:spacing w:val="-4"/>
          <w:sz w:val="18"/>
        </w:rPr>
        <w:t xml:space="preserve">vai citos </w:t>
      </w:r>
      <w:r w:rsidR="00B944A0">
        <w:rPr>
          <w:rFonts w:ascii="Tahoma" w:hAnsi="Tahoma"/>
          <w:spacing w:val="-4"/>
          <w:sz w:val="18"/>
        </w:rPr>
        <w:t>attēldiagnostikas</w:t>
      </w:r>
      <w:r w:rsidRPr="00907EAA" w:rsidR="00B944A0">
        <w:rPr>
          <w:rFonts w:ascii="Tahoma" w:hAnsi="Tahoma"/>
          <w:spacing w:val="-4"/>
          <w:sz w:val="18"/>
        </w:rPr>
        <w:t xml:space="preserve"> </w:t>
      </w:r>
      <w:r w:rsidRPr="00907EAA">
        <w:rPr>
          <w:rFonts w:ascii="Tahoma" w:hAnsi="Tahoma"/>
          <w:spacing w:val="-4"/>
          <w:sz w:val="18"/>
        </w:rPr>
        <w:t xml:space="preserve">izmeklējumos, iepriekšēju </w:t>
      </w:r>
      <w:r w:rsidR="00B944A0">
        <w:rPr>
          <w:rFonts w:ascii="Tahoma" w:hAnsi="Tahoma"/>
          <w:spacing w:val="-4"/>
          <w:sz w:val="18"/>
        </w:rPr>
        <w:t>kontaktu</w:t>
      </w:r>
      <w:r w:rsidRPr="00907EAA" w:rsidR="00B944A0">
        <w:rPr>
          <w:rFonts w:ascii="Tahoma" w:hAnsi="Tahoma"/>
          <w:spacing w:val="-4"/>
          <w:sz w:val="18"/>
        </w:rPr>
        <w:t xml:space="preserve"> </w:t>
      </w:r>
      <w:r w:rsidRPr="00907EAA">
        <w:rPr>
          <w:rFonts w:ascii="Tahoma" w:hAnsi="Tahoma"/>
          <w:spacing w:val="-4"/>
          <w:sz w:val="18"/>
        </w:rPr>
        <w:t xml:space="preserve">ar infekciozu </w:t>
      </w:r>
      <w:r w:rsidR="00676442">
        <w:rPr>
          <w:rFonts w:ascii="Tahoma" w:hAnsi="Tahoma"/>
          <w:spacing w:val="-4"/>
          <w:sz w:val="18"/>
        </w:rPr>
        <w:t>pacientu</w:t>
      </w:r>
      <w:r w:rsidRPr="00907EAA">
        <w:rPr>
          <w:rFonts w:ascii="Tahoma" w:hAnsi="Tahoma"/>
          <w:spacing w:val="-4"/>
          <w:sz w:val="18"/>
        </w:rPr>
        <w:t>, pierādījumiem par tuberkulozes infekciju (pozitīv</w:t>
      </w:r>
      <w:r w:rsidR="00676442">
        <w:rPr>
          <w:rFonts w:ascii="Tahoma" w:hAnsi="Tahoma"/>
          <w:spacing w:val="-4"/>
          <w:sz w:val="18"/>
        </w:rPr>
        <w:t>s</w:t>
      </w:r>
      <w:r w:rsidR="002A4CBA">
        <w:rPr>
          <w:rFonts w:ascii="Tahoma" w:hAnsi="Tahoma"/>
          <w:spacing w:val="-4"/>
          <w:sz w:val="18"/>
        </w:rPr>
        <w:t xml:space="preserve"> </w:t>
      </w:r>
      <w:r w:rsidRPr="00907EAA">
        <w:rPr>
          <w:rFonts w:ascii="Tahoma" w:hAnsi="Tahoma"/>
          <w:spacing w:val="-4"/>
          <w:sz w:val="18"/>
        </w:rPr>
        <w:t>tuberkulīna</w:t>
      </w:r>
      <w:r w:rsidRPr="00907EAA">
        <w:rPr>
          <w:rFonts w:ascii="Tahoma" w:hAnsi="Tahoma"/>
          <w:spacing w:val="-4"/>
          <w:sz w:val="18"/>
        </w:rPr>
        <w:t xml:space="preserve"> ādas test</w:t>
      </w:r>
      <w:r w:rsidR="00676442">
        <w:rPr>
          <w:rFonts w:ascii="Tahoma" w:hAnsi="Tahoma"/>
          <w:spacing w:val="-4"/>
          <w:sz w:val="18"/>
        </w:rPr>
        <w:t>s</w:t>
      </w:r>
      <w:r w:rsidRPr="00907EAA">
        <w:rPr>
          <w:rFonts w:ascii="Tahoma" w:hAnsi="Tahoma"/>
          <w:spacing w:val="-4"/>
          <w:sz w:val="18"/>
        </w:rPr>
        <w:t xml:space="preserve"> (</w:t>
      </w:r>
      <w:r w:rsidRPr="00907EAA">
        <w:rPr>
          <w:rFonts w:ascii="Tahoma" w:hAnsi="Tahoma"/>
          <w:i/>
          <w:spacing w:val="-4"/>
          <w:sz w:val="18"/>
        </w:rPr>
        <w:t>TST</w:t>
      </w:r>
      <w:r w:rsidRPr="00907EAA">
        <w:rPr>
          <w:rFonts w:ascii="Tahoma" w:hAnsi="Tahoma"/>
          <w:spacing w:val="-4"/>
          <w:sz w:val="18"/>
        </w:rPr>
        <w:t>) un/vai pozitīv</w:t>
      </w:r>
      <w:r w:rsidR="00676442">
        <w:rPr>
          <w:rFonts w:ascii="Tahoma" w:hAnsi="Tahoma"/>
          <w:spacing w:val="-4"/>
          <w:sz w:val="18"/>
        </w:rPr>
        <w:t>s</w:t>
      </w:r>
      <w:r w:rsidRPr="00907EAA">
        <w:rPr>
          <w:rFonts w:ascii="Tahoma" w:hAnsi="Tahoma"/>
          <w:spacing w:val="-4"/>
          <w:sz w:val="18"/>
        </w:rPr>
        <w:t xml:space="preserve"> interferona-gamma izdales test</w:t>
      </w:r>
      <w:r w:rsidR="00676442">
        <w:rPr>
          <w:rFonts w:ascii="Tahoma" w:hAnsi="Tahoma"/>
          <w:spacing w:val="-4"/>
          <w:sz w:val="18"/>
        </w:rPr>
        <w:t>s</w:t>
      </w:r>
      <w:r w:rsidRPr="00907EAA">
        <w:rPr>
          <w:rFonts w:ascii="Tahoma" w:hAnsi="Tahoma"/>
          <w:spacing w:val="-4"/>
          <w:sz w:val="18"/>
        </w:rPr>
        <w:t xml:space="preserve"> (</w:t>
      </w:r>
      <w:r w:rsidRPr="00907EAA">
        <w:rPr>
          <w:rFonts w:ascii="Tahoma" w:hAnsi="Tahoma"/>
          <w:i/>
          <w:spacing w:val="-4"/>
          <w:sz w:val="18"/>
        </w:rPr>
        <w:t>IGRA</w:t>
      </w:r>
      <w:r w:rsidRPr="00907EAA">
        <w:rPr>
          <w:rFonts w:ascii="Tahoma" w:hAnsi="Tahoma"/>
          <w:spacing w:val="-4"/>
          <w:sz w:val="18"/>
        </w:rPr>
        <w:t xml:space="preserve">)) [5, 10–13] un/vai klīniskajām atradēm, kas liecina par tuberkulozi [3]. Ja ir aizdomas par ārpusplaušu tuberkulozi bērniem, jāiegūst attiecīgi paraugi no infekcijā varbūtēji iesaistītajām ķermeņa vietām un tiem jāveic mikroskopiski izmeklējumi, </w:t>
      </w:r>
      <w:r w:rsidRPr="00907EAA">
        <w:rPr>
          <w:rFonts w:ascii="Tahoma" w:hAnsi="Tahoma"/>
          <w:spacing w:val="-4"/>
          <w:sz w:val="18"/>
        </w:rPr>
        <w:t>ieteikti</w:t>
      </w:r>
      <w:r w:rsidRPr="00907EAA">
        <w:rPr>
          <w:rFonts w:ascii="Tahoma" w:hAnsi="Tahoma"/>
          <w:spacing w:val="-4"/>
          <w:sz w:val="18"/>
        </w:rPr>
        <w:t xml:space="preserve">e ātrie molekulārie testi, sugu identificēšana un </w:t>
      </w:r>
      <w:r w:rsidRPr="00741BAA" w:rsidR="00741BAA">
        <w:rPr>
          <w:rFonts w:ascii="Tahoma" w:hAnsi="Tahoma"/>
          <w:spacing w:val="-4"/>
          <w:sz w:val="18"/>
        </w:rPr>
        <w:t>ZJT</w:t>
      </w:r>
      <w:r w:rsidRPr="00907EAA" w:rsidR="00B944A0">
        <w:rPr>
          <w:rFonts w:ascii="Tahoma" w:hAnsi="Tahoma"/>
          <w:spacing w:val="-4"/>
          <w:sz w:val="18"/>
        </w:rPr>
        <w:t xml:space="preserve"> </w:t>
      </w:r>
      <w:r w:rsidRPr="00907EAA">
        <w:rPr>
          <w:rFonts w:ascii="Tahoma" w:hAnsi="Tahoma"/>
          <w:spacing w:val="-4"/>
          <w:sz w:val="18"/>
        </w:rPr>
        <w:t>ar uzsējumu metodēm, kā arī histo</w:t>
      </w:r>
      <w:r w:rsidRPr="00907EAA">
        <w:rPr>
          <w:rFonts w:ascii="Tahoma" w:hAnsi="Tahoma"/>
          <w:spacing w:val="-4"/>
          <w:sz w:val="18"/>
        </w:rPr>
        <w:t>pato</w:t>
      </w:r>
      <w:r w:rsidRPr="00907EAA">
        <w:rPr>
          <w:rFonts w:ascii="Tahoma" w:hAnsi="Tahoma"/>
          <w:spacing w:val="-4"/>
          <w:sz w:val="18"/>
        </w:rPr>
        <w:t>loģiskā izmeklēšana [5, 14, 15].</w:t>
      </w:r>
    </w:p>
    <w:p w:rsidR="00D830C5" w:rsidRPr="00907EAA" w:rsidP="0028467E">
      <w:pPr>
        <w:pStyle w:val="EC-Title-5"/>
        <w:spacing w:before="120" w:after="240"/>
      </w:pPr>
      <w:r w:rsidRPr="00907EAA">
        <w:t>Tuberkulozes ārstēšanas standarti</w:t>
      </w:r>
    </w:p>
    <w:p w:rsidR="00DA3A70" w:rsidRPr="00907EAA" w:rsidP="00A82B43">
      <w:pPr>
        <w:shd w:val="clear" w:color="auto" w:fill="D9D9D9"/>
        <w:autoSpaceDE w:val="0"/>
        <w:autoSpaceDN w:val="0"/>
        <w:adjustRightInd w:val="0"/>
        <w:spacing w:after="0"/>
        <w:jc w:val="both"/>
        <w:rPr>
          <w:rFonts w:ascii="Tahoma" w:hAnsi="Tahoma" w:cs="Tahoma"/>
          <w:b/>
          <w:bCs/>
          <w:i/>
          <w:sz w:val="24"/>
          <w:szCs w:val="24"/>
        </w:rPr>
      </w:pPr>
      <w:r w:rsidRPr="00907EAA">
        <w:rPr>
          <w:rFonts w:ascii="Tahoma" w:hAnsi="Tahoma"/>
          <w:b/>
          <w:sz w:val="24"/>
        </w:rPr>
        <w:t>7. standarts</w:t>
      </w:r>
    </w:p>
    <w:p w:rsidR="00DA3A70" w:rsidRPr="00907EAA" w:rsidP="0028467E">
      <w:pPr>
        <w:spacing w:after="120"/>
        <w:rPr>
          <w:rFonts w:ascii="Tahoma" w:hAnsi="Tahoma" w:cs="Tahoma"/>
          <w:sz w:val="18"/>
          <w:szCs w:val="18"/>
        </w:rPr>
      </w:pPr>
      <w:r w:rsidRPr="00907EAA">
        <w:rPr>
          <w:rFonts w:ascii="Tahoma" w:hAnsi="Tahoma"/>
          <w:sz w:val="18"/>
        </w:rPr>
        <w:t xml:space="preserve">Ikviens ārsts, kurš </w:t>
      </w:r>
      <w:r w:rsidRPr="00907EAA">
        <w:rPr>
          <w:rFonts w:ascii="Tahoma" w:hAnsi="Tahoma"/>
          <w:sz w:val="18"/>
        </w:rPr>
        <w:t>ārstē tuberkuloz</w:t>
      </w:r>
      <w:r w:rsidR="00692A8A">
        <w:rPr>
          <w:rFonts w:ascii="Tahoma" w:hAnsi="Tahoma"/>
          <w:sz w:val="18"/>
        </w:rPr>
        <w:t>es pacientu</w:t>
      </w:r>
      <w:r w:rsidRPr="00907EAA">
        <w:rPr>
          <w:rFonts w:ascii="Tahoma" w:hAnsi="Tahoma"/>
          <w:sz w:val="18"/>
        </w:rPr>
        <w:t xml:space="preserve">, uzņemas nozīmīgu atbildību pret sabiedrības veselību, lai nepieļautu infekcijas tālāku </w:t>
      </w:r>
      <w:r w:rsidR="00692A8A">
        <w:rPr>
          <w:rFonts w:ascii="Tahoma" w:hAnsi="Tahoma"/>
          <w:sz w:val="18"/>
        </w:rPr>
        <w:t>izplatīšanos</w:t>
      </w:r>
      <w:r w:rsidRPr="00907EAA" w:rsidR="00692A8A">
        <w:rPr>
          <w:rFonts w:ascii="Tahoma" w:hAnsi="Tahoma"/>
          <w:sz w:val="18"/>
        </w:rPr>
        <w:t xml:space="preserve"> </w:t>
      </w:r>
      <w:r w:rsidRPr="00907EAA">
        <w:rPr>
          <w:rFonts w:ascii="Tahoma" w:hAnsi="Tahoma"/>
          <w:sz w:val="18"/>
        </w:rPr>
        <w:t>un rezistences veidošanos pret zālēm. Lai izpildītu šos pienākumus, ārstam, sadarbojoties ar sabiedrības veselības iestādēm, ir: 1) </w:t>
      </w:r>
      <w:r w:rsidR="00692A8A">
        <w:rPr>
          <w:rFonts w:ascii="Tahoma" w:hAnsi="Tahoma"/>
          <w:sz w:val="18"/>
        </w:rPr>
        <w:t>jānozīmē</w:t>
      </w:r>
      <w:r w:rsidRPr="00907EAA" w:rsidR="00692A8A">
        <w:rPr>
          <w:rFonts w:ascii="Tahoma" w:hAnsi="Tahoma"/>
          <w:sz w:val="18"/>
        </w:rPr>
        <w:t xml:space="preserve"> </w:t>
      </w:r>
      <w:r w:rsidR="00692A8A">
        <w:rPr>
          <w:rFonts w:ascii="Tahoma" w:hAnsi="Tahoma"/>
          <w:sz w:val="18"/>
        </w:rPr>
        <w:t>atbilstošs</w:t>
      </w:r>
      <w:r w:rsidRPr="00907EAA" w:rsidR="00692A8A">
        <w:rPr>
          <w:rFonts w:ascii="Tahoma" w:hAnsi="Tahoma"/>
          <w:sz w:val="18"/>
        </w:rPr>
        <w:t xml:space="preserve"> </w:t>
      </w:r>
      <w:r w:rsidRPr="00907EAA">
        <w:rPr>
          <w:rFonts w:ascii="Tahoma" w:hAnsi="Tahoma"/>
          <w:sz w:val="18"/>
        </w:rPr>
        <w:t>ārstēšanas režīms (pamatojoties uz genoti</w:t>
      </w:r>
      <w:r w:rsidR="00692A8A">
        <w:rPr>
          <w:rFonts w:ascii="Tahoma" w:hAnsi="Tahoma"/>
          <w:sz w:val="18"/>
        </w:rPr>
        <w:t>pisko</w:t>
      </w:r>
      <w:r w:rsidRPr="00907EAA">
        <w:rPr>
          <w:rFonts w:ascii="Tahoma" w:hAnsi="Tahoma"/>
          <w:sz w:val="18"/>
        </w:rPr>
        <w:t xml:space="preserve"> un/</w:t>
      </w:r>
      <w:r w:rsidR="00692A8A">
        <w:rPr>
          <w:rFonts w:ascii="Tahoma" w:hAnsi="Tahoma"/>
          <w:sz w:val="18"/>
        </w:rPr>
        <w:t xml:space="preserve">vai </w:t>
      </w:r>
      <w:r w:rsidRPr="00907EAA">
        <w:rPr>
          <w:rFonts w:ascii="Tahoma" w:hAnsi="Tahoma"/>
          <w:sz w:val="18"/>
        </w:rPr>
        <w:t>fenotip</w:t>
      </w:r>
      <w:r w:rsidR="00692A8A">
        <w:rPr>
          <w:rFonts w:ascii="Tahoma" w:hAnsi="Tahoma"/>
          <w:sz w:val="18"/>
        </w:rPr>
        <w:t>isko</w:t>
      </w:r>
      <w:r w:rsidRPr="00907EAA">
        <w:rPr>
          <w:rFonts w:ascii="Tahoma" w:hAnsi="Tahoma"/>
          <w:sz w:val="18"/>
        </w:rPr>
        <w:t xml:space="preserve"> </w:t>
      </w:r>
      <w:r w:rsidRPr="00741BAA" w:rsidR="00741BAA">
        <w:rPr>
          <w:rFonts w:ascii="Tahoma" w:hAnsi="Tahoma"/>
          <w:sz w:val="18"/>
        </w:rPr>
        <w:t>ZJT</w:t>
      </w:r>
      <w:r w:rsidRPr="00907EAA" w:rsidR="00692A8A">
        <w:rPr>
          <w:rFonts w:ascii="Tahoma" w:hAnsi="Tahoma"/>
          <w:sz w:val="18"/>
        </w:rPr>
        <w:t xml:space="preserve"> </w:t>
      </w:r>
      <w:r w:rsidRPr="00907EAA">
        <w:rPr>
          <w:rFonts w:ascii="Tahoma" w:hAnsi="Tahoma"/>
          <w:sz w:val="18"/>
        </w:rPr>
        <w:t xml:space="preserve">rezultātiem); 2) jāveic </w:t>
      </w:r>
      <w:r w:rsidR="00692A8A">
        <w:rPr>
          <w:rFonts w:ascii="Tahoma" w:hAnsi="Tahoma"/>
          <w:sz w:val="18"/>
        </w:rPr>
        <w:t xml:space="preserve">kontaktpersonu </w:t>
      </w:r>
      <w:r w:rsidRPr="00907EAA">
        <w:rPr>
          <w:rFonts w:ascii="Tahoma" w:hAnsi="Tahoma"/>
          <w:sz w:val="18"/>
        </w:rPr>
        <w:t>izmeklēšana</w:t>
      </w:r>
      <w:r w:rsidRPr="00907EAA">
        <w:rPr>
          <w:rFonts w:ascii="Tahoma" w:hAnsi="Tahoma"/>
          <w:sz w:val="18"/>
        </w:rPr>
        <w:t xml:space="preserve">; 3) jānovērtē un jāveicina pacienta līdzestība ārstēšanai, ievērojot </w:t>
      </w:r>
      <w:r w:rsidRPr="00907EAA">
        <w:rPr>
          <w:rFonts w:ascii="Tahoma" w:hAnsi="Tahoma"/>
          <w:sz w:val="18"/>
        </w:rPr>
        <w:t xml:space="preserve">uz pacientu orientētu pieeju un sadarbojoties ar pacienta ģimenes locekļiem, vietējiem valsts un/vai </w:t>
      </w:r>
      <w:r w:rsidR="00692A8A">
        <w:rPr>
          <w:rFonts w:ascii="Tahoma" w:hAnsi="Tahoma"/>
          <w:sz w:val="18"/>
        </w:rPr>
        <w:t>pašvaldības</w:t>
      </w:r>
      <w:r w:rsidRPr="00907EAA" w:rsidR="00692A8A">
        <w:rPr>
          <w:rFonts w:ascii="Tahoma" w:hAnsi="Tahoma"/>
          <w:sz w:val="18"/>
        </w:rPr>
        <w:t xml:space="preserve"> </w:t>
      </w:r>
      <w:r w:rsidRPr="00907EAA">
        <w:rPr>
          <w:rFonts w:ascii="Tahoma" w:hAnsi="Tahoma"/>
          <w:sz w:val="18"/>
        </w:rPr>
        <w:t>veselības aprūpes dienestiem un pilsoniskās sabiedrības organizācijām, un 4) </w:t>
      </w:r>
      <w:r w:rsidR="001D6BBF">
        <w:rPr>
          <w:rFonts w:ascii="Tahoma" w:hAnsi="Tahoma"/>
          <w:sz w:val="18"/>
        </w:rPr>
        <w:t>jākontrolē</w:t>
      </w:r>
      <w:r w:rsidRPr="00907EAA" w:rsidR="001D6BBF">
        <w:rPr>
          <w:rFonts w:ascii="Tahoma" w:hAnsi="Tahoma"/>
          <w:sz w:val="18"/>
        </w:rPr>
        <w:t xml:space="preserve"> </w:t>
      </w:r>
      <w:r w:rsidRPr="00907EAA">
        <w:rPr>
          <w:rFonts w:ascii="Tahoma" w:hAnsi="Tahoma"/>
          <w:sz w:val="18"/>
        </w:rPr>
        <w:t>ārstēšanas rezultāti [2, 16, 17].</w:t>
      </w:r>
    </w:p>
    <w:p w:rsidR="00DA3A70" w:rsidRPr="00907EAA" w:rsidP="00A82B43">
      <w:pPr>
        <w:shd w:val="clear" w:color="auto" w:fill="D9D9D9"/>
        <w:autoSpaceDE w:val="0"/>
        <w:autoSpaceDN w:val="0"/>
        <w:adjustRightInd w:val="0"/>
        <w:spacing w:after="0"/>
        <w:jc w:val="both"/>
        <w:rPr>
          <w:rFonts w:ascii="Tahoma" w:hAnsi="Tahoma" w:cs="Tahoma"/>
          <w:b/>
          <w:bCs/>
          <w:sz w:val="24"/>
          <w:szCs w:val="24"/>
        </w:rPr>
      </w:pPr>
      <w:r w:rsidRPr="00907EAA">
        <w:rPr>
          <w:rFonts w:ascii="Tahoma" w:hAnsi="Tahoma"/>
          <w:b/>
          <w:sz w:val="24"/>
          <w:shd w:val="clear" w:color="auto" w:fill="D9D9D9"/>
        </w:rPr>
        <w:t>8. standarts</w:t>
      </w:r>
    </w:p>
    <w:p w:rsidR="00DA3A70" w:rsidRPr="00907EAA" w:rsidP="0028467E">
      <w:pPr>
        <w:spacing w:after="120"/>
        <w:rPr>
          <w:rFonts w:ascii="Tahoma" w:hAnsi="Tahoma" w:cs="Tahoma"/>
          <w:sz w:val="18"/>
          <w:szCs w:val="18"/>
        </w:rPr>
      </w:pPr>
      <w:r w:rsidRPr="00907EAA">
        <w:rPr>
          <w:rFonts w:ascii="Tahoma" w:hAnsi="Tahoma"/>
          <w:sz w:val="18"/>
        </w:rPr>
        <w:t xml:space="preserve">Visiem pacientiem (tostarp pacientiem ar HIV </w:t>
      </w:r>
      <w:r w:rsidRPr="00907EAA">
        <w:rPr>
          <w:rFonts w:ascii="Tahoma" w:hAnsi="Tahoma"/>
          <w:sz w:val="18"/>
        </w:rPr>
        <w:t>infekciju), kuri iepriekš nav ārstēti un kuriem nav rezistences pret zālēm (</w:t>
      </w:r>
      <w:r w:rsidR="00A867E4">
        <w:rPr>
          <w:rFonts w:ascii="Tahoma" w:hAnsi="Tahoma"/>
          <w:sz w:val="18"/>
        </w:rPr>
        <w:t xml:space="preserve"> atbilstoši ZJT rezultātiem</w:t>
      </w:r>
      <w:r w:rsidRPr="00907EAA">
        <w:rPr>
          <w:rFonts w:ascii="Tahoma" w:hAnsi="Tahoma"/>
          <w:sz w:val="18"/>
        </w:rPr>
        <w:t>), jāsaņem starptautiski atzīts pirmās rindas ārstēšanas</w:t>
      </w:r>
      <w:r w:rsidRPr="00907EAA">
        <w:rPr>
          <w:rFonts w:ascii="Tahoma" w:hAnsi="Tahoma"/>
          <w:sz w:val="18"/>
        </w:rPr>
        <w:t xml:space="preserve"> režīms ar zināmas biopieejamības zālēm. Sākotnējais posms ietver 2 mēnešus ilgu terapiju ar izoniazīdu (H), rifampicīnu (R), pirazinamīdu (Z) un etambutolu (E). Turpmākais ārstēšanas posms ietver 4 mēnešus ilgu terapiju ar izoniazīdu un rifampicīnu (2HRZE</w:t>
      </w:r>
      <w:r w:rsidRPr="00907EAA">
        <w:rPr>
          <w:rFonts w:ascii="Tahoma" w:hAnsi="Tahoma"/>
          <w:sz w:val="18"/>
        </w:rPr>
        <w:t xml:space="preserve">/4HR). </w:t>
      </w:r>
      <w:r w:rsidRPr="00907EAA">
        <w:rPr>
          <w:rFonts w:ascii="Tahoma" w:hAnsi="Tahoma"/>
          <w:sz w:val="18"/>
        </w:rPr>
        <w:t>Prett</w:t>
      </w:r>
      <w:r w:rsidRPr="00907EAA">
        <w:rPr>
          <w:rFonts w:ascii="Tahoma" w:hAnsi="Tahoma"/>
          <w:sz w:val="18"/>
        </w:rPr>
        <w:t xml:space="preserve">uberkulozes zāļu devām ir jāatbilst starptautiskiem ieteikumiem. Fiksētas devas kombinācijas, kas satur divas (izoniazīdu un rifampicīnu), trīs (izoniazīdu, rifampicīnu un pirazinamīdu) un četras (izoniazīdu, rifampicīnu, pirazinamīdu un </w:t>
      </w:r>
      <w:r w:rsidRPr="00907EAA">
        <w:rPr>
          <w:rFonts w:ascii="Tahoma" w:hAnsi="Tahoma"/>
          <w:sz w:val="18"/>
        </w:rPr>
        <w:t>etambutolu) zāles, var būt ērtāka zāļu lietošanas forma.</w:t>
      </w:r>
    </w:p>
    <w:p w:rsidR="00DA3A70" w:rsidRPr="00907EAA" w:rsidP="00037B0F">
      <w:pPr>
        <w:keepNext/>
        <w:shd w:val="clear" w:color="auto" w:fill="D9D9D9"/>
        <w:autoSpaceDE w:val="0"/>
        <w:autoSpaceDN w:val="0"/>
        <w:adjustRightInd w:val="0"/>
        <w:spacing w:after="0"/>
        <w:jc w:val="both"/>
        <w:rPr>
          <w:rFonts w:ascii="Tahoma" w:hAnsi="Tahoma" w:cs="Tahoma"/>
          <w:b/>
          <w:bCs/>
          <w:i/>
          <w:sz w:val="24"/>
          <w:szCs w:val="24"/>
        </w:rPr>
      </w:pPr>
      <w:r w:rsidRPr="00907EAA">
        <w:rPr>
          <w:rFonts w:ascii="Tahoma" w:hAnsi="Tahoma"/>
          <w:b/>
          <w:sz w:val="24"/>
        </w:rPr>
        <w:t>9. standarts</w:t>
      </w:r>
    </w:p>
    <w:p w:rsidR="00DA3A70" w:rsidRPr="00907EAA" w:rsidP="0028467E">
      <w:pPr>
        <w:spacing w:after="120"/>
        <w:rPr>
          <w:rFonts w:ascii="Tahoma" w:hAnsi="Tahoma" w:cs="Tahoma"/>
          <w:szCs w:val="24"/>
        </w:rPr>
      </w:pPr>
      <w:r w:rsidRPr="00907EAA">
        <w:rPr>
          <w:rFonts w:ascii="Tahoma" w:hAnsi="Tahoma"/>
          <w:sz w:val="18"/>
        </w:rPr>
        <w:t xml:space="preserve">Attiecībā uz visiem pacientiem ir jāievēro uz pacientu orientēta pieeja, kas balstīta uz katra pacienta vajadzībām un savstarpēju cieņu starp pacientu un veselības aprūpes </w:t>
      </w:r>
      <w:r w:rsidR="00561312">
        <w:rPr>
          <w:rFonts w:ascii="Tahoma" w:hAnsi="Tahoma"/>
          <w:sz w:val="18"/>
        </w:rPr>
        <w:t>pakalpojumu</w:t>
      </w:r>
      <w:r w:rsidRPr="00907EAA" w:rsidR="00561312">
        <w:rPr>
          <w:rFonts w:ascii="Tahoma" w:hAnsi="Tahoma"/>
          <w:sz w:val="18"/>
        </w:rPr>
        <w:t xml:space="preserve"> </w:t>
      </w:r>
      <w:r w:rsidRPr="00907EAA">
        <w:rPr>
          <w:rFonts w:ascii="Tahoma" w:hAnsi="Tahoma"/>
          <w:sz w:val="18"/>
        </w:rPr>
        <w:t>sniedzēju.</w:t>
      </w:r>
    </w:p>
    <w:p w:rsidR="00DA3A70" w:rsidRPr="00907EAA" w:rsidP="00A82B43">
      <w:pPr>
        <w:shd w:val="clear" w:color="auto" w:fill="D9D9D9"/>
        <w:autoSpaceDE w:val="0"/>
        <w:autoSpaceDN w:val="0"/>
        <w:adjustRightInd w:val="0"/>
        <w:spacing w:after="0"/>
        <w:jc w:val="both"/>
        <w:rPr>
          <w:rFonts w:ascii="Tahoma" w:hAnsi="Tahoma" w:cs="Tahoma"/>
          <w:b/>
          <w:bCs/>
          <w:sz w:val="24"/>
          <w:szCs w:val="24"/>
        </w:rPr>
      </w:pPr>
      <w:r w:rsidRPr="00907EAA">
        <w:rPr>
          <w:rFonts w:ascii="Tahoma" w:hAnsi="Tahoma"/>
          <w:b/>
          <w:sz w:val="24"/>
        </w:rPr>
        <w:t>10. standarts</w:t>
      </w:r>
    </w:p>
    <w:p w:rsidR="00DA3A70" w:rsidRPr="00907EAA" w:rsidP="000D0DB0">
      <w:pPr>
        <w:spacing w:after="0"/>
        <w:rPr>
          <w:rFonts w:ascii="Tahoma" w:hAnsi="Tahoma" w:cs="Tahoma"/>
          <w:sz w:val="18"/>
          <w:szCs w:val="18"/>
        </w:rPr>
      </w:pPr>
      <w:r w:rsidRPr="00907EAA">
        <w:rPr>
          <w:rFonts w:ascii="Tahoma" w:hAnsi="Tahoma"/>
          <w:sz w:val="18"/>
        </w:rPr>
        <w:t xml:space="preserve">Plaušu tuberkulozes pacientu atbildes reakcija uz ārstēšanu ir jākontrolē ar turpmāku </w:t>
      </w:r>
      <w:r w:rsidR="00621A77">
        <w:rPr>
          <w:rFonts w:ascii="Tahoma" w:hAnsi="Tahoma"/>
          <w:sz w:val="18"/>
        </w:rPr>
        <w:t>i</w:t>
      </w:r>
      <w:r w:rsidRPr="00907EAA">
        <w:rPr>
          <w:rFonts w:ascii="Tahoma" w:hAnsi="Tahoma"/>
          <w:sz w:val="18"/>
        </w:rPr>
        <w:t>ztriepju mikroskopisko izmeklēšanu un uzsējumiem, ko veic vismaz pēc ārstēšanas sākotnējā posma beigām (kas ir divi mēneši, ja tuberkuloze ir j</w:t>
      </w:r>
      <w:r w:rsidRPr="00907EAA">
        <w:rPr>
          <w:rFonts w:ascii="Tahoma" w:hAnsi="Tahoma"/>
          <w:sz w:val="18"/>
        </w:rPr>
        <w:t xml:space="preserve">utīga pret zālēm). Ja krēpu </w:t>
      </w:r>
      <w:r w:rsidR="00CE2AB1">
        <w:rPr>
          <w:rFonts w:ascii="Tahoma" w:hAnsi="Tahoma"/>
          <w:sz w:val="18"/>
        </w:rPr>
        <w:t>i</w:t>
      </w:r>
      <w:r w:rsidRPr="00907EAA">
        <w:rPr>
          <w:rFonts w:ascii="Tahoma" w:hAnsi="Tahoma"/>
          <w:sz w:val="18"/>
        </w:rPr>
        <w:t xml:space="preserve">ztriepes un/vai uzsējuma tests pēc pirmā posma beigām ir pozitīvs, nekavējoties jāveic zāļu rezistences molekulārie testi un citi </w:t>
      </w:r>
      <w:r w:rsidRPr="00741BAA" w:rsidR="00741BAA">
        <w:rPr>
          <w:rFonts w:ascii="Tahoma" w:hAnsi="Tahoma"/>
          <w:sz w:val="18"/>
        </w:rPr>
        <w:t>ZJT</w:t>
      </w:r>
      <w:r w:rsidRPr="00907EAA">
        <w:rPr>
          <w:rFonts w:ascii="Tahoma" w:hAnsi="Tahoma"/>
          <w:sz w:val="18"/>
        </w:rPr>
        <w:t>. Pacientiem ar ārpusplaušu</w:t>
      </w:r>
      <w:r w:rsidRPr="00907EAA">
        <w:rPr>
          <w:rFonts w:ascii="Tahoma" w:hAnsi="Tahoma"/>
          <w:sz w:val="18"/>
        </w:rPr>
        <w:t xml:space="preserve"> tuberkulozi un bērniem, kuri neatklepo krēpas, klīniskā reakcija uz ārstēšanu ir jānovērtē objektīvi (svars, iekaisuma marķieri un atkārtotas </w:t>
      </w:r>
      <w:r w:rsidR="006627DE">
        <w:rPr>
          <w:rFonts w:ascii="Tahoma" w:hAnsi="Tahoma"/>
          <w:sz w:val="18"/>
        </w:rPr>
        <w:t>attēldiagnostikas</w:t>
      </w:r>
      <w:r w:rsidRPr="00907EAA" w:rsidR="006627DE">
        <w:rPr>
          <w:rFonts w:ascii="Tahoma" w:hAnsi="Tahoma"/>
          <w:sz w:val="18"/>
        </w:rPr>
        <w:t xml:space="preserve"> </w:t>
      </w:r>
      <w:r w:rsidRPr="00907EAA">
        <w:rPr>
          <w:rFonts w:ascii="Tahoma" w:hAnsi="Tahoma"/>
          <w:sz w:val="18"/>
        </w:rPr>
        <w:t>rezultāti).</w:t>
      </w:r>
    </w:p>
    <w:p w:rsidR="003663F5" w:rsidRPr="00907EAA" w:rsidP="003663F5">
      <w:pPr>
        <w:pStyle w:val="EC-Title-6"/>
      </w:pPr>
      <w:r w:rsidRPr="00907EAA">
        <w:t>ES specifiskās prasības</w:t>
      </w:r>
    </w:p>
    <w:p w:rsidR="00DA3A70" w:rsidRPr="00907EAA" w:rsidP="0028467E">
      <w:pPr>
        <w:spacing w:after="120"/>
        <w:rPr>
          <w:rFonts w:ascii="Tahoma" w:hAnsi="Tahoma" w:cs="Tahoma"/>
          <w:spacing w:val="-2"/>
          <w:sz w:val="18"/>
          <w:szCs w:val="18"/>
        </w:rPr>
      </w:pPr>
      <w:r w:rsidRPr="00907EAA">
        <w:rPr>
          <w:rFonts w:ascii="Tahoma" w:hAnsi="Tahoma"/>
          <w:spacing w:val="-2"/>
          <w:sz w:val="18"/>
        </w:rPr>
        <w:t>Ārstēšana ir jā</w:t>
      </w:r>
      <w:r w:rsidR="00621A77">
        <w:rPr>
          <w:rFonts w:ascii="Tahoma" w:hAnsi="Tahoma"/>
          <w:spacing w:val="-2"/>
          <w:sz w:val="18"/>
        </w:rPr>
        <w:t>uzrauga</w:t>
      </w:r>
      <w:r w:rsidRPr="00907EAA">
        <w:rPr>
          <w:rFonts w:ascii="Tahoma" w:hAnsi="Tahoma"/>
          <w:spacing w:val="-2"/>
          <w:sz w:val="18"/>
        </w:rPr>
        <w:t xml:space="preserve"> saskaņā ar st</w:t>
      </w:r>
      <w:r w:rsidRPr="00907EAA">
        <w:rPr>
          <w:rFonts w:ascii="Tahoma" w:hAnsi="Tahoma"/>
          <w:spacing w:val="-2"/>
          <w:sz w:val="18"/>
        </w:rPr>
        <w:t xml:space="preserve">arptautiskajām vadlīnijām [2, 3, 6–8, 18–20]. ES valstīm ir resursi, kas ļauj katru mēnesi veikt ārstēšanas </w:t>
      </w:r>
      <w:r w:rsidR="00621A77">
        <w:rPr>
          <w:rFonts w:ascii="Tahoma" w:hAnsi="Tahoma"/>
          <w:spacing w:val="-2"/>
          <w:sz w:val="18"/>
        </w:rPr>
        <w:t>uzraudzību</w:t>
      </w:r>
      <w:r w:rsidRPr="00907EAA">
        <w:rPr>
          <w:rFonts w:ascii="Tahoma" w:hAnsi="Tahoma"/>
          <w:spacing w:val="-2"/>
          <w:sz w:val="18"/>
        </w:rPr>
        <w:t>.</w:t>
      </w:r>
      <w:r w:rsidR="002A4CBA">
        <w:rPr>
          <w:rFonts w:ascii="Tahoma" w:hAnsi="Tahoma"/>
          <w:spacing w:val="-2"/>
          <w:sz w:val="18"/>
        </w:rPr>
        <w:t xml:space="preserve"> </w:t>
      </w:r>
      <w:r w:rsidR="0061152B">
        <w:rPr>
          <w:rFonts w:ascii="Tahoma" w:hAnsi="Tahoma"/>
          <w:spacing w:val="-2"/>
          <w:sz w:val="18"/>
        </w:rPr>
        <w:t>Multi</w:t>
      </w:r>
      <w:r w:rsidRPr="00907EAA">
        <w:rPr>
          <w:rFonts w:ascii="Tahoma" w:hAnsi="Tahoma"/>
          <w:spacing w:val="-2"/>
          <w:sz w:val="18"/>
        </w:rPr>
        <w:t>rezistentas tuberkulozes (</w:t>
      </w:r>
      <w:r w:rsidRPr="00907EAA">
        <w:rPr>
          <w:rFonts w:ascii="Tahoma" w:hAnsi="Tahoma"/>
          <w:i/>
          <w:spacing w:val="-2"/>
          <w:sz w:val="18"/>
        </w:rPr>
        <w:t>M</w:t>
      </w:r>
      <w:r w:rsidRPr="00907EAA">
        <w:rPr>
          <w:rFonts w:ascii="Tahoma" w:hAnsi="Tahoma"/>
          <w:i/>
          <w:spacing w:val="-2"/>
          <w:sz w:val="18"/>
        </w:rPr>
        <w:t>R-TB</w:t>
      </w:r>
      <w:r w:rsidRPr="00907EAA">
        <w:rPr>
          <w:rFonts w:ascii="Tahoma" w:hAnsi="Tahoma"/>
          <w:spacing w:val="-2"/>
          <w:sz w:val="18"/>
        </w:rPr>
        <w:t xml:space="preserve">) gadījumā ikmēneša novērošana ir jābalsta uz krēpu </w:t>
      </w:r>
      <w:r w:rsidR="00621A77">
        <w:rPr>
          <w:rFonts w:ascii="Tahoma" w:hAnsi="Tahoma"/>
          <w:spacing w:val="-2"/>
          <w:sz w:val="18"/>
        </w:rPr>
        <w:t>i</w:t>
      </w:r>
      <w:r w:rsidRPr="00907EAA">
        <w:rPr>
          <w:rFonts w:ascii="Tahoma" w:hAnsi="Tahoma"/>
          <w:spacing w:val="-2"/>
          <w:sz w:val="18"/>
        </w:rPr>
        <w:t xml:space="preserve">ztriepes un </w:t>
      </w:r>
      <w:r w:rsidRPr="00907EAA">
        <w:rPr>
          <w:rFonts w:ascii="Tahoma" w:hAnsi="Tahoma"/>
          <w:spacing w:val="-2"/>
          <w:sz w:val="18"/>
        </w:rPr>
        <w:t>uzsējuma testiem [21, 22].</w:t>
      </w:r>
    </w:p>
    <w:p w:rsidR="00DA3A70" w:rsidRPr="00907EAA" w:rsidP="00BE259C">
      <w:pPr>
        <w:shd w:val="clear" w:color="auto" w:fill="D9D9D9"/>
        <w:autoSpaceDE w:val="0"/>
        <w:autoSpaceDN w:val="0"/>
        <w:adjustRightInd w:val="0"/>
        <w:spacing w:after="0"/>
        <w:jc w:val="both"/>
        <w:rPr>
          <w:rFonts w:ascii="Tahoma" w:hAnsi="Tahoma" w:cs="Tahoma"/>
          <w:b/>
          <w:bCs/>
          <w:sz w:val="24"/>
          <w:szCs w:val="24"/>
        </w:rPr>
      </w:pPr>
      <w:r w:rsidRPr="00907EAA">
        <w:rPr>
          <w:rFonts w:ascii="Tahoma" w:hAnsi="Tahoma"/>
          <w:b/>
          <w:sz w:val="24"/>
          <w:shd w:val="clear" w:color="auto" w:fill="D9D9D9"/>
        </w:rPr>
        <w:t>11. standarts</w:t>
      </w:r>
    </w:p>
    <w:p w:rsidR="00DA3A70" w:rsidRPr="00907EAA" w:rsidP="0028467E">
      <w:pPr>
        <w:spacing w:after="120"/>
        <w:rPr>
          <w:rFonts w:ascii="Tahoma" w:hAnsi="Tahoma" w:cs="Tahoma"/>
          <w:sz w:val="18"/>
          <w:szCs w:val="18"/>
        </w:rPr>
      </w:pPr>
      <w:r w:rsidRPr="00907EAA">
        <w:rPr>
          <w:rFonts w:ascii="Tahoma" w:hAnsi="Tahoma"/>
          <w:sz w:val="18"/>
        </w:rPr>
        <w:t xml:space="preserve">Jānovērtē zāļu rezistences iespējamība, ņemot vērā iepriekšējās ārstēšanas anamnēzi, </w:t>
      </w:r>
      <w:r w:rsidR="00585C21">
        <w:rPr>
          <w:rFonts w:ascii="Tahoma" w:hAnsi="Tahoma"/>
          <w:sz w:val="18"/>
        </w:rPr>
        <w:t>kontaktu</w:t>
      </w:r>
      <w:r w:rsidRPr="00907EAA">
        <w:rPr>
          <w:rFonts w:ascii="Tahoma" w:hAnsi="Tahoma"/>
          <w:sz w:val="18"/>
        </w:rPr>
        <w:t xml:space="preserve"> ar personu, kurai varbūtēji ir pret zālēm rezistenta tuberkuloze, un zāļu rezistences izplatību </w:t>
      </w:r>
      <w:r w:rsidR="00585C21">
        <w:rPr>
          <w:rFonts w:ascii="Tahoma" w:hAnsi="Tahoma"/>
          <w:sz w:val="18"/>
        </w:rPr>
        <w:t>sabiedrībā</w:t>
      </w:r>
      <w:r w:rsidRPr="00907EAA">
        <w:rPr>
          <w:rFonts w:ascii="Tahoma" w:hAnsi="Tahoma"/>
          <w:sz w:val="18"/>
        </w:rPr>
        <w:t>, un tas ir īpaši svarīgi, ja pacientam diagnoze nav apstiprināta bakterioloģiski vai nevar veikt zāļu jutības testu. Visiem pacientiem ir jāveic ātrie testi (rezistences pret rifampicīnu un izoniazīnu genotip</w:t>
      </w:r>
      <w:r w:rsidR="0061152B">
        <w:rPr>
          <w:rFonts w:ascii="Tahoma" w:hAnsi="Tahoma"/>
          <w:sz w:val="18"/>
        </w:rPr>
        <w:t>iskā</w:t>
      </w:r>
      <w:r w:rsidRPr="00907EAA">
        <w:rPr>
          <w:rFonts w:ascii="Tahoma" w:hAnsi="Tahoma"/>
          <w:sz w:val="18"/>
        </w:rPr>
        <w:t xml:space="preserve"> testēšana un rezistences pret otrās rinda</w:t>
      </w:r>
      <w:r w:rsidRPr="00907EAA">
        <w:rPr>
          <w:rFonts w:ascii="Tahoma" w:hAnsi="Tahoma"/>
          <w:sz w:val="18"/>
        </w:rPr>
        <w:t>s zālēm genotip</w:t>
      </w:r>
      <w:r w:rsidR="0061152B">
        <w:rPr>
          <w:rFonts w:ascii="Tahoma" w:hAnsi="Tahoma"/>
          <w:sz w:val="18"/>
        </w:rPr>
        <w:t>iskā</w:t>
      </w:r>
      <w:r w:rsidRPr="00907EAA">
        <w:rPr>
          <w:rFonts w:ascii="Tahoma" w:hAnsi="Tahoma"/>
          <w:sz w:val="18"/>
        </w:rPr>
        <w:t>/fenotip</w:t>
      </w:r>
      <w:r w:rsidR="0061152B">
        <w:rPr>
          <w:rFonts w:ascii="Tahoma" w:hAnsi="Tahoma"/>
          <w:sz w:val="18"/>
        </w:rPr>
        <w:t>iskā</w:t>
      </w:r>
      <w:r w:rsidRPr="00907EAA">
        <w:rPr>
          <w:rFonts w:ascii="Tahoma" w:hAnsi="Tahoma"/>
          <w:sz w:val="18"/>
        </w:rPr>
        <w:t xml:space="preserve"> testēšana pacientiem ar rezistenci pret rifampicīnu vai </w:t>
      </w:r>
      <w:r w:rsidRPr="00907EAA">
        <w:rPr>
          <w:rFonts w:ascii="Tahoma" w:hAnsi="Tahoma"/>
          <w:i/>
          <w:sz w:val="18"/>
        </w:rPr>
        <w:t>M</w:t>
      </w:r>
      <w:r w:rsidRPr="00907EAA">
        <w:rPr>
          <w:rFonts w:ascii="Tahoma" w:hAnsi="Tahoma"/>
          <w:i/>
          <w:sz w:val="18"/>
        </w:rPr>
        <w:t>R-TB</w:t>
      </w:r>
      <w:r w:rsidRPr="00907EAA">
        <w:rPr>
          <w:rFonts w:ascii="Tahoma" w:hAnsi="Tahoma"/>
          <w:sz w:val="18"/>
        </w:rPr>
        <w:t>), kā noteikts 2.–4. un 8. standartā. Turklāt nekavējoties jā</w:t>
      </w:r>
      <w:r w:rsidR="00572297">
        <w:rPr>
          <w:rFonts w:ascii="Tahoma" w:hAnsi="Tahoma"/>
          <w:sz w:val="18"/>
        </w:rPr>
        <w:t>veic</w:t>
      </w:r>
      <w:r w:rsidRPr="00907EAA">
        <w:rPr>
          <w:rFonts w:ascii="Tahoma" w:hAnsi="Tahoma"/>
          <w:sz w:val="18"/>
        </w:rPr>
        <w:t xml:space="preserve"> visu tuberkulozes pacientu konsultēšana un izglītošana, lai mazinātu infekcijas </w:t>
      </w:r>
      <w:r w:rsidR="00572297">
        <w:rPr>
          <w:rFonts w:ascii="Tahoma" w:hAnsi="Tahoma"/>
          <w:sz w:val="18"/>
        </w:rPr>
        <w:t>izplatīšanās</w:t>
      </w:r>
      <w:r w:rsidRPr="00907EAA">
        <w:rPr>
          <w:rFonts w:ascii="Tahoma" w:hAnsi="Tahoma"/>
          <w:sz w:val="18"/>
        </w:rPr>
        <w:t xml:space="preserve"> iespējamību. Jāievieš apstākļiem atbilstoši infekciju kontroles pasākumi, kā ieteikts </w:t>
      </w:r>
      <w:r w:rsidRPr="00907EAA">
        <w:rPr>
          <w:rFonts w:ascii="Tahoma" w:hAnsi="Tahoma"/>
          <w:i/>
          <w:sz w:val="18"/>
        </w:rPr>
        <w:t>ESTC</w:t>
      </w:r>
      <w:r w:rsidRPr="00907EAA">
        <w:rPr>
          <w:rFonts w:ascii="Tahoma" w:hAnsi="Tahoma"/>
          <w:sz w:val="18"/>
        </w:rPr>
        <w:t xml:space="preserve"> sabiedrības veselības 20. standartā.</w:t>
      </w:r>
    </w:p>
    <w:p w:rsidR="00DA3A70" w:rsidRPr="00907EAA" w:rsidP="00DB519A">
      <w:pPr>
        <w:shd w:val="clear" w:color="auto" w:fill="D9D9D9"/>
        <w:autoSpaceDE w:val="0"/>
        <w:autoSpaceDN w:val="0"/>
        <w:adjustRightInd w:val="0"/>
        <w:spacing w:after="0"/>
        <w:jc w:val="both"/>
        <w:rPr>
          <w:rFonts w:ascii="Tahoma" w:hAnsi="Tahoma" w:cs="Tahoma"/>
          <w:b/>
          <w:bCs/>
          <w:sz w:val="24"/>
          <w:szCs w:val="24"/>
        </w:rPr>
      </w:pPr>
      <w:r w:rsidRPr="00907EAA">
        <w:rPr>
          <w:rFonts w:ascii="Tahoma" w:hAnsi="Tahoma"/>
          <w:b/>
          <w:sz w:val="24"/>
          <w:shd w:val="clear" w:color="auto" w:fill="D9D9D9"/>
        </w:rPr>
        <w:t xml:space="preserve">12. standarts </w:t>
      </w:r>
    </w:p>
    <w:p w:rsidR="00DA3A70" w:rsidRPr="00907EAA" w:rsidP="0028467E">
      <w:pPr>
        <w:spacing w:after="120"/>
        <w:rPr>
          <w:rFonts w:ascii="Tahoma" w:hAnsi="Tahoma" w:cs="Tahoma"/>
          <w:sz w:val="18"/>
          <w:szCs w:val="18"/>
        </w:rPr>
      </w:pPr>
      <w:r w:rsidRPr="00907EAA">
        <w:rPr>
          <w:rFonts w:ascii="Tahoma" w:hAnsi="Tahoma"/>
          <w:sz w:val="18"/>
        </w:rPr>
        <w:t>Pacienti, kuriem ir vai, ļoti iespējams, ir tuberkuloze, ko ierosinājuši pret zālēm rezistenti (jo īpaši pret rifampicīnu rezistenti/</w:t>
      </w:r>
      <w:r w:rsidRPr="00907EAA">
        <w:rPr>
          <w:rFonts w:ascii="Tahoma" w:hAnsi="Tahoma"/>
          <w:i/>
          <w:sz w:val="18"/>
        </w:rPr>
        <w:t>M</w:t>
      </w:r>
      <w:r w:rsidRPr="00907EAA">
        <w:rPr>
          <w:rFonts w:ascii="Tahoma" w:hAnsi="Tahoma"/>
          <w:i/>
          <w:sz w:val="18"/>
        </w:rPr>
        <w:t>R</w:t>
      </w:r>
      <w:r w:rsidRPr="00907EAA">
        <w:rPr>
          <w:rFonts w:ascii="Tahoma" w:hAnsi="Tahoma"/>
          <w:sz w:val="18"/>
        </w:rPr>
        <w:t xml:space="preserve">/ekstensīvi </w:t>
      </w:r>
      <w:r w:rsidRPr="00907EAA">
        <w:rPr>
          <w:rFonts w:ascii="Tahoma" w:hAnsi="Tahoma"/>
          <w:sz w:val="18"/>
        </w:rPr>
        <w:t>rezistenti (</w:t>
      </w:r>
      <w:r w:rsidRPr="00907EAA">
        <w:rPr>
          <w:rFonts w:ascii="Tahoma" w:hAnsi="Tahoma"/>
          <w:i/>
          <w:sz w:val="18"/>
        </w:rPr>
        <w:t>X</w:t>
      </w:r>
      <w:r w:rsidRPr="00907EAA">
        <w:rPr>
          <w:rFonts w:ascii="Tahoma" w:hAnsi="Tahoma"/>
          <w:i/>
          <w:sz w:val="18"/>
        </w:rPr>
        <w:t>R</w:t>
      </w:r>
      <w:r w:rsidRPr="00907EAA">
        <w:rPr>
          <w:rFonts w:ascii="Tahoma" w:hAnsi="Tahoma"/>
          <w:sz w:val="18"/>
        </w:rPr>
        <w:t>)) organismi, ir jāārstē ar individuāli pielāgotu terapiju, ietverot otr</w:t>
      </w:r>
      <w:r w:rsidRPr="00907EAA">
        <w:rPr>
          <w:rFonts w:ascii="Tahoma" w:hAnsi="Tahoma"/>
          <w:sz w:val="18"/>
        </w:rPr>
        <w:t xml:space="preserve">ās rindas zāles un </w:t>
      </w:r>
      <w:r w:rsidRPr="00CE2AB1">
        <w:rPr>
          <w:rFonts w:ascii="Tahoma" w:hAnsi="Tahoma"/>
          <w:sz w:val="18"/>
        </w:rPr>
        <w:t>pret</w:t>
      </w:r>
      <w:r w:rsidRPr="00CE2AB1">
        <w:rPr>
          <w:rFonts w:ascii="Tahoma" w:hAnsi="Tahoma"/>
          <w:sz w:val="18"/>
        </w:rPr>
        <w:t>tuberkulozes papildterapijas z</w:t>
      </w:r>
      <w:r w:rsidRPr="00CE2AB1">
        <w:rPr>
          <w:rFonts w:ascii="Tahoma" w:hAnsi="Tahoma" w:hint="eastAsia"/>
          <w:sz w:val="18"/>
        </w:rPr>
        <w:t>ā</w:t>
      </w:r>
      <w:r w:rsidRPr="00CE2AB1">
        <w:rPr>
          <w:rFonts w:ascii="Tahoma" w:hAnsi="Tahoma"/>
          <w:sz w:val="18"/>
        </w:rPr>
        <w:t>les</w:t>
      </w:r>
      <w:r w:rsidRPr="00907EAA">
        <w:rPr>
          <w:rFonts w:ascii="Tahoma" w:hAnsi="Tahoma"/>
          <w:sz w:val="18"/>
        </w:rPr>
        <w:t>. Izvēlētais ārstēšanas režīms jābalsta uz</w:t>
      </w:r>
      <w:r w:rsidR="002A4CBA">
        <w:rPr>
          <w:rFonts w:ascii="Tahoma" w:hAnsi="Tahoma"/>
          <w:sz w:val="18"/>
        </w:rPr>
        <w:t xml:space="preserve"> </w:t>
      </w:r>
      <w:r w:rsidR="006B068C">
        <w:rPr>
          <w:rFonts w:ascii="Tahoma" w:hAnsi="Tahoma"/>
          <w:sz w:val="18"/>
        </w:rPr>
        <w:t>ZJT rezultātiem</w:t>
      </w:r>
      <w:r w:rsidRPr="00907EAA">
        <w:rPr>
          <w:rFonts w:ascii="Tahoma" w:hAnsi="Tahoma"/>
          <w:sz w:val="18"/>
        </w:rPr>
        <w:t>. Empīriskas terapijas var izraisīt vēl plašāku rezistenci un nav ieteicamas, izņemot tuberkulozes ga</w:t>
      </w:r>
      <w:r w:rsidRPr="00907EAA">
        <w:rPr>
          <w:rFonts w:ascii="Tahoma" w:hAnsi="Tahoma"/>
          <w:sz w:val="18"/>
        </w:rPr>
        <w:t>dījumā ar negatīvu uzsējuma rezultātu.</w:t>
      </w:r>
    </w:p>
    <w:p w:rsidR="00083CEE" w:rsidRPr="00907EAA" w:rsidP="00907EAA">
      <w:pPr>
        <w:spacing w:after="120"/>
      </w:pPr>
      <w:r w:rsidRPr="00907EAA">
        <w:rPr>
          <w:rFonts w:ascii="Tahoma" w:hAnsi="Tahoma"/>
          <w:sz w:val="18"/>
        </w:rPr>
        <w:t>Atkarībā no</w:t>
      </w:r>
      <w:r w:rsidR="002A4CBA">
        <w:rPr>
          <w:rFonts w:ascii="Tahoma" w:hAnsi="Tahoma"/>
          <w:sz w:val="18"/>
        </w:rPr>
        <w:t xml:space="preserve"> </w:t>
      </w:r>
      <w:r w:rsidR="006B068C">
        <w:rPr>
          <w:rFonts w:ascii="Tahoma" w:hAnsi="Tahoma"/>
          <w:sz w:val="18"/>
        </w:rPr>
        <w:t>ZJT rezultātiem</w:t>
      </w:r>
      <w:r w:rsidRPr="00907EAA">
        <w:rPr>
          <w:rFonts w:ascii="Tahoma" w:hAnsi="Tahoma"/>
          <w:sz w:val="18"/>
        </w:rPr>
        <w:t xml:space="preserve"> jānodrošina ārstēšana ar vismaz piecām efektīvām </w:t>
      </w:r>
      <w:r w:rsidRPr="00907EAA">
        <w:rPr>
          <w:rFonts w:ascii="Tahoma" w:hAnsi="Tahoma"/>
          <w:sz w:val="18"/>
        </w:rPr>
        <w:t>pret</w:t>
      </w:r>
      <w:r w:rsidRPr="00907EAA">
        <w:rPr>
          <w:rFonts w:ascii="Tahoma" w:hAnsi="Tahoma"/>
          <w:sz w:val="18"/>
        </w:rPr>
        <w:t xml:space="preserve">tuberkulozes zālēm vismaz 20 mēnešus [5]. Ja pacients atbilst attiecīgajiem kritērijiem, var izmantot īsāku (9–11 mēnešu) </w:t>
      </w:r>
      <w:r w:rsidRPr="00907EAA">
        <w:rPr>
          <w:rFonts w:ascii="Tahoma" w:hAnsi="Tahoma"/>
          <w:i/>
          <w:sz w:val="18"/>
        </w:rPr>
        <w:t>M</w:t>
      </w:r>
      <w:r w:rsidRPr="00907EAA">
        <w:rPr>
          <w:rFonts w:ascii="Tahoma" w:hAnsi="Tahoma"/>
          <w:i/>
          <w:sz w:val="18"/>
        </w:rPr>
        <w:t>R-TB</w:t>
      </w:r>
      <w:r w:rsidRPr="00907EAA">
        <w:rPr>
          <w:rFonts w:ascii="Tahoma" w:hAnsi="Tahoma"/>
          <w:sz w:val="18"/>
        </w:rPr>
        <w:t xml:space="preserve"> standartterapiju.</w:t>
      </w:r>
      <w:r w:rsidRPr="00907EAA">
        <w:br w:type="page"/>
      </w:r>
    </w:p>
    <w:p w:rsidR="00835340" w:rsidRPr="00907EAA" w:rsidP="00835340">
      <w:pPr>
        <w:pStyle w:val="EC-Title-6"/>
      </w:pPr>
      <w:r w:rsidRPr="00907EAA">
        <w:t>ES specifiskās prasības</w:t>
      </w:r>
    </w:p>
    <w:p w:rsidR="00DA3A70" w:rsidRPr="00907EAA" w:rsidP="0028467E">
      <w:pPr>
        <w:spacing w:after="120"/>
        <w:rPr>
          <w:rFonts w:ascii="Tahoma" w:hAnsi="Tahoma" w:cs="Tahoma"/>
          <w:sz w:val="18"/>
          <w:szCs w:val="18"/>
        </w:rPr>
      </w:pPr>
      <w:r w:rsidRPr="00907EAA">
        <w:rPr>
          <w:rFonts w:ascii="Tahoma" w:hAnsi="Tahoma"/>
          <w:sz w:val="18"/>
        </w:rPr>
        <w:t xml:space="preserve">Tā kā </w:t>
      </w:r>
      <w:r w:rsidRPr="00907EAA">
        <w:rPr>
          <w:rFonts w:ascii="Tahoma" w:hAnsi="Tahoma"/>
          <w:i/>
          <w:sz w:val="18"/>
        </w:rPr>
        <w:t>M</w:t>
      </w:r>
      <w:r w:rsidRPr="00907EAA">
        <w:rPr>
          <w:rFonts w:ascii="Tahoma" w:hAnsi="Tahoma"/>
          <w:i/>
          <w:sz w:val="18"/>
        </w:rPr>
        <w:t>R/X</w:t>
      </w:r>
      <w:r w:rsidRPr="00907EAA">
        <w:rPr>
          <w:rFonts w:ascii="Tahoma" w:hAnsi="Tahoma"/>
          <w:i/>
          <w:sz w:val="18"/>
        </w:rPr>
        <w:t>R-TB</w:t>
      </w:r>
      <w:r w:rsidRPr="00907EAA">
        <w:rPr>
          <w:rFonts w:ascii="Tahoma" w:hAnsi="Tahoma"/>
          <w:sz w:val="18"/>
        </w:rPr>
        <w:t xml:space="preserve"> ārstēšana bieži ir pēdējā iespēja pacienta izārstēšanai un izdzīvo</w:t>
      </w:r>
      <w:r w:rsidRPr="00907EAA">
        <w:rPr>
          <w:rFonts w:ascii="Tahoma" w:hAnsi="Tahoma"/>
          <w:sz w:val="18"/>
        </w:rPr>
        <w:t>šanai, tad, lai panāktu līdzestību ārstēšanai, ir nepieciešams pilnīgs uz pacientiem orientētu pasākumu diapazons, tostarp konsultēšana, novērošana un ārstēšanas atbalstīšana, kā arī psihosociālais atbalsts [5, 23–25]. Tas ir īpaši nozīmīgi tāpēc, ka šie p</w:t>
      </w:r>
      <w:r w:rsidRPr="00907EAA">
        <w:rPr>
          <w:rFonts w:ascii="Tahoma" w:hAnsi="Tahoma"/>
          <w:sz w:val="18"/>
        </w:rPr>
        <w:t>acienti nereti pieder pie sociāli un ekonomiski mazaizsargātām grupām.</w:t>
      </w:r>
    </w:p>
    <w:p w:rsidR="00DA3A70" w:rsidRPr="00907EAA" w:rsidP="0028467E">
      <w:pPr>
        <w:spacing w:after="120"/>
        <w:rPr>
          <w:rFonts w:ascii="Tahoma" w:hAnsi="Tahoma" w:cs="Tahoma"/>
          <w:sz w:val="18"/>
          <w:szCs w:val="18"/>
        </w:rPr>
      </w:pPr>
      <w:r w:rsidRPr="00907EAA">
        <w:rPr>
          <w:rFonts w:ascii="Tahoma" w:hAnsi="Tahoma"/>
          <w:i/>
          <w:sz w:val="18"/>
        </w:rPr>
        <w:t>M</w:t>
      </w:r>
      <w:r w:rsidRPr="00907EAA">
        <w:rPr>
          <w:rFonts w:ascii="Tahoma" w:hAnsi="Tahoma"/>
          <w:i/>
          <w:sz w:val="18"/>
        </w:rPr>
        <w:t>R-TB</w:t>
      </w:r>
      <w:r w:rsidRPr="00907EAA">
        <w:rPr>
          <w:rFonts w:ascii="Tahoma" w:hAnsi="Tahoma"/>
          <w:sz w:val="18"/>
        </w:rPr>
        <w:t xml:space="preserve"> ārstēšanā nedrīkst izmantot nekādas zāles, pret kurām pacientam ir dokumentēta rezistence (noteikta ar molekulāro vai fenotip</w:t>
      </w:r>
      <w:r w:rsidR="00901A22">
        <w:rPr>
          <w:rFonts w:ascii="Tahoma" w:hAnsi="Tahoma"/>
          <w:sz w:val="18"/>
        </w:rPr>
        <w:t>isk</w:t>
      </w:r>
      <w:r w:rsidRPr="00907EAA">
        <w:rPr>
          <w:rFonts w:ascii="Tahoma" w:hAnsi="Tahoma"/>
          <w:sz w:val="18"/>
        </w:rPr>
        <w:t xml:space="preserve">u </w:t>
      </w:r>
      <w:r w:rsidRPr="00741BAA" w:rsidR="00741BAA">
        <w:rPr>
          <w:rFonts w:ascii="Tahoma" w:hAnsi="Tahoma"/>
          <w:sz w:val="18"/>
        </w:rPr>
        <w:t>ZJT</w:t>
      </w:r>
      <w:r w:rsidRPr="00907EAA">
        <w:rPr>
          <w:rFonts w:ascii="Tahoma" w:hAnsi="Tahoma"/>
          <w:sz w:val="18"/>
        </w:rPr>
        <w:t xml:space="preserve">). Tāpēc ir jāveic otrās rindas </w:t>
      </w:r>
      <w:r w:rsidRPr="00741BAA" w:rsidR="00741BAA">
        <w:rPr>
          <w:rFonts w:ascii="Tahoma" w:hAnsi="Tahoma"/>
          <w:sz w:val="18"/>
        </w:rPr>
        <w:t>ZJT</w:t>
      </w:r>
      <w:r w:rsidRPr="00907EAA">
        <w:rPr>
          <w:rFonts w:ascii="Tahoma" w:hAnsi="Tahoma"/>
          <w:sz w:val="18"/>
        </w:rPr>
        <w:t xml:space="preserve">, </w:t>
      </w:r>
      <w:r w:rsidRPr="00907EAA">
        <w:rPr>
          <w:rFonts w:ascii="Tahoma" w:hAnsi="Tahoma"/>
          <w:sz w:val="18"/>
        </w:rPr>
        <w:t>lai apstiprinātu zāļu rezistenc</w:t>
      </w:r>
      <w:r w:rsidR="00901A22">
        <w:rPr>
          <w:rFonts w:ascii="Tahoma" w:hAnsi="Tahoma"/>
          <w:sz w:val="18"/>
        </w:rPr>
        <w:t>i</w:t>
      </w:r>
      <w:r w:rsidRPr="00907EAA">
        <w:rPr>
          <w:rFonts w:ascii="Tahoma" w:hAnsi="Tahoma"/>
          <w:sz w:val="18"/>
        </w:rPr>
        <w:t>, kā arī varētu izvēlēties pareizo terapiju.</w:t>
      </w:r>
    </w:p>
    <w:p w:rsidR="00DA3A70" w:rsidRPr="00907EAA" w:rsidP="0028467E">
      <w:pPr>
        <w:spacing w:after="120"/>
        <w:rPr>
          <w:rFonts w:ascii="Tahoma" w:hAnsi="Tahoma" w:cs="Tahoma"/>
          <w:sz w:val="18"/>
          <w:szCs w:val="18"/>
        </w:rPr>
      </w:pPr>
      <w:r w:rsidRPr="00907EAA">
        <w:rPr>
          <w:rFonts w:ascii="Tahoma" w:hAnsi="Tahoma"/>
          <w:sz w:val="18"/>
        </w:rPr>
        <w:t xml:space="preserve">ES/EEZ </w:t>
      </w:r>
      <w:r w:rsidRPr="00741BAA" w:rsidR="00741BAA">
        <w:rPr>
          <w:rFonts w:ascii="Tahoma" w:hAnsi="Tahoma"/>
          <w:sz w:val="18"/>
        </w:rPr>
        <w:t>ZJT</w:t>
      </w:r>
      <w:r w:rsidRPr="00907EAA" w:rsidR="00901A22">
        <w:rPr>
          <w:rFonts w:ascii="Tahoma" w:hAnsi="Tahoma"/>
          <w:sz w:val="18"/>
        </w:rPr>
        <w:t xml:space="preserve"> </w:t>
      </w:r>
      <w:r w:rsidRPr="00907EAA">
        <w:rPr>
          <w:rFonts w:ascii="Tahoma" w:hAnsi="Tahoma"/>
          <w:sz w:val="18"/>
        </w:rPr>
        <w:t xml:space="preserve">pret etambutolu tiek uzskatīta par uzticamu, ja to veic apstiprinātas kvalitātes laboratorijās [26]. Pirazinamīda </w:t>
      </w:r>
      <w:r w:rsidR="00901A22">
        <w:rPr>
          <w:rFonts w:ascii="Tahoma" w:hAnsi="Tahoma"/>
          <w:sz w:val="18"/>
        </w:rPr>
        <w:t xml:space="preserve">jutības </w:t>
      </w:r>
      <w:r w:rsidRPr="00907EAA">
        <w:rPr>
          <w:rFonts w:ascii="Tahoma" w:hAnsi="Tahoma"/>
          <w:sz w:val="18"/>
        </w:rPr>
        <w:t>testēšanu var veikt ar genotip</w:t>
      </w:r>
      <w:r w:rsidR="00901A22">
        <w:rPr>
          <w:rFonts w:ascii="Tahoma" w:hAnsi="Tahoma"/>
          <w:sz w:val="18"/>
        </w:rPr>
        <w:t>isk</w:t>
      </w:r>
      <w:r w:rsidRPr="00907EAA">
        <w:rPr>
          <w:rFonts w:ascii="Tahoma" w:hAnsi="Tahoma"/>
          <w:sz w:val="18"/>
        </w:rPr>
        <w:t>u (</w:t>
      </w:r>
      <w:r w:rsidRPr="00907EAA">
        <w:rPr>
          <w:rFonts w:ascii="Tahoma" w:hAnsi="Tahoma"/>
          <w:i/>
          <w:sz w:val="18"/>
        </w:rPr>
        <w:t>pncA</w:t>
      </w:r>
      <w:r w:rsidRPr="00907EAA">
        <w:rPr>
          <w:rFonts w:ascii="Tahoma" w:hAnsi="Tahoma"/>
          <w:sz w:val="18"/>
        </w:rPr>
        <w:t xml:space="preserve"> mutāciju noteikšanu) vai fenotip</w:t>
      </w:r>
      <w:r w:rsidR="00901A22">
        <w:rPr>
          <w:rFonts w:ascii="Tahoma" w:hAnsi="Tahoma"/>
          <w:sz w:val="18"/>
        </w:rPr>
        <w:t>isk</w:t>
      </w:r>
      <w:r w:rsidRPr="00907EAA">
        <w:rPr>
          <w:rFonts w:ascii="Tahoma" w:hAnsi="Tahoma"/>
          <w:sz w:val="18"/>
        </w:rPr>
        <w:t>u testu (t. i., ar</w:t>
      </w:r>
      <w:r w:rsidR="002A4CBA">
        <w:rPr>
          <w:rFonts w:ascii="Tahoma" w:hAnsi="Tahoma"/>
          <w:sz w:val="18"/>
        </w:rPr>
        <w:t xml:space="preserve"> </w:t>
      </w:r>
      <w:r w:rsidR="00010D29">
        <w:rPr>
          <w:rFonts w:ascii="Tahoma" w:hAnsi="Tahoma"/>
          <w:sz w:val="18"/>
        </w:rPr>
        <w:t>automatizēt</w:t>
      </w:r>
      <w:r w:rsidR="00864FA8">
        <w:rPr>
          <w:rFonts w:ascii="Tahoma" w:hAnsi="Tahoma"/>
          <w:sz w:val="18"/>
        </w:rPr>
        <w:t>u</w:t>
      </w:r>
      <w:r w:rsidR="00010D29">
        <w:rPr>
          <w:rFonts w:ascii="Tahoma" w:hAnsi="Tahoma"/>
          <w:sz w:val="18"/>
        </w:rPr>
        <w:t xml:space="preserve"> šķidro kultūru sistēmu</w:t>
      </w:r>
      <w:r w:rsidRPr="00907EAA">
        <w:rPr>
          <w:rFonts w:ascii="Tahoma" w:hAnsi="Tahoma"/>
          <w:sz w:val="18"/>
        </w:rPr>
        <w:t>).</w:t>
      </w:r>
    </w:p>
    <w:p w:rsidR="00DA3A70" w:rsidRPr="00907EAA" w:rsidP="0028467E">
      <w:pPr>
        <w:spacing w:after="120"/>
        <w:rPr>
          <w:rFonts w:ascii="Tahoma" w:hAnsi="Tahoma" w:cs="Tahoma"/>
          <w:sz w:val="18"/>
          <w:szCs w:val="18"/>
        </w:rPr>
      </w:pPr>
      <w:r w:rsidRPr="00907EAA">
        <w:rPr>
          <w:rFonts w:ascii="Tahoma" w:hAnsi="Tahoma"/>
          <w:sz w:val="18"/>
        </w:rPr>
        <w:t xml:space="preserve">Individuāli pielāgotajā ārstēšanas režīmā ir jāiekļauj vismaz piecas efektīvas </w:t>
      </w:r>
      <w:r w:rsidRPr="00907EAA">
        <w:rPr>
          <w:rFonts w:ascii="Tahoma" w:hAnsi="Tahoma"/>
          <w:sz w:val="18"/>
        </w:rPr>
        <w:t>pret</w:t>
      </w:r>
      <w:r w:rsidRPr="00907EAA">
        <w:rPr>
          <w:rFonts w:ascii="Tahoma" w:hAnsi="Tahoma"/>
          <w:sz w:val="18"/>
        </w:rPr>
        <w:t xml:space="preserve">tuberkulozes zāles ārstēšanas intensīvajā posmā, tostarp pirazinamīds un četras pamata </w:t>
      </w:r>
      <w:r w:rsidRPr="00907EAA">
        <w:rPr>
          <w:rFonts w:ascii="Tahoma" w:hAnsi="Tahoma"/>
          <w:sz w:val="18"/>
        </w:rPr>
        <w:t>pret</w:t>
      </w:r>
      <w:r w:rsidRPr="00907EAA">
        <w:rPr>
          <w:rFonts w:ascii="Tahoma" w:hAnsi="Tahoma"/>
          <w:sz w:val="18"/>
        </w:rPr>
        <w:t>tuberkulozes zāles no otrās rindas. Zāles jāizvēlas šādi: vienas zāles no A grupas, vienas zāles no B grupas un vismaz divas zāles no C grupas (sk. tabulu). Ja no A,</w:t>
      </w:r>
      <w:r w:rsidRPr="00907EAA">
        <w:rPr>
          <w:rFonts w:ascii="Tahoma" w:hAnsi="Tahoma"/>
          <w:sz w:val="18"/>
        </w:rPr>
        <w:t xml:space="preserve"> B un C grupas zālēm nevar terapijai izvēlēties vismaz piecas efektīvas </w:t>
      </w:r>
      <w:r w:rsidRPr="00907EAA">
        <w:rPr>
          <w:rFonts w:ascii="Tahoma" w:hAnsi="Tahoma"/>
          <w:sz w:val="18"/>
        </w:rPr>
        <w:t>pret</w:t>
      </w:r>
      <w:r w:rsidRPr="00907EAA">
        <w:rPr>
          <w:rFonts w:ascii="Tahoma" w:hAnsi="Tahoma"/>
          <w:sz w:val="18"/>
        </w:rPr>
        <w:t>tuberkulozes zāles, var pievienot kādu līdzekli no D2. grupas un citus līdzekļus no D3. grupas, lai kopskaitā būtu piecas zāles. Ja nevar lietot pirazinamīdu (piemēram, rezistences</w:t>
      </w:r>
      <w:r w:rsidRPr="00907EAA">
        <w:rPr>
          <w:rFonts w:ascii="Tahoma" w:hAnsi="Tahoma"/>
          <w:sz w:val="18"/>
        </w:rPr>
        <w:t xml:space="preserve"> vai toksicitātes dēļ), terapijas pastiprināšanai var papildus pievienot kādu līdzekli no C vai D grupas. Kopējais ārstēšanas režīma ilgums svārstās no 20 līdz 24 mēnešiem, un ieteicamais intensīvais ārstēšanas posms ilgst 8 mēnešus [5].</w:t>
      </w:r>
    </w:p>
    <w:p w:rsidR="00DA3A70" w:rsidRPr="00907EAA" w:rsidP="0028467E">
      <w:pPr>
        <w:spacing w:after="120"/>
        <w:rPr>
          <w:rFonts w:ascii="Tahoma" w:hAnsi="Tahoma" w:cs="Tahoma"/>
          <w:sz w:val="18"/>
          <w:szCs w:val="18"/>
          <w:highlight w:val="yellow"/>
        </w:rPr>
      </w:pPr>
      <w:r w:rsidRPr="00907EAA">
        <w:rPr>
          <w:rFonts w:ascii="Tahoma" w:hAnsi="Tahoma"/>
          <w:sz w:val="18"/>
        </w:rPr>
        <w:t>Pacientiem, kurie</w:t>
      </w:r>
      <w:r w:rsidRPr="00907EAA">
        <w:rPr>
          <w:rFonts w:ascii="Tahoma" w:hAnsi="Tahoma"/>
          <w:sz w:val="18"/>
        </w:rPr>
        <w:t xml:space="preserve">m ir pret rifampicīnu rezistenta tuberkuloze vai </w:t>
      </w:r>
      <w:r w:rsidRPr="00907EAA">
        <w:rPr>
          <w:rFonts w:ascii="Tahoma" w:hAnsi="Tahoma"/>
          <w:i/>
          <w:sz w:val="18"/>
        </w:rPr>
        <w:t>M</w:t>
      </w:r>
      <w:r w:rsidRPr="00907EAA">
        <w:rPr>
          <w:rFonts w:ascii="Tahoma" w:hAnsi="Tahoma"/>
          <w:i/>
          <w:sz w:val="18"/>
        </w:rPr>
        <w:t>R-TB</w:t>
      </w:r>
      <w:r w:rsidRPr="00907EAA">
        <w:rPr>
          <w:rFonts w:ascii="Tahoma" w:hAnsi="Tahoma"/>
          <w:sz w:val="18"/>
        </w:rPr>
        <w:t xml:space="preserve"> un kuri iepriekš nav saņēmuši ārstēšanu ar otrās rindas zālēm, un kuriem rezistence pret fluorhinoloniem un otrās rindas injicējamām zālēm ir izslēgta vai tiek uzskatīta par maz ticamu, konvencionālās</w:t>
      </w:r>
      <w:r w:rsidRPr="00907EAA">
        <w:rPr>
          <w:rFonts w:ascii="Tahoma" w:hAnsi="Tahoma"/>
          <w:sz w:val="18"/>
        </w:rPr>
        <w:t xml:space="preserve"> individuāli pielāgotās terapijas vietā var izmantot PVO ieteiktu īsāku </w:t>
      </w:r>
      <w:r w:rsidRPr="00907EAA">
        <w:rPr>
          <w:rFonts w:ascii="Tahoma" w:hAnsi="Tahoma"/>
          <w:i/>
          <w:sz w:val="18"/>
        </w:rPr>
        <w:t>M</w:t>
      </w:r>
      <w:r w:rsidRPr="00907EAA">
        <w:rPr>
          <w:rFonts w:ascii="Tahoma" w:hAnsi="Tahoma"/>
          <w:i/>
          <w:sz w:val="18"/>
        </w:rPr>
        <w:t>R-TB</w:t>
      </w:r>
      <w:r w:rsidRPr="00907EAA">
        <w:rPr>
          <w:rFonts w:ascii="Tahoma" w:hAnsi="Tahoma"/>
          <w:sz w:val="18"/>
        </w:rPr>
        <w:t xml:space="preserve"> terapiju, kas ilgst 9–11 mēnešus [5, 25, 27].</w:t>
      </w:r>
    </w:p>
    <w:p w:rsidR="00DA3A70" w:rsidRPr="00907EAA" w:rsidP="0028467E">
      <w:pPr>
        <w:spacing w:after="120"/>
        <w:rPr>
          <w:rFonts w:ascii="Tahoma" w:hAnsi="Tahoma" w:cs="Tahoma"/>
          <w:sz w:val="18"/>
          <w:szCs w:val="18"/>
        </w:rPr>
      </w:pPr>
      <w:r w:rsidRPr="00907EAA">
        <w:rPr>
          <w:rFonts w:ascii="Tahoma" w:hAnsi="Tahoma"/>
          <w:sz w:val="18"/>
        </w:rPr>
        <w:t xml:space="preserve">Pacientiem ar </w:t>
      </w:r>
      <w:r w:rsidRPr="00907EAA">
        <w:rPr>
          <w:rFonts w:ascii="Tahoma" w:hAnsi="Tahoma"/>
          <w:i/>
          <w:sz w:val="18"/>
        </w:rPr>
        <w:t>X</w:t>
      </w:r>
      <w:r w:rsidRPr="00907EAA">
        <w:rPr>
          <w:rFonts w:ascii="Tahoma" w:hAnsi="Tahoma"/>
          <w:i/>
          <w:sz w:val="18"/>
        </w:rPr>
        <w:t>R-TB</w:t>
      </w:r>
      <w:r w:rsidRPr="00907EAA">
        <w:rPr>
          <w:rFonts w:ascii="Tahoma" w:hAnsi="Tahoma"/>
          <w:sz w:val="18"/>
        </w:rPr>
        <w:t xml:space="preserve"> vai ar tuberkulozi, ko izraisījuši pret fluorhinoloniem vai otrās rindas injicējamām zālēm rezistenti celmi, </w:t>
      </w:r>
      <w:r w:rsidRPr="00907EAA">
        <w:rPr>
          <w:rFonts w:ascii="Tahoma" w:hAnsi="Tahoma"/>
          <w:sz w:val="18"/>
        </w:rPr>
        <w:t xml:space="preserve">ir nepieciešama ārstēšana ar jaunām zālēm, tostarp bedakvilīnu un delamanīdu, kā arī </w:t>
      </w:r>
      <w:r w:rsidR="00E03573">
        <w:rPr>
          <w:rFonts w:ascii="Tahoma" w:hAnsi="Tahoma"/>
          <w:sz w:val="18"/>
        </w:rPr>
        <w:t>pārprofilētām</w:t>
      </w:r>
      <w:r w:rsidRPr="00CE2AB1">
        <w:rPr>
          <w:rFonts w:ascii="Tahoma" w:hAnsi="Tahoma"/>
          <w:sz w:val="18"/>
        </w:rPr>
        <w:t xml:space="preserve"> z</w:t>
      </w:r>
      <w:r w:rsidRPr="00CE2AB1">
        <w:rPr>
          <w:rFonts w:ascii="Tahoma" w:hAnsi="Tahoma" w:hint="eastAsia"/>
          <w:sz w:val="18"/>
        </w:rPr>
        <w:t>ā</w:t>
      </w:r>
      <w:r w:rsidRPr="00CE2AB1">
        <w:rPr>
          <w:rFonts w:ascii="Tahoma" w:hAnsi="Tahoma"/>
          <w:sz w:val="18"/>
        </w:rPr>
        <w:t>l</w:t>
      </w:r>
      <w:r w:rsidRPr="00CE2AB1">
        <w:rPr>
          <w:rFonts w:ascii="Tahoma" w:hAnsi="Tahoma" w:hint="eastAsia"/>
          <w:sz w:val="18"/>
        </w:rPr>
        <w:t>ē</w:t>
      </w:r>
      <w:r w:rsidRPr="00CE2AB1">
        <w:rPr>
          <w:rFonts w:ascii="Tahoma" w:hAnsi="Tahoma"/>
          <w:sz w:val="18"/>
        </w:rPr>
        <w:t>m</w:t>
      </w:r>
      <w:r w:rsidRPr="00907EAA">
        <w:rPr>
          <w:rFonts w:ascii="Tahoma" w:hAnsi="Tahoma"/>
          <w:sz w:val="18"/>
        </w:rPr>
        <w:t xml:space="preserve">, piemēram, linezolīdu un klofazamīnu, un otrās rindas zālēm, pret kurām </w:t>
      </w:r>
      <w:r w:rsidRPr="00907EAA">
        <w:rPr>
          <w:rFonts w:ascii="Tahoma" w:hAnsi="Tahoma"/>
          <w:i/>
          <w:sz w:val="18"/>
        </w:rPr>
        <w:t>M. tuberculosis</w:t>
      </w:r>
      <w:r w:rsidRPr="00907EAA">
        <w:rPr>
          <w:rFonts w:ascii="Tahoma" w:hAnsi="Tahoma"/>
          <w:sz w:val="18"/>
        </w:rPr>
        <w:t xml:space="preserve"> celms varētu būt jutīgs [28, 29]. Jaunu un</w:t>
      </w:r>
      <w:r w:rsidR="0092439E">
        <w:rPr>
          <w:rFonts w:ascii="Tahoma" w:hAnsi="Tahoma"/>
          <w:sz w:val="18"/>
        </w:rPr>
        <w:t xml:space="preserve"> </w:t>
      </w:r>
      <w:r w:rsidR="00E03573">
        <w:rPr>
          <w:rFonts w:ascii="Tahoma" w:hAnsi="Tahoma"/>
          <w:sz w:val="18"/>
        </w:rPr>
        <w:t>pārprofilēto</w:t>
      </w:r>
      <w:r w:rsidRPr="00CE2AB1">
        <w:rPr>
          <w:rFonts w:ascii="Tahoma" w:hAnsi="Tahoma"/>
          <w:sz w:val="18"/>
        </w:rPr>
        <w:t>z</w:t>
      </w:r>
      <w:r w:rsidRPr="00CE2AB1">
        <w:rPr>
          <w:rFonts w:ascii="Tahoma" w:hAnsi="Tahoma" w:hint="eastAsia"/>
          <w:sz w:val="18"/>
        </w:rPr>
        <w:t>āļ</w:t>
      </w:r>
      <w:r w:rsidRPr="00CE2AB1">
        <w:rPr>
          <w:rFonts w:ascii="Tahoma" w:hAnsi="Tahoma"/>
          <w:sz w:val="18"/>
        </w:rPr>
        <w:t>u</w:t>
      </w:r>
      <w:r w:rsidRPr="00907EAA">
        <w:rPr>
          <w:rFonts w:ascii="Tahoma" w:hAnsi="Tahoma"/>
          <w:sz w:val="18"/>
        </w:rPr>
        <w:t xml:space="preserve"> lietošanu var arī apsvērt, ja pacientam fluorhinoloni vai otrās rindas injicējamās zāles izraisa nopietnas blakusparādības.</w:t>
      </w:r>
    </w:p>
    <w:p w:rsidR="00DA3A70" w:rsidRPr="00907EAA" w:rsidP="000D0DB0">
      <w:pPr>
        <w:rPr>
          <w:rFonts w:ascii="Tahoma" w:hAnsi="Tahoma" w:cs="Tahoma"/>
          <w:spacing w:val="-2"/>
          <w:sz w:val="18"/>
          <w:szCs w:val="18"/>
        </w:rPr>
      </w:pPr>
      <w:r w:rsidRPr="00907EAA">
        <w:rPr>
          <w:rFonts w:ascii="Tahoma" w:hAnsi="Tahoma"/>
          <w:spacing w:val="-2"/>
          <w:sz w:val="18"/>
        </w:rPr>
        <w:t>Blakusparādības pēc otrās rindas zāļu no</w:t>
      </w:r>
      <w:r w:rsidR="00456829">
        <w:rPr>
          <w:rFonts w:ascii="Tahoma" w:hAnsi="Tahoma"/>
          <w:spacing w:val="-2"/>
          <w:sz w:val="18"/>
        </w:rPr>
        <w:t>zīmēšanas</w:t>
      </w:r>
      <w:r w:rsidRPr="00907EAA">
        <w:rPr>
          <w:rFonts w:ascii="Tahoma" w:hAnsi="Tahoma"/>
          <w:spacing w:val="-2"/>
          <w:sz w:val="18"/>
        </w:rPr>
        <w:t xml:space="preserve"> jākontrolē atbilstoši starptautiskajiem ieteikumiem, lai mazinātu iespējamību, ka blakusparādību dēļ terapijā vairs nevar izmantot efektīvas zāles [2].</w:t>
      </w:r>
    </w:p>
    <w:p w:rsidR="00DA3A70" w:rsidRPr="00907EAA" w:rsidP="0028467E">
      <w:pPr>
        <w:spacing w:after="120"/>
        <w:rPr>
          <w:rFonts w:ascii="Tahoma" w:hAnsi="Tahoma" w:cs="Tahoma"/>
          <w:sz w:val="18"/>
          <w:szCs w:val="18"/>
        </w:rPr>
      </w:pPr>
      <w:r w:rsidRPr="00907EAA">
        <w:rPr>
          <w:rFonts w:ascii="Tahoma" w:hAnsi="Tahoma"/>
          <w:sz w:val="18"/>
        </w:rPr>
        <w:t xml:space="preserve">Nevēlamās blakusparādības ir jākontrolē, un lēmums par otrās rindas terapijas </w:t>
      </w:r>
      <w:r w:rsidRPr="00907EAA">
        <w:rPr>
          <w:rFonts w:ascii="Tahoma" w:hAnsi="Tahoma"/>
          <w:sz w:val="18"/>
        </w:rPr>
        <w:t>sākša</w:t>
      </w:r>
      <w:r w:rsidRPr="00907EAA">
        <w:rPr>
          <w:rFonts w:ascii="Tahoma" w:hAnsi="Tahoma"/>
          <w:sz w:val="18"/>
        </w:rPr>
        <w:t xml:space="preserve">nu, </w:t>
      </w:r>
      <w:r w:rsidR="00456829">
        <w:rPr>
          <w:rFonts w:ascii="Tahoma" w:hAnsi="Tahoma"/>
          <w:sz w:val="18"/>
        </w:rPr>
        <w:t>mainīšanu</w:t>
      </w:r>
      <w:r w:rsidRPr="00907EAA">
        <w:rPr>
          <w:rFonts w:ascii="Tahoma" w:hAnsi="Tahoma"/>
          <w:sz w:val="18"/>
        </w:rPr>
        <w:t xml:space="preserve"> vai pārtraukšanu ir jāpieņem ekspertu komandai (piemēram, “TB konsīlijam” vai līdzīgai padomei), nevis atsevišķam ārstam, lai tādējādi mazinātu kļūdu iespējamību, uzņemtos kopīgus pienākumus un dalītos pieredzē un zināšanās [28, 3</w:t>
      </w:r>
      <w:r w:rsidRPr="00907EAA">
        <w:rPr>
          <w:rFonts w:ascii="Tahoma" w:hAnsi="Tahoma"/>
          <w:sz w:val="18"/>
        </w:rPr>
        <w:t>0, 31]. Jādara viss iespējamais, lai izvairītos no plašākas zāļu rezistences veidošanās.</w:t>
      </w:r>
    </w:p>
    <w:p w:rsidR="00DA3A70" w:rsidRPr="00907EAA" w:rsidP="0028467E">
      <w:pPr>
        <w:spacing w:after="120"/>
        <w:rPr>
          <w:rFonts w:ascii="Tahoma" w:hAnsi="Tahoma" w:cs="Tahoma"/>
          <w:sz w:val="18"/>
          <w:szCs w:val="18"/>
        </w:rPr>
      </w:pPr>
      <w:r w:rsidRPr="00907EAA">
        <w:rPr>
          <w:rFonts w:ascii="Tahoma" w:hAnsi="Tahoma"/>
          <w:sz w:val="18"/>
        </w:rPr>
        <w:t>PVO norāda, ka atsevišķos plaušu tuberkulozes gadījumos līdztekus ķīmijterapijai var veikt arī ķirurģisku ārstēšanu, piemēram, pacientiem ar lielām kavernām vienā plau</w:t>
      </w:r>
      <w:r w:rsidRPr="00907EAA">
        <w:rPr>
          <w:rFonts w:ascii="Tahoma" w:hAnsi="Tahoma"/>
          <w:sz w:val="18"/>
        </w:rPr>
        <w:t>šu daivā [23]. Šī joma vēl ir jāizpēta sīkāk.</w:t>
      </w:r>
    </w:p>
    <w:p w:rsidR="00835340" w:rsidRPr="00907EAA">
      <w:pPr>
        <w:spacing w:after="160" w:line="259" w:lineRule="auto"/>
        <w:rPr>
          <w:b/>
        </w:rPr>
      </w:pPr>
      <w:r w:rsidRPr="00907EAA">
        <w:br w:type="page"/>
      </w:r>
    </w:p>
    <w:p w:rsidR="00DA3A70" w:rsidRPr="00907EAA" w:rsidP="0028467E">
      <w:pPr>
        <w:spacing w:after="120"/>
        <w:rPr>
          <w:rFonts w:ascii="Tahoma" w:hAnsi="Tahoma" w:cs="Tahoma"/>
          <w:b/>
          <w:sz w:val="18"/>
          <w:szCs w:val="18"/>
        </w:rPr>
      </w:pPr>
      <w:r w:rsidRPr="00907EAA">
        <w:rPr>
          <w:rFonts w:ascii="Tahoma" w:hAnsi="Tahoma"/>
          <w:b/>
          <w:sz w:val="18"/>
        </w:rPr>
        <w:t xml:space="preserve">Pasaules Veselības organizācijas noteiktā </w:t>
      </w:r>
      <w:r w:rsidRPr="00907EAA">
        <w:rPr>
          <w:rFonts w:ascii="Tahoma" w:hAnsi="Tahoma"/>
          <w:b/>
          <w:sz w:val="18"/>
        </w:rPr>
        <w:t>pret</w:t>
      </w:r>
      <w:r w:rsidRPr="00907EAA">
        <w:rPr>
          <w:rFonts w:ascii="Tahoma" w:hAnsi="Tahoma"/>
          <w:b/>
          <w:sz w:val="18"/>
        </w:rPr>
        <w:t>tuberkulozes zāļu klasifikācija [23]</w:t>
      </w:r>
    </w:p>
    <w:tbl>
      <w:tblPr>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3031"/>
        <w:gridCol w:w="675"/>
        <w:gridCol w:w="2528"/>
        <w:gridCol w:w="2835"/>
      </w:tblGrid>
      <w:tr w:rsidTr="0028467E">
        <w:tblPrEx>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Ex>
        <w:tc>
          <w:tcPr>
            <w:tcW w:w="3031" w:type="dxa"/>
            <w:shd w:val="clear" w:color="auto" w:fill="69AF23"/>
          </w:tcPr>
          <w:p w:rsidR="00DA3A70" w:rsidRPr="00907EAA" w:rsidP="0028467E">
            <w:pPr>
              <w:autoSpaceDE w:val="0"/>
              <w:autoSpaceDN w:val="0"/>
              <w:adjustRightInd w:val="0"/>
              <w:spacing w:before="120" w:after="120" w:line="240" w:lineRule="auto"/>
              <w:ind w:left="720"/>
              <w:jc w:val="both"/>
              <w:rPr>
                <w:rFonts w:ascii="Tahoma" w:hAnsi="Tahoma" w:cs="Tahoma"/>
                <w:b/>
                <w:color w:val="FFFFFF" w:themeColor="background1"/>
                <w:sz w:val="18"/>
                <w:szCs w:val="18"/>
              </w:rPr>
            </w:pPr>
            <w:r w:rsidRPr="00907EAA">
              <w:rPr>
                <w:rFonts w:ascii="Tahoma" w:hAnsi="Tahoma"/>
                <w:b/>
                <w:color w:val="FFFFFF" w:themeColor="background1"/>
                <w:sz w:val="18"/>
              </w:rPr>
              <w:t>Grupa</w:t>
            </w:r>
          </w:p>
        </w:tc>
        <w:tc>
          <w:tcPr>
            <w:tcW w:w="3203" w:type="dxa"/>
            <w:gridSpan w:val="2"/>
            <w:shd w:val="clear" w:color="auto" w:fill="69AF23"/>
          </w:tcPr>
          <w:p w:rsidR="00DA3A70" w:rsidRPr="00907EAA" w:rsidP="0028467E">
            <w:pPr>
              <w:autoSpaceDE w:val="0"/>
              <w:autoSpaceDN w:val="0"/>
              <w:adjustRightInd w:val="0"/>
              <w:spacing w:before="120" w:after="120" w:line="240" w:lineRule="auto"/>
              <w:jc w:val="both"/>
              <w:rPr>
                <w:rFonts w:ascii="Tahoma" w:hAnsi="Tahoma" w:cs="Tahoma"/>
                <w:b/>
                <w:color w:val="FFFFFF" w:themeColor="background1"/>
                <w:sz w:val="18"/>
                <w:szCs w:val="18"/>
              </w:rPr>
            </w:pPr>
            <w:r w:rsidRPr="00907EAA">
              <w:rPr>
                <w:rFonts w:ascii="Tahoma" w:hAnsi="Tahoma"/>
                <w:b/>
                <w:color w:val="FFFFFF" w:themeColor="background1"/>
                <w:sz w:val="18"/>
              </w:rPr>
              <w:t>Zāles</w:t>
            </w:r>
          </w:p>
        </w:tc>
        <w:tc>
          <w:tcPr>
            <w:tcW w:w="2835" w:type="dxa"/>
            <w:shd w:val="clear" w:color="auto" w:fill="69AF23"/>
          </w:tcPr>
          <w:p w:rsidR="00DA3A70" w:rsidRPr="00907EAA" w:rsidP="0028467E">
            <w:pPr>
              <w:autoSpaceDE w:val="0"/>
              <w:autoSpaceDN w:val="0"/>
              <w:adjustRightInd w:val="0"/>
              <w:spacing w:before="120" w:after="120" w:line="240" w:lineRule="auto"/>
              <w:jc w:val="both"/>
              <w:rPr>
                <w:rFonts w:ascii="Tahoma" w:hAnsi="Tahoma" w:cs="Tahoma"/>
                <w:b/>
                <w:color w:val="FFFFFF" w:themeColor="background1"/>
                <w:sz w:val="18"/>
                <w:szCs w:val="18"/>
              </w:rPr>
            </w:pPr>
            <w:r w:rsidRPr="00907EAA">
              <w:rPr>
                <w:rFonts w:ascii="Tahoma" w:hAnsi="Tahoma"/>
                <w:b/>
                <w:color w:val="FFFFFF" w:themeColor="background1"/>
                <w:sz w:val="18"/>
              </w:rPr>
              <w:t>Saīsinājums</w:t>
            </w:r>
          </w:p>
        </w:tc>
      </w:tr>
      <w:tr w:rsidTr="0028467E">
        <w:tblPrEx>
          <w:tblW w:w="9069" w:type="dxa"/>
          <w:tblLook w:val="04A0"/>
        </w:tblPrEx>
        <w:tc>
          <w:tcPr>
            <w:tcW w:w="3031" w:type="dxa"/>
            <w:shd w:val="clear" w:color="auto" w:fill="auto"/>
          </w:tcPr>
          <w:p w:rsidR="00DA3A70" w:rsidRPr="00907EAA"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907EAA">
              <w:rPr>
                <w:rFonts w:ascii="Tahoma" w:hAnsi="Tahoma"/>
                <w:sz w:val="18"/>
              </w:rPr>
              <w:t>Fluorhinoloni</w:t>
            </w:r>
          </w:p>
        </w:tc>
        <w:tc>
          <w:tcPr>
            <w:tcW w:w="3203" w:type="dxa"/>
            <w:gridSpan w:val="2"/>
            <w:shd w:val="clear" w:color="auto" w:fill="auto"/>
          </w:tcPr>
          <w:p w:rsidR="00DA3A70" w:rsidRPr="00907EAA" w:rsidP="000D0DB0">
            <w:pPr>
              <w:autoSpaceDE w:val="0"/>
              <w:autoSpaceDN w:val="0"/>
              <w:adjustRightInd w:val="0"/>
              <w:spacing w:after="0" w:line="240" w:lineRule="auto"/>
              <w:rPr>
                <w:rFonts w:ascii="Tahoma" w:hAnsi="Tahoma" w:cs="Tahoma"/>
                <w:sz w:val="18"/>
                <w:szCs w:val="18"/>
              </w:rPr>
            </w:pPr>
            <w:r w:rsidRPr="00907EAA">
              <w:rPr>
                <w:rFonts w:ascii="Tahoma" w:hAnsi="Tahoma"/>
                <w:sz w:val="18"/>
              </w:rPr>
              <w:t>Levofloksacīns</w:t>
            </w:r>
          </w:p>
          <w:p w:rsidR="00DA3A70" w:rsidRPr="00907EAA" w:rsidP="000D0DB0">
            <w:pPr>
              <w:autoSpaceDE w:val="0"/>
              <w:autoSpaceDN w:val="0"/>
              <w:adjustRightInd w:val="0"/>
              <w:spacing w:after="0" w:line="240" w:lineRule="auto"/>
              <w:rPr>
                <w:rFonts w:ascii="Tahoma" w:hAnsi="Tahoma" w:cs="Tahoma"/>
                <w:sz w:val="18"/>
                <w:szCs w:val="18"/>
              </w:rPr>
            </w:pPr>
            <w:r w:rsidRPr="00907EAA">
              <w:rPr>
                <w:rFonts w:ascii="Tahoma" w:hAnsi="Tahoma"/>
                <w:sz w:val="18"/>
              </w:rPr>
              <w:t>Moksifloksacīns</w:t>
            </w:r>
          </w:p>
          <w:p w:rsidR="00DA3A70" w:rsidRPr="00907EAA" w:rsidP="000D0DB0">
            <w:pPr>
              <w:autoSpaceDE w:val="0"/>
              <w:autoSpaceDN w:val="0"/>
              <w:adjustRightInd w:val="0"/>
              <w:spacing w:after="0" w:line="240" w:lineRule="auto"/>
              <w:rPr>
                <w:rFonts w:ascii="Tahoma" w:hAnsi="Tahoma" w:cs="Tahoma"/>
                <w:sz w:val="18"/>
                <w:szCs w:val="18"/>
              </w:rPr>
            </w:pPr>
            <w:r w:rsidRPr="00907EAA">
              <w:rPr>
                <w:rFonts w:ascii="Tahoma" w:hAnsi="Tahoma"/>
                <w:sz w:val="18"/>
              </w:rPr>
              <w:t>Gatifloksacīns</w:t>
            </w:r>
          </w:p>
        </w:tc>
        <w:tc>
          <w:tcPr>
            <w:tcW w:w="2835" w:type="dxa"/>
            <w:shd w:val="clear" w:color="auto" w:fill="auto"/>
          </w:tcPr>
          <w:p w:rsidR="00DA3A70" w:rsidRPr="00907EAA" w:rsidP="000D0DB0">
            <w:pPr>
              <w:autoSpaceDE w:val="0"/>
              <w:autoSpaceDN w:val="0"/>
              <w:adjustRightInd w:val="0"/>
              <w:spacing w:after="0" w:line="240" w:lineRule="auto"/>
              <w:rPr>
                <w:rFonts w:ascii="Tahoma" w:hAnsi="Tahoma" w:cs="Tahoma"/>
                <w:sz w:val="18"/>
                <w:szCs w:val="18"/>
              </w:rPr>
            </w:pPr>
            <w:r w:rsidRPr="00907EAA">
              <w:rPr>
                <w:rFonts w:ascii="Tahoma" w:hAnsi="Tahoma"/>
                <w:sz w:val="18"/>
              </w:rPr>
              <w:t>Lfx</w:t>
            </w:r>
          </w:p>
          <w:p w:rsidR="00DA3A70" w:rsidRPr="00907EAA" w:rsidP="000D0DB0">
            <w:pPr>
              <w:autoSpaceDE w:val="0"/>
              <w:autoSpaceDN w:val="0"/>
              <w:adjustRightInd w:val="0"/>
              <w:spacing w:after="0" w:line="240" w:lineRule="auto"/>
              <w:rPr>
                <w:rFonts w:ascii="Tahoma" w:hAnsi="Tahoma" w:cs="Tahoma"/>
                <w:sz w:val="18"/>
                <w:szCs w:val="18"/>
              </w:rPr>
            </w:pPr>
            <w:r w:rsidRPr="00907EAA">
              <w:rPr>
                <w:rFonts w:ascii="Tahoma" w:hAnsi="Tahoma"/>
                <w:sz w:val="18"/>
              </w:rPr>
              <w:t>Mfx</w:t>
            </w:r>
          </w:p>
          <w:p w:rsidR="00DA3A70" w:rsidRPr="00907EAA" w:rsidP="000D0DB0">
            <w:pPr>
              <w:autoSpaceDE w:val="0"/>
              <w:autoSpaceDN w:val="0"/>
              <w:adjustRightInd w:val="0"/>
              <w:spacing w:after="0" w:line="240" w:lineRule="auto"/>
              <w:rPr>
                <w:rFonts w:ascii="Tahoma" w:hAnsi="Tahoma" w:cs="Tahoma"/>
                <w:sz w:val="18"/>
                <w:szCs w:val="18"/>
              </w:rPr>
            </w:pPr>
            <w:r w:rsidRPr="00907EAA">
              <w:rPr>
                <w:rFonts w:ascii="Tahoma" w:hAnsi="Tahoma"/>
                <w:sz w:val="18"/>
              </w:rPr>
              <w:t>Gfx</w:t>
            </w:r>
          </w:p>
        </w:tc>
      </w:tr>
      <w:tr w:rsidTr="0028467E">
        <w:tblPrEx>
          <w:tblW w:w="9069" w:type="dxa"/>
          <w:tblLook w:val="04A0"/>
        </w:tblPrEx>
        <w:tc>
          <w:tcPr>
            <w:tcW w:w="3031" w:type="dxa"/>
            <w:shd w:val="clear" w:color="auto" w:fill="auto"/>
          </w:tcPr>
          <w:p w:rsidR="00DA3A70" w:rsidRPr="00907EAA"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907EAA">
              <w:rPr>
                <w:rFonts w:ascii="Tahoma" w:hAnsi="Tahoma"/>
                <w:sz w:val="18"/>
              </w:rPr>
              <w:t xml:space="preserve">Otrās rindas injicējamās </w:t>
            </w:r>
            <w:r w:rsidRPr="00907EAA">
              <w:rPr>
                <w:rFonts w:ascii="Tahoma" w:hAnsi="Tahoma"/>
                <w:sz w:val="18"/>
              </w:rPr>
              <w:t>zāles</w:t>
            </w:r>
          </w:p>
        </w:tc>
        <w:tc>
          <w:tcPr>
            <w:tcW w:w="3203" w:type="dxa"/>
            <w:gridSpan w:val="2"/>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Amikacīns</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Kapreomicīns</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Kanamicīns</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(Streptomicīns)</w:t>
            </w:r>
          </w:p>
        </w:tc>
        <w:tc>
          <w:tcPr>
            <w:tcW w:w="2835" w:type="dxa"/>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Am</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Cm</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Km</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(S)</w:t>
            </w:r>
          </w:p>
        </w:tc>
      </w:tr>
      <w:tr w:rsidTr="0028467E">
        <w:tblPrEx>
          <w:tblW w:w="9069" w:type="dxa"/>
          <w:tblLook w:val="04A0"/>
        </w:tblPrEx>
        <w:tc>
          <w:tcPr>
            <w:tcW w:w="3031" w:type="dxa"/>
            <w:shd w:val="clear" w:color="auto" w:fill="auto"/>
          </w:tcPr>
          <w:p w:rsidR="00DA3A70" w:rsidRPr="00907EAA"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907EAA">
              <w:rPr>
                <w:rFonts w:ascii="Tahoma" w:hAnsi="Tahoma"/>
                <w:sz w:val="18"/>
              </w:rPr>
              <w:t>Citas otrās rindas pamata zāles</w:t>
            </w:r>
          </w:p>
        </w:tc>
        <w:tc>
          <w:tcPr>
            <w:tcW w:w="3203" w:type="dxa"/>
            <w:gridSpan w:val="2"/>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Etionamīds/protionamīds</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Cikloserīns/terizidons</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Linezolīds</w:t>
            </w:r>
          </w:p>
          <w:p w:rsidR="00DA3A70" w:rsidRPr="00907EAA" w:rsidP="00BD3F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Klofazimīns</w:t>
            </w:r>
          </w:p>
        </w:tc>
        <w:tc>
          <w:tcPr>
            <w:tcW w:w="2835" w:type="dxa"/>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Eto/Pto</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Cs/Trd</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Lzd</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Cfz</w:t>
            </w:r>
          </w:p>
        </w:tc>
      </w:tr>
      <w:tr w:rsidTr="0028467E">
        <w:tblPrEx>
          <w:tblW w:w="9069" w:type="dxa"/>
          <w:tblLook w:val="04A0"/>
        </w:tblPrEx>
        <w:tc>
          <w:tcPr>
            <w:tcW w:w="3031" w:type="dxa"/>
            <w:vMerge w:val="restart"/>
            <w:shd w:val="clear" w:color="auto" w:fill="auto"/>
          </w:tcPr>
          <w:p w:rsidR="00DA3A70" w:rsidRPr="00907EAA" w:rsidP="00456829">
            <w:pPr>
              <w:pStyle w:val="ListParagraph"/>
              <w:numPr>
                <w:ilvl w:val="0"/>
                <w:numId w:val="32"/>
              </w:numPr>
              <w:autoSpaceDE w:val="0"/>
              <w:autoSpaceDN w:val="0"/>
              <w:adjustRightInd w:val="0"/>
              <w:spacing w:after="0" w:line="240" w:lineRule="auto"/>
              <w:rPr>
                <w:rFonts w:ascii="Tahoma" w:hAnsi="Tahoma" w:cs="Tahoma"/>
                <w:sz w:val="18"/>
                <w:szCs w:val="18"/>
              </w:rPr>
            </w:pPr>
            <w:r w:rsidRPr="00907EAA">
              <w:rPr>
                <w:rFonts w:ascii="Tahoma" w:hAnsi="Tahoma"/>
                <w:sz w:val="18"/>
              </w:rPr>
              <w:t xml:space="preserve">Papildterapijas </w:t>
            </w:r>
            <w:r w:rsidR="00456829">
              <w:rPr>
                <w:rFonts w:ascii="Tahoma" w:hAnsi="Tahoma"/>
                <w:sz w:val="18"/>
              </w:rPr>
              <w:t>zāles</w:t>
            </w:r>
            <w:r w:rsidRPr="00907EAA">
              <w:rPr>
                <w:rFonts w:ascii="Tahoma" w:hAnsi="Tahoma" w:cs="Tahoma"/>
                <w:sz w:val="18"/>
                <w:szCs w:val="18"/>
              </w:rPr>
              <w:br/>
            </w:r>
            <w:r w:rsidRPr="00907EAA">
              <w:rPr>
                <w:rFonts w:ascii="Tahoma" w:hAnsi="Tahoma"/>
                <w:sz w:val="18"/>
              </w:rPr>
              <w:t xml:space="preserve">(nav daļa no pamata </w:t>
            </w:r>
            <w:r w:rsidRPr="00907EAA">
              <w:rPr>
                <w:rFonts w:ascii="Tahoma" w:hAnsi="Tahoma"/>
                <w:i/>
                <w:sz w:val="18"/>
              </w:rPr>
              <w:t>M</w:t>
            </w:r>
            <w:r w:rsidRPr="00907EAA">
              <w:rPr>
                <w:rFonts w:ascii="Tahoma" w:hAnsi="Tahoma"/>
                <w:i/>
                <w:sz w:val="18"/>
              </w:rPr>
              <w:t>R-TB</w:t>
            </w:r>
            <w:r w:rsidRPr="00907EAA">
              <w:rPr>
                <w:rFonts w:ascii="Tahoma" w:hAnsi="Tahoma"/>
                <w:sz w:val="18"/>
              </w:rPr>
              <w:t xml:space="preserve"> ārstēšanas režīma)</w:t>
            </w:r>
          </w:p>
        </w:tc>
        <w:tc>
          <w:tcPr>
            <w:tcW w:w="675" w:type="dxa"/>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D1</w:t>
            </w:r>
          </w:p>
        </w:tc>
        <w:tc>
          <w:tcPr>
            <w:tcW w:w="2528" w:type="dxa"/>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Pirazinamīds</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Etambutols</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Augstas devas izoniazīds</w:t>
            </w:r>
          </w:p>
        </w:tc>
        <w:tc>
          <w:tcPr>
            <w:tcW w:w="2835" w:type="dxa"/>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Z</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E</w:t>
            </w:r>
          </w:p>
          <w:p w:rsidR="00DA3A70" w:rsidRPr="00907EAA" w:rsidP="006F6381">
            <w:pPr>
              <w:autoSpaceDE w:val="0"/>
              <w:autoSpaceDN w:val="0"/>
              <w:adjustRightInd w:val="0"/>
              <w:spacing w:after="0" w:line="240" w:lineRule="auto"/>
              <w:jc w:val="both"/>
              <w:rPr>
                <w:rFonts w:ascii="Tahoma" w:hAnsi="Tahoma" w:cs="Tahoma"/>
                <w:sz w:val="18"/>
                <w:szCs w:val="18"/>
                <w:vertAlign w:val="superscript"/>
              </w:rPr>
            </w:pPr>
            <w:r w:rsidRPr="00907EAA">
              <w:rPr>
                <w:rFonts w:ascii="Tahoma" w:hAnsi="Tahoma"/>
                <w:sz w:val="18"/>
              </w:rPr>
              <w:t xml:space="preserve">H </w:t>
            </w:r>
            <w:r w:rsidRPr="00907EAA">
              <w:rPr>
                <w:rFonts w:ascii="Tahoma" w:hAnsi="Tahoma"/>
                <w:b/>
                <w:sz w:val="18"/>
                <w:vertAlign w:val="subscript"/>
              </w:rPr>
              <w:t>(augstas devas)</w:t>
            </w:r>
          </w:p>
        </w:tc>
      </w:tr>
      <w:tr w:rsidTr="0028467E">
        <w:tblPrEx>
          <w:tblW w:w="9069" w:type="dxa"/>
          <w:tblLook w:val="04A0"/>
        </w:tblPrEx>
        <w:tc>
          <w:tcPr>
            <w:tcW w:w="3031" w:type="dxa"/>
            <w:vMerge/>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D2</w:t>
            </w:r>
          </w:p>
        </w:tc>
        <w:tc>
          <w:tcPr>
            <w:tcW w:w="2528" w:type="dxa"/>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Bedakvilīns</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Delamamīds</w:t>
            </w:r>
          </w:p>
        </w:tc>
        <w:tc>
          <w:tcPr>
            <w:tcW w:w="2835" w:type="dxa"/>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Bdq</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Dlm</w:t>
            </w:r>
          </w:p>
        </w:tc>
      </w:tr>
      <w:tr w:rsidTr="0028467E">
        <w:tblPrEx>
          <w:tblW w:w="9069" w:type="dxa"/>
          <w:tblLook w:val="04A0"/>
        </w:tblPrEx>
        <w:tc>
          <w:tcPr>
            <w:tcW w:w="3031" w:type="dxa"/>
            <w:vMerge/>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D3</w:t>
            </w:r>
          </w:p>
        </w:tc>
        <w:tc>
          <w:tcPr>
            <w:tcW w:w="2528" w:type="dxa"/>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i/>
                <w:sz w:val="18"/>
              </w:rPr>
              <w:t>p</w:t>
            </w:r>
            <w:r w:rsidRPr="00907EAA">
              <w:rPr>
                <w:rFonts w:ascii="Tahoma" w:hAnsi="Tahoma"/>
                <w:sz w:val="18"/>
              </w:rPr>
              <w:t>-aminosalicilskābe</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Imipenēms-cilastatīns</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Meropenēms</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Amoksicilīna klavulanāts</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(Tioacetazons)</w:t>
            </w:r>
          </w:p>
        </w:tc>
        <w:tc>
          <w:tcPr>
            <w:tcW w:w="2835" w:type="dxa"/>
            <w:shd w:val="clear" w:color="auto" w:fill="auto"/>
          </w:tcPr>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PAS</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Ipm</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Mpm</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Amx-Clv</w:t>
            </w:r>
          </w:p>
          <w:p w:rsidR="00DA3A70" w:rsidRPr="00907EAA" w:rsidP="006F6381">
            <w:pPr>
              <w:autoSpaceDE w:val="0"/>
              <w:autoSpaceDN w:val="0"/>
              <w:adjustRightInd w:val="0"/>
              <w:spacing w:after="0" w:line="240" w:lineRule="auto"/>
              <w:jc w:val="both"/>
              <w:rPr>
                <w:rFonts w:ascii="Tahoma" w:hAnsi="Tahoma" w:cs="Tahoma"/>
                <w:sz w:val="18"/>
                <w:szCs w:val="18"/>
              </w:rPr>
            </w:pPr>
            <w:r w:rsidRPr="00907EAA">
              <w:rPr>
                <w:rFonts w:ascii="Tahoma" w:hAnsi="Tahoma"/>
                <w:sz w:val="18"/>
              </w:rPr>
              <w:t>(T)</w:t>
            </w:r>
          </w:p>
        </w:tc>
      </w:tr>
    </w:tbl>
    <w:p w:rsidR="00DA3A70" w:rsidRPr="00907EAA" w:rsidP="00DB519A">
      <w:pPr>
        <w:autoSpaceDE w:val="0"/>
        <w:autoSpaceDN w:val="0"/>
        <w:adjustRightInd w:val="0"/>
        <w:spacing w:after="0"/>
        <w:jc w:val="both"/>
        <w:rPr>
          <w:rFonts w:ascii="Tahoma" w:hAnsi="Tahoma" w:cs="Tahoma"/>
          <w:szCs w:val="24"/>
        </w:rPr>
      </w:pPr>
    </w:p>
    <w:p w:rsidR="00DA3A70" w:rsidRPr="00907EAA" w:rsidP="00DB519A">
      <w:pPr>
        <w:shd w:val="clear" w:color="auto" w:fill="D9D9D9"/>
        <w:autoSpaceDE w:val="0"/>
        <w:autoSpaceDN w:val="0"/>
        <w:adjustRightInd w:val="0"/>
        <w:spacing w:after="0"/>
        <w:jc w:val="both"/>
        <w:rPr>
          <w:rFonts w:ascii="Tahoma" w:hAnsi="Tahoma" w:cs="Tahoma"/>
          <w:b/>
          <w:bCs/>
          <w:sz w:val="24"/>
          <w:szCs w:val="24"/>
        </w:rPr>
      </w:pPr>
      <w:r w:rsidRPr="00907EAA">
        <w:rPr>
          <w:rFonts w:ascii="Tahoma" w:hAnsi="Tahoma"/>
          <w:b/>
          <w:sz w:val="24"/>
          <w:shd w:val="clear" w:color="auto" w:fill="D9D9D9"/>
        </w:rPr>
        <w:t>13. standarts</w:t>
      </w:r>
    </w:p>
    <w:p w:rsidR="00DA3A70" w:rsidRPr="00907EAA" w:rsidP="0028467E">
      <w:pPr>
        <w:spacing w:after="120"/>
        <w:rPr>
          <w:rFonts w:ascii="Tahoma" w:hAnsi="Tahoma" w:cs="Tahoma"/>
          <w:sz w:val="18"/>
          <w:szCs w:val="18"/>
        </w:rPr>
      </w:pPr>
      <w:r w:rsidRPr="00907EAA">
        <w:rPr>
          <w:rFonts w:ascii="Tahoma" w:hAnsi="Tahoma"/>
          <w:sz w:val="18"/>
        </w:rPr>
        <w:t xml:space="preserve">Rakstveidā vai elektroniski ir jādokumentē visas </w:t>
      </w:r>
      <w:r w:rsidR="00D108AE">
        <w:rPr>
          <w:rFonts w:ascii="Tahoma" w:hAnsi="Tahoma"/>
          <w:sz w:val="18"/>
        </w:rPr>
        <w:t xml:space="preserve">saņemtās </w:t>
      </w:r>
      <w:r w:rsidRPr="00907EAA">
        <w:rPr>
          <w:rFonts w:ascii="Tahoma" w:hAnsi="Tahoma"/>
          <w:sz w:val="18"/>
        </w:rPr>
        <w:t xml:space="preserve">zāles, ārstēšanas </w:t>
      </w:r>
      <w:r w:rsidR="00470E92">
        <w:rPr>
          <w:rFonts w:ascii="Tahoma" w:hAnsi="Tahoma"/>
          <w:sz w:val="18"/>
        </w:rPr>
        <w:t>uzraudzība</w:t>
      </w:r>
      <w:r w:rsidRPr="00907EAA" w:rsidR="00470E92">
        <w:rPr>
          <w:rFonts w:ascii="Tahoma" w:hAnsi="Tahoma"/>
          <w:sz w:val="18"/>
        </w:rPr>
        <w:t xml:space="preserve"> </w:t>
      </w:r>
      <w:r w:rsidRPr="00907EAA">
        <w:rPr>
          <w:rFonts w:ascii="Tahoma" w:hAnsi="Tahoma"/>
          <w:sz w:val="18"/>
        </w:rPr>
        <w:t>(tostarp bakterioloģiskā atbilde), blakusparādības un ārstēšanas rezultāti visiem pacientiem.</w:t>
      </w:r>
    </w:p>
    <w:p w:rsidR="00835340" w:rsidRPr="00907EAA" w:rsidP="000D0DB0">
      <w:pPr>
        <w:pStyle w:val="EC-Title-6"/>
        <w:rPr>
          <w:sz w:val="18"/>
          <w:szCs w:val="18"/>
        </w:rPr>
      </w:pPr>
      <w:r w:rsidRPr="00907EAA">
        <w:t>ES specifiskās prasības</w:t>
      </w:r>
    </w:p>
    <w:p w:rsidR="00DA3A70" w:rsidRPr="00907EAA" w:rsidP="00604B0D">
      <w:pPr>
        <w:widowControl w:val="0"/>
        <w:spacing w:after="0"/>
        <w:jc w:val="both"/>
        <w:rPr>
          <w:rFonts w:ascii="Tahoma" w:hAnsi="Tahoma" w:cs="Tahoma"/>
          <w:sz w:val="18"/>
          <w:szCs w:val="18"/>
        </w:rPr>
      </w:pPr>
      <w:r w:rsidRPr="00907EAA">
        <w:rPr>
          <w:rFonts w:ascii="Tahoma" w:hAnsi="Tahoma"/>
          <w:sz w:val="18"/>
        </w:rPr>
        <w:t>Pirmajā saskars</w:t>
      </w:r>
      <w:r w:rsidRPr="00907EAA">
        <w:rPr>
          <w:rFonts w:ascii="Tahoma" w:hAnsi="Tahoma"/>
          <w:sz w:val="18"/>
        </w:rPr>
        <w:t>mes reizē ar katru pacientu jāievāc un pacienta medicīniskajā dokumentācijā jāiekļauj pilna klīniskā un sociālā anamnēze saistībā ar tuberkulozi. Dokumentācijā jāiekļauj pieejamā informācija par iepriekšējo diagnozi, ārstēšanu (ārstēšanas režīmu, devām, il</w:t>
      </w:r>
      <w:r w:rsidRPr="00907EAA">
        <w:rPr>
          <w:rFonts w:ascii="Tahoma" w:hAnsi="Tahoma"/>
          <w:sz w:val="18"/>
        </w:rPr>
        <w:t xml:space="preserve">gumu, ārstēšanas režīma izmaiņām u. tml.) un līdzestību, kā arī pilna informācija par bakterioloģiskajiem rezultātiem diagnosticēšanas brīdī un </w:t>
      </w:r>
      <w:r w:rsidR="00456829">
        <w:rPr>
          <w:rFonts w:ascii="Tahoma" w:hAnsi="Tahoma"/>
          <w:sz w:val="18"/>
        </w:rPr>
        <w:t xml:space="preserve">ārstēšanas laikā </w:t>
      </w:r>
      <w:r w:rsidRPr="00907EAA">
        <w:rPr>
          <w:rFonts w:ascii="Tahoma" w:hAnsi="Tahoma"/>
          <w:sz w:val="18"/>
        </w:rPr>
        <w:t xml:space="preserve">(krēpu </w:t>
      </w:r>
      <w:r w:rsidR="008C4572">
        <w:rPr>
          <w:rFonts w:ascii="Tahoma" w:hAnsi="Tahoma"/>
          <w:sz w:val="18"/>
        </w:rPr>
        <w:t>i</w:t>
      </w:r>
      <w:r w:rsidRPr="00907EAA">
        <w:rPr>
          <w:rFonts w:ascii="Tahoma" w:hAnsi="Tahoma"/>
          <w:sz w:val="18"/>
        </w:rPr>
        <w:t xml:space="preserve">ztriepi, uzsējumu un sugu identificēšanu, pirmās un otrās rindas zāļu jutības testēšanu). Šī informācija ir jāiekļauj dokumentā, ko izsniedz pacientam (izrakstu, </w:t>
      </w:r>
      <w:r w:rsidR="00E734BC">
        <w:rPr>
          <w:rFonts w:ascii="Tahoma" w:hAnsi="Tahoma"/>
          <w:sz w:val="18"/>
        </w:rPr>
        <w:t>nosūtījumu</w:t>
      </w:r>
      <w:r w:rsidRPr="00907EAA" w:rsidR="00E734BC">
        <w:rPr>
          <w:rFonts w:ascii="Tahoma" w:hAnsi="Tahoma"/>
          <w:sz w:val="18"/>
        </w:rPr>
        <w:t xml:space="preserve"> </w:t>
      </w:r>
      <w:r w:rsidRPr="00907EAA">
        <w:rPr>
          <w:rFonts w:ascii="Tahoma" w:hAnsi="Tahoma"/>
          <w:sz w:val="18"/>
        </w:rPr>
        <w:t>vai līdzīgu dokumentu), lai atvieglotu aprūpes turpināšanu, j</w:t>
      </w:r>
      <w:r w:rsidRPr="00907EAA">
        <w:rPr>
          <w:rFonts w:ascii="Tahoma" w:hAnsi="Tahoma"/>
          <w:sz w:val="18"/>
        </w:rPr>
        <w:t>a pacient</w:t>
      </w:r>
      <w:r w:rsidR="00E734BC">
        <w:rPr>
          <w:rFonts w:ascii="Tahoma" w:hAnsi="Tahoma"/>
          <w:sz w:val="18"/>
        </w:rPr>
        <w:t>s</w:t>
      </w:r>
      <w:r w:rsidR="002A4CBA">
        <w:rPr>
          <w:rFonts w:ascii="Tahoma" w:hAnsi="Tahoma"/>
          <w:sz w:val="18"/>
        </w:rPr>
        <w:t xml:space="preserve"> </w:t>
      </w:r>
      <w:r w:rsidR="00E734BC">
        <w:rPr>
          <w:rFonts w:ascii="Tahoma" w:hAnsi="Tahoma"/>
          <w:sz w:val="18"/>
        </w:rPr>
        <w:t>pāriet/tiek pārcelts</w:t>
      </w:r>
      <w:r w:rsidRPr="00907EAA">
        <w:rPr>
          <w:rFonts w:ascii="Tahoma" w:hAnsi="Tahoma"/>
          <w:sz w:val="18"/>
        </w:rPr>
        <w:t xml:space="preserve"> uz citu </w:t>
      </w:r>
      <w:r w:rsidR="00E734BC">
        <w:rPr>
          <w:rFonts w:ascii="Tahoma" w:hAnsi="Tahoma"/>
          <w:sz w:val="18"/>
        </w:rPr>
        <w:t>ārstniecības iestādi/</w:t>
      </w:r>
      <w:r w:rsidRPr="00907EAA">
        <w:rPr>
          <w:rFonts w:ascii="Tahoma" w:hAnsi="Tahoma"/>
          <w:sz w:val="18"/>
        </w:rPr>
        <w:t>nodaļu [32, 33].</w:t>
      </w:r>
    </w:p>
    <w:p w:rsidR="00D830C5" w:rsidRPr="00907EAA" w:rsidP="000D0DB0">
      <w:pPr>
        <w:pStyle w:val="EC-Title-5"/>
        <w:spacing w:before="120"/>
      </w:pPr>
      <w:r w:rsidRPr="00907EAA">
        <w:t xml:space="preserve">HIV infekcijas un blakusslimību risināšanas standarti </w:t>
      </w:r>
    </w:p>
    <w:p w:rsidR="00DA3A70" w:rsidRPr="00907EAA" w:rsidP="00DB519A">
      <w:pPr>
        <w:shd w:val="clear" w:color="auto" w:fill="D9D9D9"/>
        <w:autoSpaceDE w:val="0"/>
        <w:autoSpaceDN w:val="0"/>
        <w:adjustRightInd w:val="0"/>
        <w:spacing w:after="0"/>
        <w:jc w:val="both"/>
        <w:rPr>
          <w:rFonts w:ascii="Tahoma" w:hAnsi="Tahoma" w:cs="Tahoma"/>
          <w:b/>
          <w:bCs/>
          <w:i/>
          <w:sz w:val="24"/>
          <w:szCs w:val="24"/>
        </w:rPr>
      </w:pPr>
      <w:r w:rsidRPr="00907EAA">
        <w:rPr>
          <w:rFonts w:ascii="Tahoma" w:hAnsi="Tahoma"/>
          <w:b/>
          <w:sz w:val="24"/>
          <w:shd w:val="clear" w:color="auto" w:fill="D9D9D9"/>
        </w:rPr>
        <w:t>14. standarts</w:t>
      </w:r>
    </w:p>
    <w:p w:rsidR="00DA3A70" w:rsidRPr="00907EAA" w:rsidP="0028467E">
      <w:pPr>
        <w:spacing w:after="120"/>
        <w:rPr>
          <w:rFonts w:ascii="Tahoma" w:hAnsi="Tahoma" w:cs="Tahoma"/>
          <w:sz w:val="18"/>
          <w:szCs w:val="18"/>
        </w:rPr>
      </w:pPr>
      <w:r w:rsidRPr="00907EAA">
        <w:rPr>
          <w:rFonts w:ascii="Tahoma" w:hAnsi="Tahoma"/>
          <w:sz w:val="18"/>
        </w:rPr>
        <w:t xml:space="preserve">Visi pacienti ar apstiprinātu tuberkulozi vai aizdomām par tuberkulozi ir jākonsultē par HIV, kā arī viņiem jāiesaka veikt HIV testu. </w:t>
      </w:r>
      <w:r w:rsidR="00864FA8">
        <w:rPr>
          <w:rFonts w:ascii="Tahoma" w:hAnsi="Tahoma"/>
          <w:sz w:val="18"/>
        </w:rPr>
        <w:t>T</w:t>
      </w:r>
      <w:r w:rsidRPr="00907EAA">
        <w:rPr>
          <w:rFonts w:ascii="Tahoma" w:hAnsi="Tahoma"/>
          <w:sz w:val="18"/>
        </w:rPr>
        <w:t xml:space="preserve">estēšana ir ļoti nozīmīga daļa no visu pacientu rutīnās aprūpes </w:t>
      </w:r>
      <w:r w:rsidR="00864FA8">
        <w:rPr>
          <w:rFonts w:ascii="Tahoma" w:hAnsi="Tahoma"/>
          <w:sz w:val="18"/>
        </w:rPr>
        <w:t>rajonos</w:t>
      </w:r>
      <w:r w:rsidRPr="00907EAA">
        <w:rPr>
          <w:rFonts w:ascii="Tahoma" w:hAnsi="Tahoma"/>
          <w:sz w:val="18"/>
        </w:rPr>
        <w:t xml:space="preserve"> ar plašu HIV infekcijas izplatību v</w:t>
      </w:r>
      <w:r w:rsidRPr="00907EAA">
        <w:rPr>
          <w:rFonts w:ascii="Tahoma" w:hAnsi="Tahoma"/>
          <w:sz w:val="18"/>
        </w:rPr>
        <w:t>ispārējā populācijā, kā arī nozīmīga pacientiem no augsta riska populācijas vai pacientiem, kuriem ir ar HIV saistītu slimību simptomi un/vai pazīmes. Ņemot vērā ciešo mijiedarbību starp tuberkulozi un HIV infekciju, ieteicams izmantot integrētas pieejas a</w:t>
      </w:r>
      <w:r w:rsidRPr="00907EAA">
        <w:rPr>
          <w:rFonts w:ascii="Tahoma" w:hAnsi="Tahoma"/>
          <w:sz w:val="18"/>
        </w:rPr>
        <w:t>bu infekciju profilaksē un ārstēšanā [34].</w:t>
      </w:r>
    </w:p>
    <w:p w:rsidR="00DA3A70" w:rsidRPr="00907EAA" w:rsidP="00DB519A">
      <w:pPr>
        <w:shd w:val="clear" w:color="auto" w:fill="D9D9D9"/>
        <w:autoSpaceDE w:val="0"/>
        <w:autoSpaceDN w:val="0"/>
        <w:adjustRightInd w:val="0"/>
        <w:spacing w:after="0"/>
        <w:jc w:val="both"/>
        <w:rPr>
          <w:rFonts w:ascii="Tahoma" w:hAnsi="Tahoma" w:cs="Tahoma"/>
          <w:b/>
          <w:bCs/>
          <w:sz w:val="24"/>
          <w:szCs w:val="24"/>
        </w:rPr>
      </w:pPr>
      <w:r w:rsidRPr="00907EAA">
        <w:rPr>
          <w:rFonts w:ascii="Tahoma" w:hAnsi="Tahoma"/>
          <w:b/>
          <w:sz w:val="24"/>
          <w:shd w:val="clear" w:color="auto" w:fill="D9D9D9"/>
        </w:rPr>
        <w:t>15. standarts</w:t>
      </w:r>
    </w:p>
    <w:p w:rsidR="00DA3A70" w:rsidRPr="00907EAA" w:rsidP="0028467E">
      <w:pPr>
        <w:spacing w:after="120"/>
        <w:rPr>
          <w:rFonts w:ascii="Tahoma" w:hAnsi="Tahoma" w:cs="Tahoma"/>
          <w:sz w:val="18"/>
          <w:szCs w:val="18"/>
        </w:rPr>
      </w:pPr>
      <w:r w:rsidRPr="00907EAA">
        <w:rPr>
          <w:rFonts w:ascii="Tahoma" w:hAnsi="Tahoma"/>
          <w:sz w:val="18"/>
        </w:rPr>
        <w:t xml:space="preserve">Visiem tuberkulozes un HIV infekcijas pacientiem ir jāveic rūpīga klīniskā izvērtēšana, tātad, visiem HIV pozitīvajiem tuberkulozes pacientiem ir ieteicama </w:t>
      </w:r>
      <w:r w:rsidR="00E734BC">
        <w:rPr>
          <w:rFonts w:ascii="Tahoma" w:hAnsi="Tahoma"/>
          <w:sz w:val="18"/>
        </w:rPr>
        <w:t>antiretrovirālā</w:t>
      </w:r>
      <w:r w:rsidRPr="00907EAA" w:rsidR="00E734BC">
        <w:rPr>
          <w:rFonts w:ascii="Tahoma" w:hAnsi="Tahoma"/>
          <w:sz w:val="18"/>
        </w:rPr>
        <w:t xml:space="preserve"> </w:t>
      </w:r>
      <w:r w:rsidRPr="00907EAA">
        <w:rPr>
          <w:rFonts w:ascii="Tahoma" w:hAnsi="Tahoma"/>
          <w:sz w:val="18"/>
        </w:rPr>
        <w:t xml:space="preserve">terapija. </w:t>
      </w:r>
      <w:r w:rsidRPr="00907EAA">
        <w:rPr>
          <w:rFonts w:ascii="Tahoma" w:hAnsi="Tahoma"/>
          <w:sz w:val="18"/>
        </w:rPr>
        <w:t>Tuberkulozes ārstēšana jā</w:t>
      </w:r>
      <w:r w:rsidRPr="00907EAA">
        <w:rPr>
          <w:rFonts w:ascii="Tahoma" w:hAnsi="Tahoma"/>
          <w:sz w:val="18"/>
        </w:rPr>
        <w:t xml:space="preserve">sāk nekavējoties, savukārt </w:t>
      </w:r>
      <w:r w:rsidR="00E734BC">
        <w:rPr>
          <w:rFonts w:ascii="Tahoma" w:hAnsi="Tahoma"/>
          <w:sz w:val="18"/>
        </w:rPr>
        <w:t>antiretrovirālā</w:t>
      </w:r>
      <w:r w:rsidRPr="00907EAA" w:rsidR="00E734BC">
        <w:rPr>
          <w:rFonts w:ascii="Tahoma" w:hAnsi="Tahoma"/>
          <w:sz w:val="18"/>
        </w:rPr>
        <w:t xml:space="preserve"> </w:t>
      </w:r>
      <w:r w:rsidRPr="00907EAA">
        <w:rPr>
          <w:rFonts w:ascii="Tahoma" w:hAnsi="Tahoma"/>
          <w:sz w:val="18"/>
        </w:rPr>
        <w:t>terapija jā</w:t>
      </w:r>
      <w:r w:rsidRPr="00907EAA">
        <w:rPr>
          <w:rFonts w:ascii="Tahoma" w:hAnsi="Tahoma"/>
          <w:sz w:val="18"/>
        </w:rPr>
        <w:t>sāk pēc iespējas drīzāk.</w:t>
      </w:r>
    </w:p>
    <w:p w:rsidR="00DA3A70" w:rsidRPr="00907EAA" w:rsidP="00DB519A">
      <w:pPr>
        <w:shd w:val="clear" w:color="auto" w:fill="D9D9D9"/>
        <w:autoSpaceDE w:val="0"/>
        <w:autoSpaceDN w:val="0"/>
        <w:adjustRightInd w:val="0"/>
        <w:spacing w:after="0"/>
        <w:jc w:val="both"/>
        <w:rPr>
          <w:rFonts w:ascii="Tahoma" w:hAnsi="Tahoma" w:cs="Tahoma"/>
          <w:i/>
          <w:sz w:val="24"/>
          <w:szCs w:val="24"/>
          <w:shd w:val="clear" w:color="auto" w:fill="D9D9D9"/>
        </w:rPr>
      </w:pPr>
      <w:r w:rsidRPr="00907EAA">
        <w:rPr>
          <w:rFonts w:ascii="Tahoma" w:hAnsi="Tahoma"/>
          <w:b/>
          <w:sz w:val="24"/>
          <w:shd w:val="clear" w:color="auto" w:fill="D9D9D9"/>
        </w:rPr>
        <w:t>16. standarts</w:t>
      </w:r>
    </w:p>
    <w:p w:rsidR="00DA3A70" w:rsidRPr="00907EAA" w:rsidP="0028467E">
      <w:pPr>
        <w:spacing w:after="120"/>
        <w:rPr>
          <w:rFonts w:ascii="Tahoma" w:hAnsi="Tahoma" w:cs="Tahoma"/>
          <w:sz w:val="18"/>
          <w:szCs w:val="18"/>
        </w:rPr>
      </w:pPr>
      <w:r w:rsidRPr="00907EAA">
        <w:rPr>
          <w:rFonts w:ascii="Tahoma" w:hAnsi="Tahoma"/>
          <w:sz w:val="18"/>
        </w:rPr>
        <w:t xml:space="preserve">Pacientiem ar HIV </w:t>
      </w:r>
      <w:r w:rsidRPr="00907EAA">
        <w:rPr>
          <w:rFonts w:ascii="Tahoma" w:hAnsi="Tahoma"/>
          <w:sz w:val="18"/>
        </w:rPr>
        <w:t xml:space="preserve">infekciju, kuriem pēc rūpīgas izvērtēšanas konstatēts pozitīvs </w:t>
      </w:r>
      <w:r w:rsidRPr="00907EAA">
        <w:rPr>
          <w:rFonts w:ascii="Tahoma" w:hAnsi="Tahoma"/>
          <w:sz w:val="18"/>
        </w:rPr>
        <w:t>test</w:t>
      </w:r>
      <w:r w:rsidR="00CC23BB">
        <w:rPr>
          <w:rFonts w:ascii="Tahoma" w:hAnsi="Tahoma"/>
          <w:sz w:val="18"/>
        </w:rPr>
        <w:t>s</w:t>
      </w:r>
      <w:r w:rsidRPr="00907EAA">
        <w:rPr>
          <w:rFonts w:ascii="Tahoma" w:hAnsi="Tahoma"/>
          <w:sz w:val="18"/>
        </w:rPr>
        <w:t xml:space="preserve">, kas liecina par latentu </w:t>
      </w:r>
      <w:r w:rsidRPr="00907EAA">
        <w:rPr>
          <w:rFonts w:ascii="Tahoma" w:hAnsi="Tahoma"/>
          <w:i/>
          <w:sz w:val="18"/>
        </w:rPr>
        <w:t>M. tuberculosis</w:t>
      </w:r>
      <w:r w:rsidRPr="00907EAA">
        <w:rPr>
          <w:rFonts w:ascii="Tahoma" w:hAnsi="Tahoma"/>
          <w:sz w:val="18"/>
        </w:rPr>
        <w:t xml:space="preserve"> ierosinātu infekciju (</w:t>
      </w:r>
      <w:r w:rsidRPr="002A4CBA" w:rsidR="00E734BC">
        <w:rPr>
          <w:rFonts w:ascii="Tahoma" w:hAnsi="Tahoma"/>
          <w:sz w:val="18"/>
        </w:rPr>
        <w:t>tuberkulīna tests</w:t>
      </w:r>
      <w:r w:rsidR="00E734BC">
        <w:rPr>
          <w:rFonts w:ascii="Tahoma" w:hAnsi="Tahoma"/>
          <w:i/>
          <w:sz w:val="18"/>
        </w:rPr>
        <w:t xml:space="preserve"> </w:t>
      </w:r>
      <w:r w:rsidRPr="00907EAA">
        <w:rPr>
          <w:rFonts w:ascii="Tahoma" w:hAnsi="Tahoma"/>
          <w:sz w:val="18"/>
        </w:rPr>
        <w:t xml:space="preserve">un/vai </w:t>
      </w:r>
      <w:r w:rsidRPr="00907EAA">
        <w:rPr>
          <w:rFonts w:ascii="Tahoma" w:hAnsi="Tahoma"/>
          <w:i/>
          <w:sz w:val="18"/>
        </w:rPr>
        <w:t>IGRA</w:t>
      </w:r>
      <w:r w:rsidRPr="00907EAA">
        <w:rPr>
          <w:rFonts w:ascii="Tahoma" w:hAnsi="Tahoma"/>
          <w:sz w:val="18"/>
        </w:rPr>
        <w:t>), bet nav aktīvas tuberkulozes, ir jāpiedāvā profilaktiska terapija.</w:t>
      </w:r>
    </w:p>
    <w:p w:rsidR="00835340" w:rsidRPr="00907EAA" w:rsidP="000D0DB0">
      <w:pPr>
        <w:pStyle w:val="EC-Title-6"/>
        <w:rPr>
          <w:sz w:val="18"/>
          <w:szCs w:val="18"/>
        </w:rPr>
      </w:pPr>
      <w:r w:rsidRPr="00907EAA">
        <w:t>ES specifiskās prasības</w:t>
      </w:r>
    </w:p>
    <w:p w:rsidR="00DA3A70" w:rsidRPr="00907EAA" w:rsidP="000D0DB0">
      <w:pPr>
        <w:rPr>
          <w:rFonts w:ascii="Tahoma" w:hAnsi="Tahoma" w:cs="Tahoma"/>
          <w:sz w:val="18"/>
          <w:szCs w:val="18"/>
        </w:rPr>
      </w:pPr>
      <w:r w:rsidRPr="00907EAA">
        <w:rPr>
          <w:rFonts w:ascii="Tahoma" w:hAnsi="Tahoma"/>
          <w:sz w:val="18"/>
        </w:rPr>
        <w:t xml:space="preserve">Tā kā ir zināms, ka HIV </w:t>
      </w:r>
      <w:r w:rsidRPr="00907EAA">
        <w:rPr>
          <w:rFonts w:ascii="Tahoma" w:hAnsi="Tahoma"/>
          <w:sz w:val="18"/>
        </w:rPr>
        <w:t>infekcija paaugstina aktīvas tuberkuloz</w:t>
      </w:r>
      <w:r w:rsidRPr="00907EAA">
        <w:rPr>
          <w:rFonts w:ascii="Tahoma" w:hAnsi="Tahoma"/>
          <w:sz w:val="18"/>
        </w:rPr>
        <w:t xml:space="preserve">es attīstīšanās risku pēc inficēšanās, HIV seropozitīviem pacientiem, kuriem bijis kontakts ar </w:t>
      </w:r>
      <w:r w:rsidRPr="00907EAA">
        <w:rPr>
          <w:rFonts w:ascii="Tahoma" w:hAnsi="Tahoma"/>
          <w:i/>
          <w:sz w:val="18"/>
        </w:rPr>
        <w:t>M</w:t>
      </w:r>
      <w:r w:rsidRPr="00907EAA">
        <w:rPr>
          <w:rFonts w:ascii="Tahoma" w:hAnsi="Tahoma"/>
          <w:i/>
          <w:sz w:val="18"/>
        </w:rPr>
        <w:t>R-TB</w:t>
      </w:r>
      <w:r w:rsidR="00CC23BB">
        <w:rPr>
          <w:rFonts w:ascii="Tahoma" w:hAnsi="Tahoma"/>
          <w:sz w:val="18"/>
        </w:rPr>
        <w:t xml:space="preserve"> pacientu</w:t>
      </w:r>
      <w:r w:rsidRPr="00907EAA">
        <w:rPr>
          <w:rFonts w:ascii="Tahoma" w:hAnsi="Tahoma"/>
          <w:sz w:val="18"/>
        </w:rPr>
        <w:t xml:space="preserve">, sākotnēji ir jāveic individuālā riska novērtējums. Ja ir pierādījumi par latentu infekciju, jānodrošina regulāra pacienta </w:t>
      </w:r>
      <w:r w:rsidRPr="00907EAA">
        <w:rPr>
          <w:rFonts w:ascii="Tahoma" w:hAnsi="Tahoma"/>
          <w:sz w:val="18"/>
        </w:rPr>
        <w:t>klīniskā novērošana un apsekošana [35].</w:t>
      </w:r>
    </w:p>
    <w:p w:rsidR="00DA3A70" w:rsidRPr="00907EAA" w:rsidP="0028467E">
      <w:pPr>
        <w:spacing w:after="120"/>
        <w:rPr>
          <w:rFonts w:ascii="Tahoma" w:hAnsi="Tahoma" w:cs="Tahoma"/>
          <w:sz w:val="18"/>
          <w:szCs w:val="18"/>
        </w:rPr>
      </w:pPr>
      <w:r w:rsidRPr="00907EAA">
        <w:rPr>
          <w:rFonts w:ascii="Tahoma" w:hAnsi="Tahoma"/>
          <w:sz w:val="18"/>
        </w:rPr>
        <w:t xml:space="preserve">Profilaktiskajā terapijā jāņem vērā </w:t>
      </w:r>
      <w:r w:rsidR="00A43093">
        <w:rPr>
          <w:rFonts w:ascii="Tahoma" w:hAnsi="Tahoma"/>
          <w:sz w:val="18"/>
        </w:rPr>
        <w:t xml:space="preserve">infekcijas </w:t>
      </w:r>
      <w:r w:rsidRPr="00907EAA">
        <w:rPr>
          <w:rFonts w:ascii="Tahoma" w:hAnsi="Tahoma"/>
          <w:sz w:val="18"/>
        </w:rPr>
        <w:t xml:space="preserve">avota </w:t>
      </w:r>
      <w:r w:rsidRPr="00907EAA">
        <w:rPr>
          <w:rFonts w:ascii="Tahoma" w:hAnsi="Tahoma"/>
          <w:sz w:val="18"/>
        </w:rPr>
        <w:t>zāļu rezistences</w:t>
      </w:r>
      <w:r w:rsidR="002A4CBA">
        <w:rPr>
          <w:rFonts w:ascii="Tahoma" w:hAnsi="Tahoma"/>
          <w:sz w:val="18"/>
        </w:rPr>
        <w:t xml:space="preserve"> </w:t>
      </w:r>
      <w:r w:rsidR="00A43093">
        <w:rPr>
          <w:rFonts w:ascii="Tahoma" w:hAnsi="Tahoma"/>
          <w:sz w:val="18"/>
        </w:rPr>
        <w:t>dati</w:t>
      </w:r>
      <w:r w:rsidRPr="00907EAA">
        <w:rPr>
          <w:rFonts w:ascii="Tahoma" w:hAnsi="Tahoma"/>
          <w:sz w:val="18"/>
        </w:rPr>
        <w:t xml:space="preserve">, CD4 </w:t>
      </w:r>
      <w:r w:rsidR="00A43093">
        <w:rPr>
          <w:rFonts w:ascii="Tahoma" w:hAnsi="Tahoma"/>
          <w:sz w:val="18"/>
        </w:rPr>
        <w:t xml:space="preserve">šūnu </w:t>
      </w:r>
      <w:r w:rsidRPr="00907EAA">
        <w:rPr>
          <w:rFonts w:ascii="Tahoma" w:hAnsi="Tahoma"/>
          <w:sz w:val="18"/>
        </w:rPr>
        <w:t xml:space="preserve">skaits un </w:t>
      </w:r>
      <w:r w:rsidR="00A43093">
        <w:rPr>
          <w:rFonts w:ascii="Tahoma" w:hAnsi="Tahoma"/>
          <w:sz w:val="18"/>
        </w:rPr>
        <w:t>antiretrovirālās</w:t>
      </w:r>
      <w:r w:rsidRPr="00907EAA" w:rsidR="00A43093">
        <w:rPr>
          <w:rFonts w:ascii="Tahoma" w:hAnsi="Tahoma"/>
          <w:sz w:val="18"/>
        </w:rPr>
        <w:t xml:space="preserve"> </w:t>
      </w:r>
      <w:r w:rsidRPr="00907EAA">
        <w:rPr>
          <w:rFonts w:ascii="Tahoma" w:hAnsi="Tahoma"/>
          <w:sz w:val="18"/>
        </w:rPr>
        <w:t xml:space="preserve">terapijas lietošana. Profilaktiskā terapija jānodrošina 6 mēnešus ar </w:t>
      </w:r>
      <w:r w:rsidRPr="00907EAA">
        <w:rPr>
          <w:rFonts w:ascii="Tahoma" w:hAnsi="Tahoma"/>
          <w:sz w:val="18"/>
        </w:rPr>
        <w:t>izoniazīdu vai 9 mēnešus ar izoniazīdu, vai 3 mēnešus ar rifapentīna un izoniazīda lietošanu vienreiz nedēļā, vai 3–4 mēnešus ar izoniazīdu un rifampicīnu, vai 3-4 mēnešus tikai ar rifampicīnu [36, 37]. Rifampicīnu un rifapentīnu saturoša terapija jānorīko</w:t>
      </w:r>
      <w:r w:rsidRPr="00907EAA">
        <w:rPr>
          <w:rFonts w:ascii="Tahoma" w:hAnsi="Tahoma"/>
          <w:sz w:val="18"/>
        </w:rPr>
        <w:t xml:space="preserve"> piesardzīgi, ja HIV pacients pašlaik lieto </w:t>
      </w:r>
      <w:r w:rsidR="00A43093">
        <w:rPr>
          <w:rFonts w:ascii="Tahoma" w:hAnsi="Tahoma"/>
          <w:sz w:val="18"/>
        </w:rPr>
        <w:t>antiretrovirālo</w:t>
      </w:r>
      <w:r w:rsidRPr="00907EAA" w:rsidR="00A43093">
        <w:rPr>
          <w:rFonts w:ascii="Tahoma" w:hAnsi="Tahoma"/>
          <w:sz w:val="18"/>
        </w:rPr>
        <w:t xml:space="preserve"> </w:t>
      </w:r>
      <w:r w:rsidRPr="00907EAA">
        <w:rPr>
          <w:rFonts w:ascii="Tahoma" w:hAnsi="Tahoma"/>
          <w:sz w:val="18"/>
        </w:rPr>
        <w:t>terapiju, jo ir iespējama zāļu mijiedarbība [36, 38].</w:t>
      </w:r>
    </w:p>
    <w:p w:rsidR="00DA3A70" w:rsidRPr="00907EAA" w:rsidP="00DB519A">
      <w:pPr>
        <w:shd w:val="clear" w:color="auto" w:fill="D9D9D9"/>
        <w:autoSpaceDE w:val="0"/>
        <w:autoSpaceDN w:val="0"/>
        <w:adjustRightInd w:val="0"/>
        <w:spacing w:after="0"/>
        <w:jc w:val="both"/>
        <w:rPr>
          <w:rFonts w:ascii="Tahoma" w:hAnsi="Tahoma" w:cs="Tahoma"/>
          <w:sz w:val="24"/>
          <w:szCs w:val="24"/>
        </w:rPr>
      </w:pPr>
      <w:r w:rsidRPr="00907EAA">
        <w:rPr>
          <w:rFonts w:ascii="Tahoma" w:hAnsi="Tahoma"/>
          <w:b/>
          <w:sz w:val="24"/>
        </w:rPr>
        <w:t>17. standarts</w:t>
      </w:r>
    </w:p>
    <w:p w:rsidR="00DA3A70" w:rsidRPr="00907EAA" w:rsidP="0028467E">
      <w:pPr>
        <w:spacing w:after="120"/>
        <w:rPr>
          <w:rFonts w:ascii="Tahoma" w:hAnsi="Tahoma" w:cs="Tahoma"/>
          <w:sz w:val="18"/>
          <w:szCs w:val="18"/>
        </w:rPr>
      </w:pPr>
      <w:r w:rsidRPr="00907EAA">
        <w:rPr>
          <w:rFonts w:ascii="Tahoma" w:hAnsi="Tahoma"/>
          <w:sz w:val="18"/>
        </w:rPr>
        <w:t>Visiem veselības aprūpes sniedzējiem ir rūpīgi jāizvērtē apstākļi, kas varētu ietekmēt</w:t>
      </w:r>
      <w:r w:rsidR="002A4CBA">
        <w:rPr>
          <w:rFonts w:ascii="Tahoma" w:hAnsi="Tahoma"/>
          <w:sz w:val="18"/>
        </w:rPr>
        <w:t xml:space="preserve"> </w:t>
      </w:r>
      <w:r w:rsidRPr="00907EAA">
        <w:rPr>
          <w:rFonts w:ascii="Tahoma" w:hAnsi="Tahoma"/>
          <w:sz w:val="18"/>
        </w:rPr>
        <w:t>tube</w:t>
      </w:r>
      <w:r w:rsidRPr="00907EAA">
        <w:rPr>
          <w:rFonts w:ascii="Tahoma" w:hAnsi="Tahoma"/>
          <w:sz w:val="18"/>
        </w:rPr>
        <w:t xml:space="preserve">rkulozes terapiju vai tās iznākumu. Izstrādājot gadījumu </w:t>
      </w:r>
      <w:r w:rsidR="007F29BD">
        <w:rPr>
          <w:rFonts w:ascii="Tahoma" w:hAnsi="Tahoma"/>
          <w:sz w:val="18"/>
        </w:rPr>
        <w:t>vadīšanas</w:t>
      </w:r>
      <w:r w:rsidRPr="00907EAA">
        <w:rPr>
          <w:rFonts w:ascii="Tahoma" w:hAnsi="Tahoma"/>
          <w:sz w:val="18"/>
        </w:rPr>
        <w:t xml:space="preserve"> plānu, veselības aprūpes sniedzējam jānosaka vēl citi</w:t>
      </w:r>
      <w:r w:rsidR="002A4CBA">
        <w:rPr>
          <w:rFonts w:ascii="Tahoma" w:hAnsi="Tahoma"/>
          <w:sz w:val="18"/>
        </w:rPr>
        <w:t xml:space="preserve"> </w:t>
      </w:r>
      <w:r w:rsidR="00277933">
        <w:rPr>
          <w:rFonts w:ascii="Tahoma" w:hAnsi="Tahoma"/>
          <w:sz w:val="18"/>
        </w:rPr>
        <w:t>pasākumi</w:t>
      </w:r>
      <w:r w:rsidRPr="00907EAA">
        <w:rPr>
          <w:rFonts w:ascii="Tahoma" w:hAnsi="Tahoma"/>
          <w:sz w:val="18"/>
        </w:rPr>
        <w:t>, kas varētu veicināt optimālu iznākumu katram pacientam, un jāiekļauj šie</w:t>
      </w:r>
      <w:r w:rsidR="002A4CBA">
        <w:rPr>
          <w:rFonts w:ascii="Tahoma" w:hAnsi="Tahoma"/>
          <w:sz w:val="18"/>
        </w:rPr>
        <w:t xml:space="preserve"> </w:t>
      </w:r>
      <w:r w:rsidR="00277933">
        <w:rPr>
          <w:rFonts w:ascii="Tahoma" w:hAnsi="Tahoma"/>
          <w:sz w:val="18"/>
        </w:rPr>
        <w:t>pasākumi</w:t>
      </w:r>
      <w:r w:rsidRPr="00907EAA">
        <w:rPr>
          <w:rFonts w:ascii="Tahoma" w:hAnsi="Tahoma"/>
          <w:sz w:val="18"/>
        </w:rPr>
        <w:t xml:space="preserve"> individuālajā aprūpes plānā. Šajā plānā ir jāiekļauj </w:t>
      </w:r>
      <w:r w:rsidRPr="00907EAA">
        <w:rPr>
          <w:rFonts w:ascii="Tahoma" w:hAnsi="Tahoma"/>
          <w:sz w:val="18"/>
        </w:rPr>
        <w:t xml:space="preserve">citu slimību </w:t>
      </w:r>
      <w:r w:rsidR="00277933">
        <w:rPr>
          <w:rFonts w:ascii="Tahoma" w:hAnsi="Tahoma"/>
          <w:sz w:val="18"/>
        </w:rPr>
        <w:t xml:space="preserve">noteikšana un </w:t>
      </w:r>
      <w:r w:rsidRPr="00907EAA">
        <w:rPr>
          <w:rFonts w:ascii="Tahoma" w:hAnsi="Tahoma"/>
          <w:sz w:val="18"/>
        </w:rPr>
        <w:t>ārstēšana</w:t>
      </w:r>
      <w:r w:rsidRPr="00907EAA">
        <w:rPr>
          <w:rFonts w:ascii="Tahoma" w:hAnsi="Tahoma"/>
          <w:sz w:val="18"/>
        </w:rPr>
        <w:t>, īpašu uzmanību pievēršot slimībām, par kurām zināms, ka tās ietekmē TB ārstēšanas iznākumu, piemēram, HIV, cukura diabēts, atkarība no na</w:t>
      </w:r>
      <w:r w:rsidRPr="00907EAA">
        <w:rPr>
          <w:rFonts w:ascii="Tahoma" w:hAnsi="Tahoma"/>
          <w:sz w:val="18"/>
        </w:rPr>
        <w:t>rkotikām un alkohola, tabakas smēķēšana un citas psihosociālas problēmas [39]. Vajadzības gadījumā jānodrošina arī pēcdzemdību aprūpes vai zīdaiņa</w:t>
      </w:r>
      <w:r w:rsidR="002A4CBA">
        <w:rPr>
          <w:rFonts w:ascii="Tahoma" w:hAnsi="Tahoma"/>
          <w:sz w:val="18"/>
        </w:rPr>
        <w:t xml:space="preserve"> </w:t>
      </w:r>
      <w:r w:rsidR="00277933">
        <w:rPr>
          <w:rFonts w:ascii="Tahoma" w:hAnsi="Tahoma"/>
          <w:sz w:val="18"/>
        </w:rPr>
        <w:t>aprūpes</w:t>
      </w:r>
      <w:r w:rsidRPr="00907EAA">
        <w:rPr>
          <w:rFonts w:ascii="Tahoma" w:hAnsi="Tahoma"/>
          <w:sz w:val="18"/>
        </w:rPr>
        <w:t xml:space="preserve"> pakalpojumi.</w:t>
      </w:r>
    </w:p>
    <w:p w:rsidR="00835340" w:rsidRPr="00907EAA" w:rsidP="000D0DB0">
      <w:pPr>
        <w:pStyle w:val="EC-Title-6"/>
      </w:pPr>
      <w:r w:rsidRPr="00907EAA">
        <w:t>ES specifiskās prasības</w:t>
      </w:r>
    </w:p>
    <w:p w:rsidR="00DA3A70" w:rsidRPr="00907EAA" w:rsidP="0028467E">
      <w:pPr>
        <w:spacing w:after="120"/>
        <w:rPr>
          <w:rFonts w:ascii="Tahoma" w:hAnsi="Tahoma" w:cs="Tahoma"/>
          <w:sz w:val="18"/>
          <w:szCs w:val="18"/>
        </w:rPr>
      </w:pPr>
      <w:r w:rsidRPr="00907EAA">
        <w:rPr>
          <w:rFonts w:ascii="Tahoma" w:hAnsi="Tahoma"/>
          <w:sz w:val="18"/>
        </w:rPr>
        <w:t xml:space="preserve">Attiecībā uz visiem pasākumiem – gan šeit minētajiem, </w:t>
      </w:r>
      <w:r w:rsidRPr="00907EAA">
        <w:rPr>
          <w:rFonts w:ascii="Tahoma" w:hAnsi="Tahoma"/>
          <w:sz w:val="18"/>
        </w:rPr>
        <w:t>gan pārējiem PVO dokumentu paketē iekļautajiem pasākumiem – ir jāīsteno visa dokumentu pakete, kas aprakstīta PVO</w:t>
      </w:r>
      <w:r w:rsidR="002A4CBA">
        <w:rPr>
          <w:rFonts w:ascii="Tahoma" w:hAnsi="Tahoma"/>
          <w:sz w:val="18"/>
        </w:rPr>
        <w:t xml:space="preserve"> </w:t>
      </w:r>
      <w:r w:rsidRPr="00907EAA">
        <w:rPr>
          <w:rFonts w:ascii="Tahoma" w:hAnsi="Tahoma"/>
          <w:sz w:val="18"/>
        </w:rPr>
        <w:t>politikā par sadarbības pasākumiem TB/HIV novēršanas jomā [34].</w:t>
      </w:r>
    </w:p>
    <w:p w:rsidR="00DA3A70" w:rsidRPr="00907EAA" w:rsidP="0028467E">
      <w:pPr>
        <w:pStyle w:val="EC-Title-5"/>
        <w:spacing w:before="120"/>
        <w:rPr>
          <w:b w:val="0"/>
          <w:sz w:val="24"/>
          <w:szCs w:val="24"/>
        </w:rPr>
      </w:pPr>
      <w:r w:rsidRPr="00907EAA">
        <w:t>Sabiedrības veselības un tuberkulozes profilakses standarti</w:t>
      </w:r>
    </w:p>
    <w:p w:rsidR="00DA3A70" w:rsidRPr="00907EAA" w:rsidP="00DB519A">
      <w:pPr>
        <w:shd w:val="clear" w:color="auto" w:fill="D9D9D9"/>
        <w:autoSpaceDE w:val="0"/>
        <w:autoSpaceDN w:val="0"/>
        <w:adjustRightInd w:val="0"/>
        <w:spacing w:after="0"/>
        <w:jc w:val="both"/>
        <w:rPr>
          <w:rFonts w:ascii="Tahoma" w:hAnsi="Tahoma" w:cs="Tahoma"/>
          <w:sz w:val="24"/>
          <w:szCs w:val="24"/>
        </w:rPr>
      </w:pPr>
      <w:r w:rsidRPr="00907EAA">
        <w:rPr>
          <w:rFonts w:ascii="Tahoma" w:hAnsi="Tahoma"/>
          <w:b/>
          <w:sz w:val="24"/>
        </w:rPr>
        <w:t>18. standarts</w:t>
      </w:r>
    </w:p>
    <w:p w:rsidR="00DA3A70" w:rsidRPr="00907EAA" w:rsidP="0028467E">
      <w:pPr>
        <w:spacing w:after="120"/>
        <w:rPr>
          <w:rFonts w:ascii="Tahoma" w:hAnsi="Tahoma" w:cs="Tahoma"/>
          <w:sz w:val="18"/>
          <w:szCs w:val="18"/>
        </w:rPr>
      </w:pPr>
      <w:r w:rsidRPr="00907EAA">
        <w:rPr>
          <w:rFonts w:ascii="Tahoma" w:hAnsi="Tahoma"/>
          <w:sz w:val="18"/>
        </w:rPr>
        <w:t xml:space="preserve">Visiem tuberkulozes pacientu aprūpes sniedzējiem </w:t>
      </w:r>
      <w:r w:rsidRPr="00907EAA" w:rsidR="001F3DBA">
        <w:rPr>
          <w:rFonts w:ascii="Tahoma" w:hAnsi="Tahoma"/>
          <w:sz w:val="18"/>
        </w:rPr>
        <w:t xml:space="preserve">saskaņā ar starptautiskajiem ieteikumiem </w:t>
      </w:r>
      <w:r w:rsidRPr="00907EAA">
        <w:rPr>
          <w:rFonts w:ascii="Tahoma" w:hAnsi="Tahoma"/>
          <w:sz w:val="18"/>
        </w:rPr>
        <w:t xml:space="preserve">ir jānodrošina </w:t>
      </w:r>
      <w:r w:rsidR="001F3DBA">
        <w:rPr>
          <w:rFonts w:ascii="Tahoma" w:hAnsi="Tahoma"/>
          <w:sz w:val="18"/>
        </w:rPr>
        <w:t>to personu izmeklēšana</w:t>
      </w:r>
      <w:r w:rsidRPr="00907EAA" w:rsidR="001F3DBA">
        <w:rPr>
          <w:rFonts w:ascii="Tahoma" w:hAnsi="Tahoma"/>
          <w:sz w:val="18"/>
        </w:rPr>
        <w:t xml:space="preserve"> </w:t>
      </w:r>
      <w:r w:rsidRPr="00907EAA">
        <w:rPr>
          <w:rFonts w:ascii="Tahoma" w:hAnsi="Tahoma"/>
          <w:sz w:val="18"/>
        </w:rPr>
        <w:t xml:space="preserve">un kontrole </w:t>
      </w:r>
      <w:r w:rsidRPr="00907EAA">
        <w:rPr>
          <w:rFonts w:ascii="Tahoma" w:hAnsi="Tahoma"/>
          <w:sz w:val="18"/>
        </w:rPr>
        <w:t>, kuras bijušas ciešā kontaktā ar aktīvas</w:t>
      </w:r>
      <w:r w:rsidRPr="00907EAA">
        <w:rPr>
          <w:rFonts w:ascii="Tahoma" w:hAnsi="Tahoma"/>
          <w:sz w:val="18"/>
        </w:rPr>
        <w:t xml:space="preserve"> un infekciozas tuberkulozes pacientiem. Cieši kontakti ietver </w:t>
      </w:r>
      <w:r w:rsidR="001F3DBA">
        <w:rPr>
          <w:rFonts w:ascii="Tahoma" w:hAnsi="Tahoma"/>
          <w:sz w:val="18"/>
        </w:rPr>
        <w:t>mājsaimniecību</w:t>
      </w:r>
      <w:r w:rsidRPr="00907EAA" w:rsidR="001F3DBA">
        <w:rPr>
          <w:rFonts w:ascii="Tahoma" w:hAnsi="Tahoma"/>
          <w:sz w:val="18"/>
        </w:rPr>
        <w:t xml:space="preserve"> </w:t>
      </w:r>
      <w:r w:rsidRPr="00907EAA">
        <w:rPr>
          <w:rFonts w:ascii="Tahoma" w:hAnsi="Tahoma"/>
          <w:sz w:val="18"/>
        </w:rPr>
        <w:t xml:space="preserve">kontaktus un </w:t>
      </w:r>
      <w:r w:rsidRPr="00907EAA">
        <w:rPr>
          <w:rFonts w:ascii="Tahoma" w:hAnsi="Tahoma"/>
          <w:sz w:val="18"/>
        </w:rPr>
        <w:t>ģimenes locekļ</w:t>
      </w:r>
      <w:r w:rsidR="001F3DBA">
        <w:rPr>
          <w:rFonts w:ascii="Tahoma" w:hAnsi="Tahoma"/>
          <w:sz w:val="18"/>
        </w:rPr>
        <w:t>us</w:t>
      </w:r>
      <w:r w:rsidRPr="00907EAA">
        <w:rPr>
          <w:rFonts w:ascii="Tahoma" w:hAnsi="Tahoma"/>
          <w:sz w:val="18"/>
        </w:rPr>
        <w:t>, kā arī person</w:t>
      </w:r>
      <w:r w:rsidR="001F3DBA">
        <w:rPr>
          <w:rFonts w:ascii="Tahoma" w:hAnsi="Tahoma"/>
          <w:sz w:val="18"/>
        </w:rPr>
        <w:t>as</w:t>
      </w:r>
      <w:r w:rsidRPr="00907EAA">
        <w:rPr>
          <w:rFonts w:ascii="Tahoma" w:hAnsi="Tahoma"/>
          <w:sz w:val="18"/>
        </w:rPr>
        <w:t xml:space="preserve">, kurām ir intensīva vai ilgstoša saskarsme </w:t>
      </w:r>
      <w:r w:rsidR="001F3DBA">
        <w:rPr>
          <w:rFonts w:ascii="Tahoma" w:hAnsi="Tahoma"/>
          <w:sz w:val="18"/>
        </w:rPr>
        <w:t>uzturēšanās</w:t>
      </w:r>
      <w:r w:rsidRPr="00907EAA" w:rsidR="001F3DBA">
        <w:rPr>
          <w:rFonts w:ascii="Tahoma" w:hAnsi="Tahoma"/>
          <w:sz w:val="18"/>
        </w:rPr>
        <w:t xml:space="preserve"> </w:t>
      </w:r>
      <w:r w:rsidRPr="00907EAA">
        <w:rPr>
          <w:rFonts w:ascii="Tahoma" w:hAnsi="Tahoma"/>
          <w:sz w:val="18"/>
        </w:rPr>
        <w:t xml:space="preserve">vietās, piemēram, cietumos, </w:t>
      </w:r>
      <w:r w:rsidRPr="00907EAA">
        <w:rPr>
          <w:rFonts w:ascii="Tahoma" w:hAnsi="Tahoma"/>
          <w:sz w:val="18"/>
        </w:rPr>
        <w:t>bezpajumtnieku vai imigrantu patversmēs, kā arī iekštelpās, piemēram, skolās vai birojos.</w:t>
      </w:r>
    </w:p>
    <w:p w:rsidR="00DA3A70" w:rsidRPr="00907EAA" w:rsidP="0028467E">
      <w:pPr>
        <w:spacing w:after="120"/>
        <w:rPr>
          <w:rFonts w:ascii="Tahoma" w:hAnsi="Tahoma" w:cs="Tahoma"/>
          <w:sz w:val="18"/>
          <w:szCs w:val="18"/>
        </w:rPr>
      </w:pPr>
      <w:r w:rsidRPr="00907EAA">
        <w:rPr>
          <w:rFonts w:ascii="Tahoma" w:hAnsi="Tahoma"/>
          <w:sz w:val="18"/>
        </w:rPr>
        <w:t xml:space="preserve">Tuberkulozes </w:t>
      </w:r>
      <w:r w:rsidR="007F53E4">
        <w:rPr>
          <w:rFonts w:ascii="Tahoma" w:hAnsi="Tahoma"/>
          <w:sz w:val="18"/>
        </w:rPr>
        <w:t>transmisijas</w:t>
      </w:r>
      <w:r w:rsidRPr="00907EAA">
        <w:rPr>
          <w:rFonts w:ascii="Tahoma" w:hAnsi="Tahoma"/>
          <w:sz w:val="18"/>
        </w:rPr>
        <w:t xml:space="preserve"> risks ir atkarīgs no tuberkulozes </w:t>
      </w:r>
      <w:r w:rsidRPr="00907EAA">
        <w:rPr>
          <w:rFonts w:ascii="Tahoma" w:hAnsi="Tahoma"/>
          <w:sz w:val="18"/>
        </w:rPr>
        <w:t xml:space="preserve">baciļu </w:t>
      </w:r>
      <w:r w:rsidRPr="00907EAA">
        <w:rPr>
          <w:rFonts w:ascii="Tahoma" w:hAnsi="Tahoma"/>
          <w:sz w:val="18"/>
        </w:rPr>
        <w:t>koncentrācijas gaisā, gaisa plūsmas, saskarsmes ilguma un uzņēmības pret infek</w:t>
      </w:r>
      <w:r w:rsidRPr="00907EAA">
        <w:rPr>
          <w:rFonts w:ascii="Tahoma" w:hAnsi="Tahoma"/>
          <w:sz w:val="18"/>
        </w:rPr>
        <w:t xml:space="preserve">ciju. </w:t>
      </w:r>
      <w:r w:rsidR="001F3DBA">
        <w:rPr>
          <w:rFonts w:ascii="Tahoma" w:hAnsi="Tahoma"/>
          <w:sz w:val="18"/>
        </w:rPr>
        <w:t xml:space="preserve">Kontaktpersonu </w:t>
      </w:r>
      <w:r w:rsidRPr="00907EAA">
        <w:rPr>
          <w:rFonts w:ascii="Tahoma" w:hAnsi="Tahoma"/>
          <w:sz w:val="18"/>
        </w:rPr>
        <w:t xml:space="preserve">izmeklēšanas prioritātes tiek noteiktas atkarībā no iespējamības, ka kontaktpersonai: 1) ir nediagnosticēta un līdz ar to neārstēta tuberkuloze; 2) ir augsts risks inficēties no </w:t>
      </w:r>
      <w:r w:rsidR="00740998">
        <w:rPr>
          <w:rFonts w:ascii="Tahoma" w:hAnsi="Tahoma"/>
          <w:sz w:val="18"/>
        </w:rPr>
        <w:t>tuberkulozes pacienta</w:t>
      </w:r>
      <w:r w:rsidRPr="00907EAA">
        <w:rPr>
          <w:rFonts w:ascii="Tahoma" w:hAnsi="Tahoma"/>
          <w:sz w:val="18"/>
        </w:rPr>
        <w:t xml:space="preserve">; 3) ir augsts </w:t>
      </w:r>
      <w:r w:rsidR="001F3DBA">
        <w:rPr>
          <w:rFonts w:ascii="Tahoma" w:hAnsi="Tahoma"/>
          <w:sz w:val="18"/>
        </w:rPr>
        <w:t xml:space="preserve">aktīvas </w:t>
      </w:r>
      <w:r w:rsidRPr="00907EAA">
        <w:rPr>
          <w:rFonts w:ascii="Tahoma" w:hAnsi="Tahoma"/>
          <w:sz w:val="18"/>
        </w:rPr>
        <w:t xml:space="preserve">tuberkulozes attīstīšanās risks </w:t>
      </w:r>
      <w:r w:rsidRPr="00907EAA">
        <w:rPr>
          <w:rFonts w:ascii="Tahoma" w:hAnsi="Tahoma"/>
          <w:sz w:val="18"/>
        </w:rPr>
        <w:t>; 4) ir smagas tuberkulozes</w:t>
      </w:r>
      <w:r w:rsidR="001F3DBA">
        <w:rPr>
          <w:rFonts w:ascii="Tahoma" w:hAnsi="Tahoma"/>
          <w:sz w:val="18"/>
        </w:rPr>
        <w:t xml:space="preserve"> gaitas</w:t>
      </w:r>
      <w:r w:rsidRPr="00907EAA">
        <w:rPr>
          <w:rFonts w:ascii="Tahoma" w:hAnsi="Tahoma"/>
          <w:sz w:val="18"/>
        </w:rPr>
        <w:t xml:space="preserve"> risks, ja slimība attīstās.</w:t>
      </w:r>
    </w:p>
    <w:p w:rsidR="00835340" w:rsidRPr="00907EAA" w:rsidP="00835340">
      <w:pPr>
        <w:pStyle w:val="EC-Title-6"/>
      </w:pPr>
      <w:r w:rsidRPr="00907EAA">
        <w:t>ES specifiskās prasības</w:t>
      </w:r>
    </w:p>
    <w:p w:rsidR="00DA3A70" w:rsidRPr="00907EAA" w:rsidP="0028467E">
      <w:pPr>
        <w:spacing w:after="120"/>
        <w:rPr>
          <w:rFonts w:ascii="Tahoma" w:hAnsi="Tahoma" w:cs="Tahoma"/>
          <w:sz w:val="18"/>
          <w:szCs w:val="18"/>
        </w:rPr>
      </w:pPr>
      <w:r w:rsidRPr="00907EAA">
        <w:rPr>
          <w:rFonts w:ascii="Tahoma" w:hAnsi="Tahoma"/>
          <w:sz w:val="18"/>
        </w:rPr>
        <w:t xml:space="preserve">Tuberkulozes </w:t>
      </w:r>
      <w:r w:rsidR="00740998">
        <w:rPr>
          <w:rFonts w:ascii="Tahoma" w:hAnsi="Tahoma"/>
          <w:sz w:val="18"/>
        </w:rPr>
        <w:t>transmisijas</w:t>
      </w:r>
      <w:r w:rsidRPr="00907EAA">
        <w:rPr>
          <w:rFonts w:ascii="Tahoma" w:hAnsi="Tahoma"/>
          <w:sz w:val="18"/>
        </w:rPr>
        <w:t xml:space="preserve"> un </w:t>
      </w:r>
      <w:r w:rsidRPr="00907EAA" w:rsidR="00983D32">
        <w:rPr>
          <w:rFonts w:ascii="Tahoma" w:hAnsi="Tahoma"/>
          <w:sz w:val="18"/>
        </w:rPr>
        <w:t>uzņēmīb</w:t>
      </w:r>
      <w:r w:rsidR="00983D32">
        <w:rPr>
          <w:rFonts w:ascii="Tahoma" w:hAnsi="Tahoma"/>
          <w:sz w:val="18"/>
        </w:rPr>
        <w:t>as</w:t>
      </w:r>
      <w:r w:rsidRPr="00907EAA" w:rsidR="00983D32">
        <w:rPr>
          <w:rFonts w:ascii="Tahoma" w:hAnsi="Tahoma"/>
          <w:sz w:val="18"/>
        </w:rPr>
        <w:t xml:space="preserve"> </w:t>
      </w:r>
      <w:r w:rsidRPr="00907EAA">
        <w:rPr>
          <w:rFonts w:ascii="Tahoma" w:hAnsi="Tahoma"/>
          <w:sz w:val="18"/>
        </w:rPr>
        <w:t>no</w:t>
      </w:r>
      <w:r w:rsidR="00983D32">
        <w:rPr>
          <w:rFonts w:ascii="Tahoma" w:hAnsi="Tahoma"/>
          <w:sz w:val="18"/>
        </w:rPr>
        <w:t xml:space="preserve">teicošie </w:t>
      </w:r>
      <w:r w:rsidRPr="00907EAA">
        <w:rPr>
          <w:rFonts w:ascii="Tahoma" w:hAnsi="Tahoma"/>
          <w:sz w:val="18"/>
        </w:rPr>
        <w:t>faktori ir rūpīgi jāapsv</w:t>
      </w:r>
      <w:r w:rsidRPr="00907EAA">
        <w:rPr>
          <w:rFonts w:ascii="Tahoma" w:hAnsi="Tahoma"/>
          <w:sz w:val="18"/>
        </w:rPr>
        <w:t xml:space="preserve">er, vērtējot, vai </w:t>
      </w:r>
      <w:r w:rsidR="00AB55D9">
        <w:rPr>
          <w:rFonts w:ascii="Tahoma" w:hAnsi="Tahoma"/>
          <w:sz w:val="18"/>
        </w:rPr>
        <w:t>tran</w:t>
      </w:r>
      <w:r w:rsidR="00740998">
        <w:rPr>
          <w:rFonts w:ascii="Tahoma" w:hAnsi="Tahoma"/>
          <w:sz w:val="18"/>
        </w:rPr>
        <w:t>smisija</w:t>
      </w:r>
      <w:r w:rsidRPr="00907EAA">
        <w:rPr>
          <w:rFonts w:ascii="Tahoma" w:hAnsi="Tahoma"/>
          <w:sz w:val="18"/>
        </w:rPr>
        <w:t xml:space="preserve"> ir iespējama un </w:t>
      </w:r>
      <w:r w:rsidR="001F3DBA">
        <w:rPr>
          <w:rFonts w:ascii="Tahoma" w:hAnsi="Tahoma"/>
          <w:sz w:val="18"/>
        </w:rPr>
        <w:t xml:space="preserve">vai </w:t>
      </w:r>
      <w:r w:rsidRPr="00907EAA">
        <w:rPr>
          <w:rFonts w:ascii="Tahoma" w:hAnsi="Tahoma"/>
          <w:sz w:val="18"/>
        </w:rPr>
        <w:t>ir nepieciešams uzsākt kontaktpersonu meklēšanu [40].</w:t>
      </w:r>
    </w:p>
    <w:p w:rsidR="00DA3A70" w:rsidRPr="00907EAA" w:rsidP="0028467E">
      <w:pPr>
        <w:spacing w:after="120"/>
        <w:rPr>
          <w:rFonts w:ascii="Tahoma" w:hAnsi="Tahoma" w:cs="Tahoma"/>
          <w:sz w:val="18"/>
          <w:szCs w:val="18"/>
        </w:rPr>
      </w:pPr>
      <w:r w:rsidRPr="00907EAA">
        <w:rPr>
          <w:rFonts w:ascii="Tahoma" w:hAnsi="Tahoma"/>
          <w:sz w:val="18"/>
        </w:rPr>
        <w:t xml:space="preserve">Personām, kuras bijušas ciešā kontaktā ar </w:t>
      </w:r>
      <w:r w:rsidRPr="00907EAA">
        <w:rPr>
          <w:rFonts w:ascii="Tahoma" w:hAnsi="Tahoma"/>
          <w:i/>
          <w:sz w:val="18"/>
        </w:rPr>
        <w:t>M</w:t>
      </w:r>
      <w:r w:rsidRPr="00907EAA">
        <w:rPr>
          <w:rFonts w:ascii="Tahoma" w:hAnsi="Tahoma"/>
          <w:i/>
          <w:sz w:val="18"/>
        </w:rPr>
        <w:t>R</w:t>
      </w:r>
      <w:r w:rsidRPr="00907EAA">
        <w:rPr>
          <w:rFonts w:ascii="Tahoma" w:hAnsi="Tahoma"/>
          <w:sz w:val="18"/>
        </w:rPr>
        <w:t xml:space="preserve"> un </w:t>
      </w:r>
      <w:r w:rsidRPr="00907EAA">
        <w:rPr>
          <w:rFonts w:ascii="Tahoma" w:hAnsi="Tahoma"/>
          <w:i/>
          <w:sz w:val="18"/>
        </w:rPr>
        <w:t>X</w:t>
      </w:r>
      <w:r w:rsidRPr="00907EAA">
        <w:rPr>
          <w:rFonts w:ascii="Tahoma" w:hAnsi="Tahoma"/>
          <w:i/>
          <w:sz w:val="18"/>
        </w:rPr>
        <w:t>R-TB</w:t>
      </w:r>
      <w:r w:rsidRPr="00907EAA">
        <w:rPr>
          <w:rFonts w:ascii="Tahoma" w:hAnsi="Tahoma"/>
          <w:sz w:val="18"/>
        </w:rPr>
        <w:t xml:space="preserve"> pacientiem, ir jāveic latentas tuberkulozes infekcijas (LTBI) un tuberkulozes </w:t>
      </w:r>
      <w:r w:rsidR="005D0C6F">
        <w:rPr>
          <w:rFonts w:ascii="Tahoma" w:hAnsi="Tahoma"/>
          <w:sz w:val="18"/>
        </w:rPr>
        <w:t>diagnosti</w:t>
      </w:r>
      <w:r w:rsidR="002C74AF">
        <w:rPr>
          <w:rFonts w:ascii="Tahoma" w:hAnsi="Tahoma"/>
          <w:sz w:val="18"/>
        </w:rPr>
        <w:t>kas</w:t>
      </w:r>
      <w:r w:rsidR="005D0C6F">
        <w:rPr>
          <w:rFonts w:ascii="Tahoma" w:hAnsi="Tahoma"/>
          <w:sz w:val="18"/>
        </w:rPr>
        <w:t xml:space="preserve"> </w:t>
      </w:r>
      <w:r w:rsidRPr="00907EAA">
        <w:rPr>
          <w:rFonts w:ascii="Tahoma" w:hAnsi="Tahoma"/>
          <w:sz w:val="18"/>
        </w:rPr>
        <w:t xml:space="preserve">testi saskaņā ar </w:t>
      </w:r>
      <w:r w:rsidR="009F0AC1">
        <w:rPr>
          <w:rFonts w:ascii="Tahoma" w:hAnsi="Tahoma"/>
          <w:sz w:val="18"/>
        </w:rPr>
        <w:t>nacionālajām</w:t>
      </w:r>
      <w:r w:rsidRPr="00907EAA" w:rsidR="009F0AC1">
        <w:rPr>
          <w:rFonts w:ascii="Tahoma" w:hAnsi="Tahoma"/>
          <w:sz w:val="18"/>
        </w:rPr>
        <w:t xml:space="preserve"> </w:t>
      </w:r>
      <w:r w:rsidRPr="00907EAA">
        <w:rPr>
          <w:rFonts w:ascii="Tahoma" w:hAnsi="Tahoma"/>
          <w:sz w:val="18"/>
        </w:rPr>
        <w:t>vadlīnijām. Kontaktpersonām, kurām tuberkuloze ir izslēgta un ir diagnosticēta LTBI, jāveic individuāls riska novērtējums</w:t>
      </w:r>
      <w:r w:rsidR="00B23C51">
        <w:rPr>
          <w:rFonts w:ascii="Tahoma" w:hAnsi="Tahoma"/>
          <w:sz w:val="18"/>
        </w:rPr>
        <w:t xml:space="preserve"> nosakot</w:t>
      </w:r>
      <w:r w:rsidRPr="00907EAA">
        <w:rPr>
          <w:rFonts w:ascii="Tahoma" w:hAnsi="Tahoma"/>
          <w:sz w:val="18"/>
        </w:rPr>
        <w:t>: 1) </w:t>
      </w:r>
      <w:r w:rsidR="009F0AC1">
        <w:rPr>
          <w:rFonts w:ascii="Tahoma" w:hAnsi="Tahoma"/>
          <w:sz w:val="18"/>
        </w:rPr>
        <w:t>LTBI</w:t>
      </w:r>
      <w:r w:rsidRPr="00907EAA" w:rsidR="009F0AC1">
        <w:rPr>
          <w:rFonts w:ascii="Tahoma" w:hAnsi="Tahoma"/>
          <w:sz w:val="18"/>
        </w:rPr>
        <w:t xml:space="preserve"> </w:t>
      </w:r>
      <w:r w:rsidRPr="00907EAA">
        <w:rPr>
          <w:rFonts w:ascii="Tahoma" w:hAnsi="Tahoma"/>
          <w:sz w:val="18"/>
        </w:rPr>
        <w:t xml:space="preserve">progresēšanas risku </w:t>
      </w:r>
      <w:r w:rsidR="009F0AC1">
        <w:rPr>
          <w:rFonts w:ascii="Tahoma" w:hAnsi="Tahoma"/>
          <w:sz w:val="18"/>
        </w:rPr>
        <w:t xml:space="preserve">par aktīvu tuberkulozi </w:t>
      </w:r>
      <w:r w:rsidRPr="00907EAA">
        <w:rPr>
          <w:rFonts w:ascii="Tahoma" w:hAnsi="Tahoma"/>
          <w:sz w:val="18"/>
        </w:rPr>
        <w:t>; 2) </w:t>
      </w:r>
      <w:r w:rsidR="00B23C51">
        <w:rPr>
          <w:rFonts w:ascii="Tahoma" w:hAnsi="Tahoma"/>
          <w:sz w:val="18"/>
        </w:rPr>
        <w:t xml:space="preserve">infekcijas </w:t>
      </w:r>
      <w:r w:rsidRPr="00907EAA">
        <w:rPr>
          <w:rFonts w:ascii="Tahoma" w:hAnsi="Tahoma"/>
          <w:sz w:val="18"/>
        </w:rPr>
        <w:t xml:space="preserve">avota </w:t>
      </w:r>
      <w:r w:rsidRPr="00907EAA">
        <w:rPr>
          <w:rFonts w:ascii="Tahoma" w:hAnsi="Tahoma"/>
          <w:sz w:val="18"/>
        </w:rPr>
        <w:t>zāļu jutības</w:t>
      </w:r>
      <w:r w:rsidR="002A4CBA">
        <w:rPr>
          <w:rFonts w:ascii="Tahoma" w:hAnsi="Tahoma"/>
          <w:sz w:val="18"/>
        </w:rPr>
        <w:t xml:space="preserve"> </w:t>
      </w:r>
      <w:r w:rsidR="00B23C51">
        <w:rPr>
          <w:rFonts w:ascii="Tahoma" w:hAnsi="Tahoma"/>
          <w:sz w:val="18"/>
        </w:rPr>
        <w:t>datus</w:t>
      </w:r>
      <w:r w:rsidRPr="00907EAA">
        <w:rPr>
          <w:rFonts w:ascii="Tahoma" w:hAnsi="Tahoma"/>
          <w:sz w:val="18"/>
        </w:rPr>
        <w:t>; kā arī 3) blakusparādību risku</w:t>
      </w:r>
      <w:r w:rsidRPr="00907EAA">
        <w:rPr>
          <w:rFonts w:ascii="Tahoma" w:hAnsi="Tahoma"/>
          <w:sz w:val="18"/>
        </w:rPr>
        <w:t>, ja tiktu uzsākta LTBI ārstēšana [36, 38]. Neatkarīgi no klīniskajiem ieteikumiem par LTBI ārstēšanu kontaktper</w:t>
      </w:r>
      <w:r w:rsidRPr="00907EAA">
        <w:rPr>
          <w:rFonts w:ascii="Tahoma" w:hAnsi="Tahoma"/>
          <w:sz w:val="18"/>
        </w:rPr>
        <w:t xml:space="preserve">sonām jānodrošina rūpīga klīniskā novērošana, un veselības aprūpes </w:t>
      </w:r>
      <w:r w:rsidRPr="00907EAA">
        <w:rPr>
          <w:rFonts w:ascii="Tahoma" w:hAnsi="Tahoma"/>
          <w:sz w:val="18"/>
        </w:rPr>
        <w:t>darbiniekiem, kuri</w:t>
      </w:r>
      <w:r w:rsidR="00B23C51">
        <w:rPr>
          <w:rFonts w:ascii="Tahoma" w:hAnsi="Tahoma"/>
          <w:sz w:val="18"/>
        </w:rPr>
        <w:t>em</w:t>
      </w:r>
      <w:r w:rsidRPr="00907EAA">
        <w:rPr>
          <w:rFonts w:ascii="Tahoma" w:hAnsi="Tahoma"/>
          <w:sz w:val="18"/>
        </w:rPr>
        <w:t xml:space="preserve"> </w:t>
      </w:r>
      <w:r w:rsidR="00B23C51">
        <w:rPr>
          <w:rFonts w:ascii="Tahoma" w:hAnsi="Tahoma"/>
          <w:sz w:val="18"/>
        </w:rPr>
        <w:t xml:space="preserve">ir </w:t>
      </w:r>
      <w:r w:rsidRPr="00907EAA">
        <w:rPr>
          <w:rFonts w:ascii="Tahoma" w:hAnsi="Tahoma"/>
          <w:sz w:val="18"/>
        </w:rPr>
        <w:t>pieredz</w:t>
      </w:r>
      <w:r w:rsidR="00B23C51">
        <w:rPr>
          <w:rFonts w:ascii="Tahoma" w:hAnsi="Tahoma"/>
          <w:sz w:val="18"/>
        </w:rPr>
        <w:t>e</w:t>
      </w:r>
      <w:r w:rsidRPr="00907EAA">
        <w:rPr>
          <w:rFonts w:ascii="Tahoma" w:hAnsi="Tahoma"/>
          <w:sz w:val="18"/>
        </w:rPr>
        <w:t xml:space="preserve"> LTBI un tuberkulozes ārstēšanā, ir jāinformē un jāizglīto kontaktpersonas par veselības jautājumiem [35, 41].</w:t>
      </w:r>
    </w:p>
    <w:p w:rsidR="00DA3A70" w:rsidRPr="00907EAA" w:rsidP="0028467E">
      <w:pPr>
        <w:spacing w:after="120"/>
        <w:rPr>
          <w:rFonts w:ascii="Tahoma" w:hAnsi="Tahoma" w:cs="Tahoma"/>
          <w:sz w:val="18"/>
          <w:szCs w:val="18"/>
        </w:rPr>
      </w:pPr>
      <w:r w:rsidRPr="00907EAA">
        <w:rPr>
          <w:rFonts w:ascii="Tahoma" w:hAnsi="Tahoma"/>
          <w:sz w:val="18"/>
        </w:rPr>
        <w:t xml:space="preserve">Meklējot kontaktpersonas mazaizsargātās un grūti sasniedzamās populācijās, vēlams iesaistīt vietējās, </w:t>
      </w:r>
      <w:r w:rsidR="008159CA">
        <w:rPr>
          <w:rFonts w:ascii="Tahoma" w:hAnsi="Tahoma"/>
          <w:sz w:val="18"/>
        </w:rPr>
        <w:t>sabiedriskās</w:t>
      </w:r>
      <w:r w:rsidRPr="00907EAA">
        <w:rPr>
          <w:rFonts w:ascii="Tahoma" w:hAnsi="Tahoma"/>
          <w:sz w:val="18"/>
        </w:rPr>
        <w:t xml:space="preserve"> organizācijas (tostarp </w:t>
      </w:r>
      <w:r w:rsidR="00B23C51">
        <w:rPr>
          <w:rFonts w:ascii="Tahoma" w:hAnsi="Tahoma"/>
          <w:sz w:val="18"/>
        </w:rPr>
        <w:t xml:space="preserve">vietējos </w:t>
      </w:r>
      <w:r w:rsidRPr="00907EAA">
        <w:rPr>
          <w:rFonts w:ascii="Tahoma" w:hAnsi="Tahoma"/>
          <w:sz w:val="18"/>
        </w:rPr>
        <w:t>veselības aprūpes</w:t>
      </w:r>
      <w:r w:rsidR="002A4CBA">
        <w:rPr>
          <w:rFonts w:ascii="Tahoma" w:hAnsi="Tahoma"/>
          <w:sz w:val="18"/>
        </w:rPr>
        <w:t xml:space="preserve"> </w:t>
      </w:r>
      <w:r w:rsidR="00B23C51">
        <w:rPr>
          <w:rFonts w:ascii="Tahoma" w:hAnsi="Tahoma"/>
          <w:sz w:val="18"/>
        </w:rPr>
        <w:t>darbiniekus</w:t>
      </w:r>
      <w:r w:rsidRPr="00907EAA">
        <w:rPr>
          <w:rFonts w:ascii="Tahoma" w:hAnsi="Tahoma"/>
          <w:sz w:val="18"/>
        </w:rPr>
        <w:t xml:space="preserve">, </w:t>
      </w:r>
      <w:r w:rsidR="00B23C51">
        <w:rPr>
          <w:rFonts w:ascii="Tahoma" w:hAnsi="Tahoma"/>
          <w:sz w:val="18"/>
        </w:rPr>
        <w:t>citu nozaru speciālistus</w:t>
      </w:r>
      <w:r w:rsidRPr="00907EAA" w:rsidR="00B23C51">
        <w:rPr>
          <w:rFonts w:ascii="Tahoma" w:hAnsi="Tahoma"/>
          <w:sz w:val="18"/>
        </w:rPr>
        <w:t xml:space="preserve"> </w:t>
      </w:r>
      <w:r w:rsidRPr="00907EAA">
        <w:rPr>
          <w:rFonts w:ascii="Tahoma" w:hAnsi="Tahoma"/>
          <w:sz w:val="18"/>
        </w:rPr>
        <w:t>un līdzcilvēkus). Ar šādu pieeju var veicināt potenciālo kontaktpersonu identificēšanu [42, 43].</w:t>
      </w:r>
    </w:p>
    <w:p w:rsidR="0098145B" w:rsidRPr="00907EAA" w:rsidP="0028467E">
      <w:pPr>
        <w:spacing w:after="120"/>
        <w:rPr>
          <w:rFonts w:ascii="Tahoma" w:hAnsi="Tahoma" w:cs="Tahoma"/>
          <w:sz w:val="18"/>
          <w:szCs w:val="18"/>
        </w:rPr>
      </w:pPr>
      <w:r w:rsidRPr="00907EAA">
        <w:rPr>
          <w:rFonts w:ascii="Tahoma" w:hAnsi="Tahoma"/>
          <w:sz w:val="18"/>
        </w:rPr>
        <w:t xml:space="preserve">Klīnicistiem un </w:t>
      </w:r>
      <w:r w:rsidR="00B23C51">
        <w:rPr>
          <w:rFonts w:ascii="Tahoma" w:hAnsi="Tahoma"/>
          <w:sz w:val="18"/>
        </w:rPr>
        <w:t>nacionālo</w:t>
      </w:r>
      <w:r w:rsidRPr="00907EAA" w:rsidR="00B23C51">
        <w:rPr>
          <w:rFonts w:ascii="Tahoma" w:hAnsi="Tahoma"/>
          <w:sz w:val="18"/>
        </w:rPr>
        <w:t xml:space="preserve"> </w:t>
      </w:r>
      <w:r w:rsidRPr="00907EAA">
        <w:rPr>
          <w:rFonts w:ascii="Tahoma" w:hAnsi="Tahoma"/>
          <w:sz w:val="18"/>
        </w:rPr>
        <w:t xml:space="preserve">programmu vadītājiem ir jāsadarbojas ar </w:t>
      </w:r>
      <w:r w:rsidR="00B23C51">
        <w:rPr>
          <w:rFonts w:ascii="Tahoma" w:hAnsi="Tahoma"/>
          <w:sz w:val="18"/>
        </w:rPr>
        <w:t>atbildīgajām</w:t>
      </w:r>
      <w:r w:rsidRPr="00907EAA" w:rsidR="00B23C51">
        <w:rPr>
          <w:rFonts w:ascii="Tahoma" w:hAnsi="Tahoma"/>
          <w:sz w:val="18"/>
        </w:rPr>
        <w:t xml:space="preserve"> </w:t>
      </w:r>
      <w:r w:rsidRPr="00907EAA">
        <w:rPr>
          <w:rFonts w:ascii="Tahoma" w:hAnsi="Tahoma"/>
          <w:sz w:val="18"/>
        </w:rPr>
        <w:t xml:space="preserve">veselības </w:t>
      </w:r>
      <w:r w:rsidRPr="00907EAA">
        <w:rPr>
          <w:rFonts w:ascii="Tahoma" w:hAnsi="Tahoma"/>
          <w:sz w:val="18"/>
        </w:rPr>
        <w:t>iestādēm pie migrantu grupām vai klejojošām populācijām piederošu tuberkulozes pacientu mītnes un/vai izcelsmes valstīs, lai attiecīgi nodrošinātu aprūpes turpināšanu un kontaktpersonu izmeklēšanu [44].</w:t>
      </w:r>
    </w:p>
    <w:p w:rsidR="0098145B" w:rsidRPr="00907EAA" w:rsidP="000D0DB0">
      <w:r w:rsidRPr="00907EAA">
        <w:br w:type="page"/>
      </w:r>
    </w:p>
    <w:p w:rsidR="00DA3A70" w:rsidRPr="00907EAA" w:rsidP="00604B0D">
      <w:pPr>
        <w:shd w:val="clear" w:color="auto" w:fill="D9D9D9"/>
        <w:autoSpaceDE w:val="0"/>
        <w:autoSpaceDN w:val="0"/>
        <w:adjustRightInd w:val="0"/>
        <w:spacing w:after="0"/>
        <w:jc w:val="both"/>
        <w:rPr>
          <w:rFonts w:ascii="Tahoma" w:hAnsi="Tahoma" w:cs="Tahoma"/>
          <w:b/>
          <w:bCs/>
          <w:i/>
          <w:sz w:val="24"/>
          <w:szCs w:val="24"/>
        </w:rPr>
      </w:pPr>
      <w:r w:rsidRPr="00907EAA">
        <w:rPr>
          <w:rFonts w:ascii="Tahoma" w:hAnsi="Tahoma"/>
          <w:b/>
          <w:sz w:val="24"/>
          <w:shd w:val="clear" w:color="auto" w:fill="D9D9D9"/>
        </w:rPr>
        <w:t>19. standarts</w:t>
      </w:r>
    </w:p>
    <w:p w:rsidR="00DA3A70" w:rsidRPr="00907EAA" w:rsidP="0028467E">
      <w:pPr>
        <w:spacing w:after="120"/>
        <w:rPr>
          <w:rFonts w:ascii="Tahoma" w:hAnsi="Tahoma" w:cs="Tahoma"/>
          <w:sz w:val="18"/>
          <w:szCs w:val="18"/>
        </w:rPr>
      </w:pPr>
      <w:r w:rsidRPr="00907EAA">
        <w:rPr>
          <w:rFonts w:ascii="Tahoma" w:hAnsi="Tahoma"/>
          <w:sz w:val="18"/>
        </w:rPr>
        <w:t>Latentas tuberkulozes infekcijas esa</w:t>
      </w:r>
      <w:r w:rsidRPr="00907EAA">
        <w:rPr>
          <w:rFonts w:ascii="Tahoma" w:hAnsi="Tahoma"/>
          <w:sz w:val="18"/>
        </w:rPr>
        <w:t xml:space="preserve">mība ir jāpārbauda personām, kuras </w:t>
      </w:r>
      <w:r w:rsidR="008159CA">
        <w:rPr>
          <w:rFonts w:ascii="Tahoma" w:hAnsi="Tahoma"/>
          <w:sz w:val="18"/>
        </w:rPr>
        <w:t>bijušas kontaktā</w:t>
      </w:r>
      <w:r w:rsidR="007F53E4">
        <w:rPr>
          <w:rFonts w:ascii="Tahoma" w:hAnsi="Tahoma"/>
          <w:sz w:val="18"/>
        </w:rPr>
        <w:t xml:space="preserve"> </w:t>
      </w:r>
      <w:r w:rsidRPr="00907EAA">
        <w:rPr>
          <w:rFonts w:ascii="Tahoma" w:hAnsi="Tahoma"/>
          <w:sz w:val="18"/>
        </w:rPr>
        <w:t>ar infekciozas tuberkulozes pacientu, kā arī personām ar HIV infekciju, pacientiem, kuriem uzsākta ārstēšana ar</w:t>
      </w:r>
      <w:r w:rsidR="002A4CBA">
        <w:rPr>
          <w:rFonts w:ascii="Tahoma" w:hAnsi="Tahoma"/>
          <w:sz w:val="18"/>
        </w:rPr>
        <w:t xml:space="preserve"> </w:t>
      </w:r>
      <w:r w:rsidR="00AB0E15">
        <w:rPr>
          <w:rFonts w:ascii="Tahoma" w:hAnsi="Tahoma"/>
          <w:sz w:val="18"/>
        </w:rPr>
        <w:t>tumora</w:t>
      </w:r>
      <w:r w:rsidRPr="00907EAA">
        <w:rPr>
          <w:rFonts w:ascii="Tahoma" w:hAnsi="Tahoma"/>
          <w:sz w:val="18"/>
        </w:rPr>
        <w:t xml:space="preserve"> nekrozes faktor</w:t>
      </w:r>
      <w:r w:rsidR="00AB0E15">
        <w:rPr>
          <w:rFonts w:ascii="Tahoma" w:hAnsi="Tahoma"/>
          <w:sz w:val="18"/>
        </w:rPr>
        <w:t>a</w:t>
      </w:r>
      <w:r w:rsidRPr="00907EAA">
        <w:rPr>
          <w:rFonts w:ascii="Tahoma" w:hAnsi="Tahoma"/>
          <w:sz w:val="18"/>
        </w:rPr>
        <w:t xml:space="preserve"> (TNF)</w:t>
      </w:r>
      <w:r w:rsidR="00637F6B">
        <w:rPr>
          <w:rFonts w:ascii="Tahoma" w:hAnsi="Tahoma"/>
          <w:sz w:val="18"/>
        </w:rPr>
        <w:t xml:space="preserve"> antagonistiem</w:t>
      </w:r>
      <w:r w:rsidRPr="00907EAA">
        <w:rPr>
          <w:rFonts w:ascii="Tahoma" w:hAnsi="Tahoma"/>
          <w:sz w:val="18"/>
        </w:rPr>
        <w:t xml:space="preserve">, </w:t>
      </w:r>
      <w:r w:rsidRPr="00907EAA">
        <w:rPr>
          <w:rFonts w:ascii="Tahoma" w:hAnsi="Tahoma"/>
          <w:sz w:val="18"/>
        </w:rPr>
        <w:t>pacientiem</w:t>
      </w:r>
      <w:r w:rsidR="00CA0BFE">
        <w:rPr>
          <w:rFonts w:ascii="Tahoma" w:hAnsi="Tahoma"/>
          <w:sz w:val="18"/>
        </w:rPr>
        <w:t>, kuriem tiek veikta hemodialīze</w:t>
      </w:r>
      <w:r w:rsidRPr="00907EAA">
        <w:rPr>
          <w:rFonts w:ascii="Tahoma" w:hAnsi="Tahoma"/>
          <w:sz w:val="18"/>
        </w:rPr>
        <w:t xml:space="preserve">, pacientiem, kurus gatavo orgānu </w:t>
      </w:r>
      <w:r w:rsidR="00AB0E15">
        <w:rPr>
          <w:rFonts w:ascii="Tahoma" w:hAnsi="Tahoma"/>
          <w:sz w:val="18"/>
        </w:rPr>
        <w:t xml:space="preserve">vai hematoloģiskajai transplantācijai </w:t>
      </w:r>
      <w:r w:rsidRPr="00907EAA">
        <w:rPr>
          <w:rFonts w:ascii="Tahoma" w:hAnsi="Tahoma"/>
          <w:sz w:val="18"/>
        </w:rPr>
        <w:t>, kā arī silikozes pacientiem. Ja ir konstatēta latenta tuberkulozes infekcija, rūpīgi jāizvērtē, vai pacie</w:t>
      </w:r>
      <w:r w:rsidRPr="00907EAA">
        <w:rPr>
          <w:rFonts w:ascii="Tahoma" w:hAnsi="Tahoma"/>
          <w:sz w:val="18"/>
        </w:rPr>
        <w:t xml:space="preserve">ntam ir aktīva tuberkuloze. Kad aktīva tuberkuloze ir izslēgta, </w:t>
      </w:r>
      <w:r w:rsidRPr="00907EAA" w:rsidR="00CA0BFE">
        <w:rPr>
          <w:rFonts w:ascii="Tahoma" w:hAnsi="Tahoma"/>
          <w:sz w:val="18"/>
        </w:rPr>
        <w:t xml:space="preserve">pacientam </w:t>
      </w:r>
      <w:r w:rsidRPr="00907EAA">
        <w:rPr>
          <w:rFonts w:ascii="Tahoma" w:hAnsi="Tahoma"/>
          <w:sz w:val="18"/>
        </w:rPr>
        <w:t xml:space="preserve">ir jāpiedāvā </w:t>
      </w:r>
      <w:r w:rsidRPr="00907EAA">
        <w:rPr>
          <w:rFonts w:ascii="Tahoma" w:hAnsi="Tahoma"/>
          <w:sz w:val="18"/>
        </w:rPr>
        <w:t>PVO ieteikts profilaktiskas terapijas</w:t>
      </w:r>
      <w:r w:rsidR="002A4CBA">
        <w:rPr>
          <w:rFonts w:ascii="Tahoma" w:hAnsi="Tahoma"/>
          <w:sz w:val="18"/>
        </w:rPr>
        <w:t xml:space="preserve"> </w:t>
      </w:r>
      <w:r w:rsidR="00CA0BFE">
        <w:rPr>
          <w:rFonts w:ascii="Tahoma" w:hAnsi="Tahoma"/>
          <w:sz w:val="18"/>
        </w:rPr>
        <w:t>kurss</w:t>
      </w:r>
      <w:r w:rsidRPr="00907EAA">
        <w:rPr>
          <w:rFonts w:ascii="Tahoma" w:hAnsi="Tahoma"/>
          <w:sz w:val="18"/>
        </w:rPr>
        <w:t>.</w:t>
      </w:r>
    </w:p>
    <w:p w:rsidR="00DA3A70" w:rsidRPr="00907EAA" w:rsidP="000D0DB0">
      <w:pPr>
        <w:pStyle w:val="EC-Title-6"/>
        <w:rPr>
          <w:b w:val="0"/>
          <w:sz w:val="24"/>
          <w:szCs w:val="24"/>
        </w:rPr>
      </w:pPr>
      <w:r w:rsidRPr="00907EAA">
        <w:rPr>
          <w:sz w:val="24"/>
        </w:rPr>
        <w:t>ES specifiskās prasības</w:t>
      </w:r>
    </w:p>
    <w:p w:rsidR="00DA3A70" w:rsidRPr="00907EAA" w:rsidP="0028467E">
      <w:pPr>
        <w:spacing w:after="120"/>
        <w:rPr>
          <w:rFonts w:ascii="Tahoma" w:hAnsi="Tahoma" w:cs="Tahoma"/>
          <w:sz w:val="18"/>
          <w:szCs w:val="18"/>
        </w:rPr>
      </w:pPr>
      <w:r w:rsidRPr="00907EAA">
        <w:rPr>
          <w:rFonts w:ascii="Tahoma" w:hAnsi="Tahoma"/>
          <w:sz w:val="18"/>
        </w:rPr>
        <w:t xml:space="preserve">Klīnicistiem jāsadarbojas ar sabiedrības veselības iestādēm, īstenojot atbilstošas procedūras kontaktpersonu meklēšanai saskaņā ar </w:t>
      </w:r>
      <w:r w:rsidR="00CA0BFE">
        <w:rPr>
          <w:rFonts w:ascii="Tahoma" w:hAnsi="Tahoma"/>
          <w:sz w:val="18"/>
        </w:rPr>
        <w:t>nacionālajiem</w:t>
      </w:r>
      <w:r w:rsidRPr="00907EAA" w:rsidR="00CA0BFE">
        <w:rPr>
          <w:rFonts w:ascii="Tahoma" w:hAnsi="Tahoma"/>
          <w:sz w:val="18"/>
        </w:rPr>
        <w:t xml:space="preserve"> </w:t>
      </w:r>
      <w:r w:rsidRPr="00907EAA">
        <w:rPr>
          <w:rFonts w:ascii="Tahoma" w:hAnsi="Tahoma"/>
          <w:sz w:val="18"/>
        </w:rPr>
        <w:t xml:space="preserve">un starptautiskajiem </w:t>
      </w:r>
      <w:r w:rsidR="00CA0BFE">
        <w:rPr>
          <w:rFonts w:ascii="Tahoma" w:hAnsi="Tahoma"/>
          <w:sz w:val="18"/>
        </w:rPr>
        <w:t>ie</w:t>
      </w:r>
      <w:r w:rsidRPr="00907EAA">
        <w:rPr>
          <w:rFonts w:ascii="Tahoma" w:hAnsi="Tahoma"/>
          <w:sz w:val="18"/>
        </w:rPr>
        <w:t>teikumiem par</w:t>
      </w:r>
      <w:r w:rsidR="002A4CBA">
        <w:rPr>
          <w:rFonts w:ascii="Tahoma" w:hAnsi="Tahoma"/>
          <w:sz w:val="18"/>
        </w:rPr>
        <w:t xml:space="preserve"> </w:t>
      </w:r>
      <w:r w:rsidR="008D4257">
        <w:rPr>
          <w:rFonts w:ascii="Tahoma" w:hAnsi="Tahoma"/>
          <w:sz w:val="18"/>
        </w:rPr>
        <w:t>kontaktpersonu ekspozīcijas intensitāti</w:t>
      </w:r>
      <w:r w:rsidRPr="00907EAA">
        <w:rPr>
          <w:rFonts w:ascii="Tahoma" w:hAnsi="Tahoma"/>
          <w:sz w:val="18"/>
        </w:rPr>
        <w:t>, kad</w:t>
      </w:r>
      <w:r w:rsidR="002A4CBA">
        <w:rPr>
          <w:rFonts w:ascii="Tahoma" w:hAnsi="Tahoma"/>
          <w:sz w:val="18"/>
        </w:rPr>
        <w:t xml:space="preserve"> </w:t>
      </w:r>
      <w:r w:rsidR="00CA0BFE">
        <w:rPr>
          <w:rFonts w:ascii="Tahoma" w:hAnsi="Tahoma"/>
          <w:sz w:val="18"/>
        </w:rPr>
        <w:t>infekcijas avots</w:t>
      </w:r>
      <w:r w:rsidRPr="00907EAA">
        <w:rPr>
          <w:rFonts w:ascii="Tahoma" w:hAnsi="Tahoma"/>
          <w:sz w:val="18"/>
        </w:rPr>
        <w:t xml:space="preserve"> ir diagnosticēts un informēts [40, 41, 45, 46]. Tāpat gan </w:t>
      </w:r>
      <w:r w:rsidR="00CA0BFE">
        <w:rPr>
          <w:rFonts w:ascii="Tahoma" w:hAnsi="Tahoma"/>
          <w:sz w:val="18"/>
        </w:rPr>
        <w:t xml:space="preserve">infekcijas </w:t>
      </w:r>
      <w:r w:rsidRPr="00907EAA">
        <w:rPr>
          <w:rFonts w:ascii="Tahoma" w:hAnsi="Tahoma"/>
          <w:sz w:val="18"/>
        </w:rPr>
        <w:t xml:space="preserve">avota </w:t>
      </w:r>
      <w:r w:rsidRPr="00907EAA">
        <w:rPr>
          <w:rFonts w:ascii="Tahoma" w:hAnsi="Tahoma"/>
          <w:sz w:val="18"/>
        </w:rPr>
        <w:t xml:space="preserve">meklēšana, gan </w:t>
      </w:r>
      <w:r w:rsidR="00CA0BFE">
        <w:rPr>
          <w:rFonts w:ascii="Tahoma" w:hAnsi="Tahoma"/>
          <w:sz w:val="18"/>
        </w:rPr>
        <w:t xml:space="preserve">kontaktpersonu </w:t>
      </w:r>
      <w:r w:rsidRPr="00907EAA">
        <w:rPr>
          <w:rFonts w:ascii="Tahoma" w:hAnsi="Tahoma"/>
          <w:sz w:val="18"/>
        </w:rPr>
        <w:t xml:space="preserve">izmeklēšana </w:t>
      </w:r>
      <w:r w:rsidRPr="00907EAA">
        <w:rPr>
          <w:rFonts w:ascii="Tahoma" w:hAnsi="Tahoma"/>
          <w:sz w:val="18"/>
        </w:rPr>
        <w:t>ir jāuzsāk, ja bērnam konstatē tuberkulozi (jebkādā</w:t>
      </w:r>
      <w:r w:rsidR="002A4CBA">
        <w:rPr>
          <w:rFonts w:ascii="Tahoma" w:hAnsi="Tahoma"/>
          <w:sz w:val="18"/>
        </w:rPr>
        <w:t xml:space="preserve"> </w:t>
      </w:r>
      <w:r w:rsidR="00CA0BFE">
        <w:rPr>
          <w:rFonts w:ascii="Tahoma" w:hAnsi="Tahoma"/>
          <w:sz w:val="18"/>
        </w:rPr>
        <w:t>lokalizācijā</w:t>
      </w:r>
      <w:r w:rsidRPr="00907EAA">
        <w:rPr>
          <w:rFonts w:ascii="Tahoma" w:hAnsi="Tahoma"/>
          <w:sz w:val="18"/>
        </w:rPr>
        <w:t>) un nav identificēts infekcijas avots [41, 47].</w:t>
      </w:r>
    </w:p>
    <w:p w:rsidR="00DA3A70" w:rsidRPr="00907EAA" w:rsidP="0028467E">
      <w:pPr>
        <w:spacing w:after="120"/>
        <w:rPr>
          <w:rFonts w:ascii="Tahoma" w:hAnsi="Tahoma" w:cs="Tahoma"/>
          <w:sz w:val="18"/>
          <w:szCs w:val="18"/>
        </w:rPr>
      </w:pPr>
      <w:r w:rsidRPr="00907EAA">
        <w:rPr>
          <w:rFonts w:ascii="Tahoma" w:hAnsi="Tahoma"/>
          <w:sz w:val="18"/>
        </w:rPr>
        <w:t xml:space="preserve">Personas, kuras saņem ārstēšanu ar </w:t>
      </w:r>
      <w:r w:rsidRPr="00907EAA">
        <w:rPr>
          <w:rFonts w:ascii="Tahoma" w:hAnsi="Tahoma"/>
          <w:sz w:val="18"/>
        </w:rPr>
        <w:t>TNF-ɑ</w:t>
      </w:r>
      <w:r w:rsidR="00CA0BFE">
        <w:rPr>
          <w:rFonts w:ascii="Tahoma" w:hAnsi="Tahoma"/>
          <w:sz w:val="18"/>
        </w:rPr>
        <w:t xml:space="preserve"> antagonistiem</w:t>
      </w:r>
      <w:r w:rsidRPr="00907EAA">
        <w:rPr>
          <w:rFonts w:ascii="Tahoma" w:hAnsi="Tahoma"/>
          <w:sz w:val="18"/>
        </w:rPr>
        <w:t xml:space="preserve">, ir uzskatāmas par augsta riska kontaktpersonām. </w:t>
      </w:r>
      <w:r w:rsidRPr="00907EAA">
        <w:rPr>
          <w:rFonts w:ascii="Tahoma" w:hAnsi="Tahoma"/>
          <w:i/>
          <w:sz w:val="18"/>
        </w:rPr>
        <w:t>ESTC</w:t>
      </w:r>
      <w:r w:rsidRPr="00907EAA">
        <w:rPr>
          <w:rFonts w:ascii="Tahoma" w:hAnsi="Tahoma"/>
          <w:sz w:val="18"/>
        </w:rPr>
        <w:t xml:space="preserve"> 16. standartā ir noteikts, ka personām, kuras inficētas a</w:t>
      </w:r>
      <w:r w:rsidRPr="00907EAA">
        <w:rPr>
          <w:rFonts w:ascii="Tahoma" w:hAnsi="Tahoma"/>
          <w:sz w:val="18"/>
        </w:rPr>
        <w:t>r HIV vai kurām ir blakusslimības, nekavējoties jā</w:t>
      </w:r>
      <w:r w:rsidRPr="00907EAA">
        <w:rPr>
          <w:rFonts w:ascii="Tahoma" w:hAnsi="Tahoma"/>
          <w:sz w:val="18"/>
        </w:rPr>
        <w:t xml:space="preserve">sāk latentās infekcijas ārstēšana, ja ar </w:t>
      </w:r>
      <w:r w:rsidR="00CA0BFE">
        <w:rPr>
          <w:rFonts w:ascii="Tahoma" w:hAnsi="Tahoma"/>
          <w:sz w:val="18"/>
        </w:rPr>
        <w:t xml:space="preserve">tuberkulīna testu </w:t>
      </w:r>
      <w:r w:rsidRPr="00907EAA">
        <w:rPr>
          <w:rFonts w:ascii="Tahoma" w:hAnsi="Tahoma"/>
          <w:sz w:val="18"/>
        </w:rPr>
        <w:t xml:space="preserve">un/vai </w:t>
      </w:r>
      <w:r w:rsidRPr="00907EAA">
        <w:rPr>
          <w:rFonts w:ascii="Tahoma" w:hAnsi="Tahoma"/>
          <w:i/>
          <w:sz w:val="18"/>
        </w:rPr>
        <w:t>IGRA</w:t>
      </w:r>
      <w:r w:rsidRPr="00907EAA">
        <w:rPr>
          <w:rFonts w:ascii="Tahoma" w:hAnsi="Tahoma"/>
          <w:sz w:val="18"/>
        </w:rPr>
        <w:t xml:space="preserve"> konstatē tuberkulozes infekciju un aktīva tuberkulozes forma ir izslēgta [10, 36, 38, 40, 48, 49].</w:t>
      </w:r>
    </w:p>
    <w:p w:rsidR="00DA3A70" w:rsidRPr="00907EAA" w:rsidP="00DB519A">
      <w:pPr>
        <w:shd w:val="clear" w:color="auto" w:fill="D9D9D9"/>
        <w:autoSpaceDE w:val="0"/>
        <w:autoSpaceDN w:val="0"/>
        <w:adjustRightInd w:val="0"/>
        <w:spacing w:after="0"/>
        <w:jc w:val="both"/>
        <w:rPr>
          <w:rFonts w:ascii="Tahoma" w:hAnsi="Tahoma" w:cs="Tahoma"/>
          <w:bCs/>
          <w:sz w:val="24"/>
          <w:szCs w:val="24"/>
        </w:rPr>
      </w:pPr>
      <w:r w:rsidRPr="00907EAA">
        <w:rPr>
          <w:rFonts w:ascii="Tahoma" w:hAnsi="Tahoma"/>
          <w:b/>
          <w:sz w:val="24"/>
          <w:shd w:val="clear" w:color="auto" w:fill="D9D9D9"/>
        </w:rPr>
        <w:t>20. standarts</w:t>
      </w:r>
    </w:p>
    <w:p w:rsidR="00DA3A70" w:rsidRPr="00907EAA" w:rsidP="0028467E">
      <w:pPr>
        <w:spacing w:after="120"/>
        <w:rPr>
          <w:rFonts w:ascii="Tahoma" w:hAnsi="Tahoma" w:cs="Tahoma"/>
          <w:sz w:val="18"/>
          <w:szCs w:val="18"/>
        </w:rPr>
      </w:pPr>
      <w:r w:rsidRPr="00907EAA">
        <w:rPr>
          <w:rFonts w:ascii="Tahoma" w:hAnsi="Tahoma"/>
          <w:sz w:val="18"/>
        </w:rPr>
        <w:t>Katrai veselības</w:t>
      </w:r>
      <w:r w:rsidRPr="00907EAA">
        <w:rPr>
          <w:rFonts w:ascii="Tahoma" w:hAnsi="Tahoma"/>
          <w:sz w:val="18"/>
        </w:rPr>
        <w:t xml:space="preserve"> aprūpes iestādei, kurā aprūpē pacientus ar esošu vai iespējam</w:t>
      </w:r>
      <w:r w:rsidR="00CA0BFE">
        <w:rPr>
          <w:rFonts w:ascii="Tahoma" w:hAnsi="Tahoma"/>
          <w:sz w:val="18"/>
        </w:rPr>
        <w:t>i</w:t>
      </w:r>
      <w:r w:rsidRPr="00907EAA">
        <w:rPr>
          <w:rFonts w:ascii="Tahoma" w:hAnsi="Tahoma"/>
          <w:sz w:val="18"/>
        </w:rPr>
        <w:t xml:space="preserve"> infekciozu tuberkulozi, ir jāizstrādā un jāīsteno attiecīgs tuberkulozes infekcijas kontroles plāns.</w:t>
      </w:r>
    </w:p>
    <w:p w:rsidR="0098145B" w:rsidRPr="00907EAA" w:rsidP="0098145B">
      <w:pPr>
        <w:pStyle w:val="EC-Title-6"/>
        <w:rPr>
          <w:sz w:val="24"/>
          <w:szCs w:val="24"/>
        </w:rPr>
      </w:pPr>
      <w:r w:rsidRPr="00907EAA">
        <w:rPr>
          <w:sz w:val="24"/>
        </w:rPr>
        <w:t>ES specifiskās prasības</w:t>
      </w:r>
    </w:p>
    <w:p w:rsidR="00DA3A70" w:rsidRPr="00907EAA" w:rsidP="0028467E">
      <w:pPr>
        <w:spacing w:after="120"/>
        <w:rPr>
          <w:rFonts w:ascii="Tahoma" w:hAnsi="Tahoma" w:cs="Tahoma"/>
          <w:spacing w:val="-2"/>
          <w:sz w:val="18"/>
          <w:szCs w:val="18"/>
        </w:rPr>
      </w:pPr>
      <w:r w:rsidRPr="00907EAA">
        <w:rPr>
          <w:rFonts w:ascii="Tahoma" w:hAnsi="Tahoma"/>
          <w:spacing w:val="-2"/>
          <w:sz w:val="18"/>
        </w:rPr>
        <w:t xml:space="preserve">Jābūt pieejamai </w:t>
      </w:r>
      <w:r w:rsidR="00132BA8">
        <w:rPr>
          <w:rFonts w:ascii="Tahoma" w:hAnsi="Tahoma"/>
          <w:spacing w:val="-2"/>
          <w:sz w:val="18"/>
        </w:rPr>
        <w:t>ambulatorai</w:t>
      </w:r>
      <w:r w:rsidRPr="00907EAA">
        <w:rPr>
          <w:rFonts w:ascii="Tahoma" w:hAnsi="Tahoma"/>
          <w:spacing w:val="-2"/>
          <w:sz w:val="18"/>
        </w:rPr>
        <w:t xml:space="preserve"> ārstēšanas iespējai,</w:t>
      </w:r>
      <w:r w:rsidRPr="00907EAA">
        <w:rPr>
          <w:rFonts w:ascii="Tahoma" w:hAnsi="Tahoma"/>
          <w:spacing w:val="-2"/>
          <w:sz w:val="18"/>
        </w:rPr>
        <w:t xml:space="preserve"> ko papildina ar infekciju kontroles pasākumiem mājas apstākļos, ja pacienti vēlas ārstēties mājās [5, 24].</w:t>
      </w:r>
    </w:p>
    <w:p w:rsidR="00DA3A70" w:rsidRPr="00907EAA" w:rsidP="0028467E">
      <w:pPr>
        <w:spacing w:after="120"/>
        <w:rPr>
          <w:rFonts w:ascii="Tahoma" w:hAnsi="Tahoma" w:cs="Tahoma"/>
          <w:spacing w:val="-2"/>
          <w:sz w:val="18"/>
          <w:szCs w:val="18"/>
        </w:rPr>
      </w:pPr>
      <w:r w:rsidRPr="00907EAA">
        <w:rPr>
          <w:rFonts w:ascii="Tahoma" w:hAnsi="Tahoma"/>
          <w:spacing w:val="-2"/>
          <w:sz w:val="18"/>
        </w:rPr>
        <w:t xml:space="preserve">Ja nepieciešama hospitalizācija, klīnicistam ir jānodrošina, ka </w:t>
      </w:r>
      <w:r w:rsidRPr="00907EAA">
        <w:rPr>
          <w:rFonts w:ascii="Tahoma" w:hAnsi="Tahoma"/>
          <w:spacing w:val="-2"/>
          <w:sz w:val="18"/>
        </w:rPr>
        <w:t xml:space="preserve">visus </w:t>
      </w:r>
      <w:r w:rsidRPr="00907EAA" w:rsidR="002A4CBA">
        <w:rPr>
          <w:rFonts w:ascii="Tahoma" w:hAnsi="Tahoma"/>
          <w:spacing w:val="-2"/>
          <w:sz w:val="18"/>
        </w:rPr>
        <w:t>jaunuz</w:t>
      </w:r>
      <w:r w:rsidR="002A4CBA">
        <w:rPr>
          <w:rFonts w:ascii="Tahoma" w:hAnsi="Tahoma"/>
          <w:spacing w:val="-2"/>
          <w:sz w:val="18"/>
        </w:rPr>
        <w:t>ņ</w:t>
      </w:r>
      <w:r w:rsidRPr="00907EAA" w:rsidR="002A4CBA">
        <w:rPr>
          <w:rFonts w:ascii="Tahoma" w:hAnsi="Tahoma"/>
          <w:spacing w:val="-2"/>
          <w:sz w:val="18"/>
        </w:rPr>
        <w:t>emtos</w:t>
      </w:r>
      <w:r w:rsidRPr="00907EAA" w:rsidR="002A4CBA">
        <w:rPr>
          <w:rFonts w:ascii="Tahoma" w:hAnsi="Tahoma"/>
          <w:spacing w:val="-2"/>
          <w:sz w:val="18"/>
        </w:rPr>
        <w:t xml:space="preserve"> </w:t>
      </w:r>
      <w:r w:rsidRPr="00907EAA">
        <w:rPr>
          <w:rFonts w:ascii="Tahoma" w:hAnsi="Tahoma"/>
          <w:spacing w:val="-2"/>
          <w:sz w:val="18"/>
        </w:rPr>
        <w:t>pacientus ar aizdomām par infekciozu tuberkulozi</w:t>
      </w:r>
      <w:r w:rsidRPr="00AD757D" w:rsidR="00AD757D">
        <w:rPr>
          <w:rFonts w:ascii="Tahoma" w:hAnsi="Tahoma"/>
          <w:spacing w:val="-2"/>
          <w:sz w:val="18"/>
        </w:rPr>
        <w:t xml:space="preserve"> </w:t>
      </w:r>
      <w:r w:rsidRPr="00907EAA" w:rsidR="00AD757D">
        <w:rPr>
          <w:rFonts w:ascii="Tahoma" w:hAnsi="Tahoma"/>
          <w:spacing w:val="-2"/>
          <w:sz w:val="18"/>
        </w:rPr>
        <w:t>izolē</w:t>
      </w:r>
      <w:r w:rsidRPr="00907EAA">
        <w:rPr>
          <w:rFonts w:ascii="Tahoma" w:hAnsi="Tahoma"/>
          <w:spacing w:val="-2"/>
          <w:sz w:val="18"/>
        </w:rPr>
        <w:t>, līdz diagnoze tiek apstiprināta vai izslēgta [2].</w:t>
      </w:r>
    </w:p>
    <w:p w:rsidR="00DA3A70" w:rsidRPr="00907EAA" w:rsidP="0028467E">
      <w:pPr>
        <w:spacing w:after="120"/>
        <w:rPr>
          <w:rFonts w:ascii="Tahoma" w:hAnsi="Tahoma" w:cs="Tahoma"/>
          <w:spacing w:val="-2"/>
          <w:sz w:val="18"/>
          <w:szCs w:val="18"/>
        </w:rPr>
      </w:pPr>
      <w:r w:rsidRPr="00907EAA">
        <w:rPr>
          <w:rFonts w:ascii="Tahoma" w:hAnsi="Tahoma"/>
          <w:spacing w:val="-2"/>
          <w:sz w:val="18"/>
        </w:rPr>
        <w:t xml:space="preserve">Lai novērstu tuberkulozes </w:t>
      </w:r>
      <w:r w:rsidRPr="00907EAA">
        <w:rPr>
          <w:rFonts w:ascii="Tahoma" w:hAnsi="Tahoma"/>
          <w:spacing w:val="-2"/>
          <w:sz w:val="18"/>
        </w:rPr>
        <w:t xml:space="preserve">baciļu </w:t>
      </w:r>
      <w:r w:rsidRPr="00907EAA">
        <w:rPr>
          <w:rFonts w:ascii="Tahoma" w:hAnsi="Tahoma"/>
          <w:spacing w:val="-2"/>
          <w:sz w:val="18"/>
        </w:rPr>
        <w:t xml:space="preserve">pārnesi uz citiem pacientiem, personālu un/vai apmeklētājiem, tuberkulozes pacienti ar pozitīvu </w:t>
      </w:r>
      <w:r w:rsidR="00054C97">
        <w:rPr>
          <w:rFonts w:ascii="Tahoma" w:hAnsi="Tahoma"/>
          <w:spacing w:val="-2"/>
          <w:sz w:val="18"/>
        </w:rPr>
        <w:t xml:space="preserve">krēpu </w:t>
      </w:r>
      <w:r w:rsidR="008C0917">
        <w:rPr>
          <w:rFonts w:ascii="Tahoma" w:hAnsi="Tahoma"/>
          <w:spacing w:val="-2"/>
          <w:sz w:val="18"/>
        </w:rPr>
        <w:t>i</w:t>
      </w:r>
      <w:r w:rsidRPr="00907EAA">
        <w:rPr>
          <w:rFonts w:ascii="Tahoma" w:hAnsi="Tahoma"/>
          <w:spacing w:val="-2"/>
          <w:sz w:val="18"/>
        </w:rPr>
        <w:t>ztriepes rezultātu ideālā gadījumā ir jāizolē piemēr</w:t>
      </w:r>
      <w:r w:rsidRPr="00907EAA">
        <w:rPr>
          <w:rFonts w:ascii="Tahoma" w:hAnsi="Tahoma"/>
          <w:spacing w:val="-2"/>
          <w:sz w:val="18"/>
        </w:rPr>
        <w:t xml:space="preserve">otās telpās, līdz viņiem panāk bakterioloģisko konversiju (negatīvu rezultātu krēpu mikroskopiskajā izmeklēšanā). Pacienti ir jāizolē telpās ar </w:t>
      </w:r>
      <w:r w:rsidRPr="00907EAA">
        <w:rPr>
          <w:rFonts w:ascii="Tahoma" w:hAnsi="Tahoma"/>
          <w:spacing w:val="-2"/>
          <w:sz w:val="18"/>
        </w:rPr>
        <w:t>velkmes ventilāciju.</w:t>
      </w:r>
    </w:p>
    <w:p w:rsidR="00DA3A70" w:rsidRPr="00907EAA" w:rsidP="0028467E">
      <w:pPr>
        <w:spacing w:after="120"/>
        <w:rPr>
          <w:rFonts w:ascii="Tahoma" w:hAnsi="Tahoma" w:cs="Tahoma"/>
          <w:spacing w:val="-2"/>
          <w:sz w:val="18"/>
          <w:szCs w:val="18"/>
        </w:rPr>
      </w:pPr>
      <w:r w:rsidRPr="00907EAA">
        <w:rPr>
          <w:rFonts w:ascii="Tahoma" w:hAnsi="Tahoma"/>
          <w:spacing w:val="-2"/>
          <w:sz w:val="18"/>
        </w:rPr>
        <w:t xml:space="preserve">Attiecīgā infekciju kontroles plānā, ko pārvalda norīkota persona, jābūt šādiem </w:t>
      </w:r>
      <w:r w:rsidRPr="00907EAA">
        <w:rPr>
          <w:rFonts w:ascii="Tahoma" w:hAnsi="Tahoma"/>
          <w:spacing w:val="-2"/>
          <w:sz w:val="18"/>
        </w:rPr>
        <w:t>četriem komponentiem: pārvaldības pasākumiem, administratīviem kontroles pasākumiem, vides kontroles pasākumiem un individuālās aizsardzības pasākumiem [5, 50]. Visās veselības aprūpes iestādēs ir jābūt ieviestiem piemērotiem administratīviem pasākumiem tu</w:t>
      </w:r>
      <w:r w:rsidRPr="00907EAA">
        <w:rPr>
          <w:rFonts w:ascii="Tahoma" w:hAnsi="Tahoma"/>
          <w:spacing w:val="-2"/>
          <w:sz w:val="18"/>
        </w:rPr>
        <w:t>berkulozes infekcijas kontrolei, kā arī piemērotiem elpceļu aizsardzības pasākumiem (tostarp respiratoru lietošanai pēc respiratoru piemērotības testēšanas personālam un ķirurģisko masku lietošanai infekcioziem pacientiem). Infekciju kontroles plānā ir jāi</w:t>
      </w:r>
      <w:r w:rsidRPr="00907EAA">
        <w:rPr>
          <w:rFonts w:ascii="Tahoma" w:hAnsi="Tahoma"/>
          <w:spacing w:val="-2"/>
          <w:sz w:val="18"/>
        </w:rPr>
        <w:t>ekļauj arī personāla attiecīga apmācība par infekciju kontroli un standartizēta pacientu izglītošana par klepošanas</w:t>
      </w:r>
      <w:r w:rsidR="002A4CBA">
        <w:rPr>
          <w:rFonts w:ascii="Tahoma" w:hAnsi="Tahoma"/>
          <w:spacing w:val="-2"/>
          <w:sz w:val="18"/>
        </w:rPr>
        <w:t xml:space="preserve"> </w:t>
      </w:r>
      <w:r w:rsidR="00000DD5">
        <w:rPr>
          <w:rFonts w:ascii="Tahoma" w:hAnsi="Tahoma"/>
          <w:spacing w:val="-2"/>
          <w:sz w:val="18"/>
        </w:rPr>
        <w:t>etiķeti</w:t>
      </w:r>
      <w:r w:rsidRPr="00907EAA">
        <w:rPr>
          <w:rFonts w:ascii="Tahoma" w:hAnsi="Tahoma"/>
          <w:spacing w:val="-2"/>
          <w:sz w:val="18"/>
        </w:rPr>
        <w:t>. Jāizveido arī infekciju kontroles</w:t>
      </w:r>
      <w:r w:rsidR="002A4CBA">
        <w:rPr>
          <w:rFonts w:ascii="Tahoma" w:hAnsi="Tahoma"/>
          <w:spacing w:val="-2"/>
          <w:sz w:val="18"/>
        </w:rPr>
        <w:t xml:space="preserve"> </w:t>
      </w:r>
      <w:r w:rsidR="00000DD5">
        <w:rPr>
          <w:rFonts w:ascii="Tahoma" w:hAnsi="Tahoma"/>
          <w:spacing w:val="-2"/>
          <w:sz w:val="18"/>
        </w:rPr>
        <w:t>komisijas</w:t>
      </w:r>
      <w:r w:rsidRPr="00907EAA">
        <w:rPr>
          <w:rFonts w:ascii="Tahoma" w:hAnsi="Tahoma"/>
          <w:spacing w:val="-2"/>
          <w:sz w:val="18"/>
        </w:rPr>
        <w:t xml:space="preserve">, kurās risina jautājumus par </w:t>
      </w:r>
      <w:r w:rsidR="00000DD5">
        <w:rPr>
          <w:rFonts w:ascii="Tahoma" w:hAnsi="Tahoma"/>
          <w:spacing w:val="-2"/>
          <w:sz w:val="18"/>
        </w:rPr>
        <w:t xml:space="preserve">gaisa-pilienu </w:t>
      </w:r>
      <w:r w:rsidRPr="00907EAA">
        <w:rPr>
          <w:rFonts w:ascii="Tahoma" w:hAnsi="Tahoma"/>
          <w:spacing w:val="-2"/>
          <w:sz w:val="18"/>
        </w:rPr>
        <w:t>infekcijām</w:t>
      </w:r>
      <w:r w:rsidRPr="00907EAA">
        <w:rPr>
          <w:rFonts w:ascii="Tahoma" w:hAnsi="Tahoma"/>
          <w:spacing w:val="-2"/>
          <w:sz w:val="18"/>
        </w:rPr>
        <w:t xml:space="preserve"> un kurās ir infekciju kontroles eksperti [5, 50–52].</w:t>
      </w:r>
    </w:p>
    <w:p w:rsidR="00DA3A70" w:rsidRPr="00907EAA" w:rsidP="00496312">
      <w:pPr>
        <w:shd w:val="clear" w:color="auto" w:fill="E7E6E6"/>
        <w:autoSpaceDE w:val="0"/>
        <w:autoSpaceDN w:val="0"/>
        <w:adjustRightInd w:val="0"/>
        <w:spacing w:after="0"/>
        <w:jc w:val="both"/>
        <w:rPr>
          <w:rFonts w:ascii="Tahoma" w:hAnsi="Tahoma" w:cs="Tahoma"/>
          <w:bCs/>
          <w:sz w:val="24"/>
          <w:szCs w:val="24"/>
        </w:rPr>
      </w:pPr>
      <w:r w:rsidRPr="00907EAA">
        <w:rPr>
          <w:rFonts w:ascii="Tahoma" w:hAnsi="Tahoma"/>
          <w:b/>
          <w:sz w:val="24"/>
          <w:shd w:val="clear" w:color="auto" w:fill="D9D9D9"/>
        </w:rPr>
        <w:t>21. standarts</w:t>
      </w:r>
    </w:p>
    <w:p w:rsidR="00DA3A70" w:rsidRPr="00907EAA" w:rsidP="0028467E">
      <w:pPr>
        <w:spacing w:after="120"/>
        <w:rPr>
          <w:rFonts w:ascii="Tahoma" w:hAnsi="Tahoma" w:cs="Tahoma"/>
          <w:sz w:val="18"/>
          <w:szCs w:val="18"/>
        </w:rPr>
      </w:pPr>
      <w:r w:rsidRPr="00907EAA">
        <w:rPr>
          <w:rFonts w:ascii="Tahoma" w:hAnsi="Tahoma"/>
          <w:sz w:val="18"/>
        </w:rPr>
        <w:t xml:space="preserve">Saskaņā ar piemērojamām </w:t>
      </w:r>
      <w:r w:rsidR="000A6A19">
        <w:rPr>
          <w:rFonts w:ascii="Tahoma" w:hAnsi="Tahoma"/>
          <w:sz w:val="18"/>
        </w:rPr>
        <w:t>likumdošanas</w:t>
      </w:r>
      <w:r w:rsidRPr="00907EAA" w:rsidR="000A6A19">
        <w:rPr>
          <w:rFonts w:ascii="Tahoma" w:hAnsi="Tahoma"/>
          <w:sz w:val="18"/>
        </w:rPr>
        <w:t xml:space="preserve"> </w:t>
      </w:r>
      <w:r w:rsidRPr="00907EAA">
        <w:rPr>
          <w:rFonts w:ascii="Tahoma" w:hAnsi="Tahoma"/>
          <w:sz w:val="18"/>
        </w:rPr>
        <w:t>prasībām un politikas nostādnēm visiem veselības aprūpes sniedzējiem ir jāziņo vietējām sabiedrības veselības iestādēm gan par jauniem, gan atkārtoti ārstētiem tuberkulozes pacientiem un to ārstēšanas rezultātiem.</w:t>
      </w:r>
    </w:p>
    <w:p w:rsidR="0098145B" w:rsidRPr="00907EAA" w:rsidP="0098145B">
      <w:pPr>
        <w:pStyle w:val="EC-Title-6"/>
        <w:rPr>
          <w:sz w:val="24"/>
          <w:szCs w:val="24"/>
        </w:rPr>
      </w:pPr>
      <w:r w:rsidRPr="00907EAA">
        <w:rPr>
          <w:sz w:val="24"/>
        </w:rPr>
        <w:t>ES specifiskās prasības</w:t>
      </w:r>
    </w:p>
    <w:p w:rsidR="00DA3A70" w:rsidRPr="00907EAA" w:rsidP="000D0DB0">
      <w:pPr>
        <w:rPr>
          <w:rFonts w:ascii="Tahoma" w:hAnsi="Tahoma" w:cs="Tahoma"/>
          <w:spacing w:val="-2"/>
          <w:sz w:val="18"/>
          <w:szCs w:val="18"/>
        </w:rPr>
      </w:pPr>
      <w:r w:rsidRPr="00907EAA">
        <w:rPr>
          <w:rFonts w:ascii="Tahoma" w:hAnsi="Tahoma"/>
          <w:spacing w:val="-2"/>
          <w:sz w:val="18"/>
        </w:rPr>
        <w:t>Klīnicistiem ir r</w:t>
      </w:r>
      <w:r w:rsidRPr="00907EAA">
        <w:rPr>
          <w:rFonts w:ascii="Tahoma" w:hAnsi="Tahoma"/>
          <w:spacing w:val="-2"/>
          <w:sz w:val="18"/>
        </w:rPr>
        <w:t xml:space="preserve">egulāri (piemēram, četrreiz gadā) jāizvērtē ārstēšanas rezultāti savā </w:t>
      </w:r>
      <w:r w:rsidR="000A6A19">
        <w:rPr>
          <w:rFonts w:ascii="Tahoma" w:hAnsi="Tahoma"/>
          <w:spacing w:val="-2"/>
          <w:sz w:val="18"/>
        </w:rPr>
        <w:t>ārstniecības iestādē</w:t>
      </w:r>
      <w:r w:rsidRPr="00907EAA" w:rsidR="000A6A19">
        <w:rPr>
          <w:rFonts w:ascii="Tahoma" w:hAnsi="Tahoma"/>
          <w:spacing w:val="-2"/>
          <w:sz w:val="18"/>
        </w:rPr>
        <w:t xml:space="preserve"> </w:t>
      </w:r>
      <w:r w:rsidRPr="00907EAA">
        <w:rPr>
          <w:rFonts w:ascii="Tahoma" w:hAnsi="Tahoma"/>
          <w:spacing w:val="-2"/>
          <w:sz w:val="18"/>
        </w:rPr>
        <w:t xml:space="preserve">[18, 53]. Ārstēšanas rezultāti ir jāpaziņo vietējām sabiedrības veselības iestādēm saskaņā ar </w:t>
      </w:r>
      <w:r w:rsidR="00CC0C62">
        <w:rPr>
          <w:rFonts w:ascii="Tahoma" w:hAnsi="Tahoma"/>
          <w:spacing w:val="-2"/>
          <w:sz w:val="18"/>
        </w:rPr>
        <w:t>likumdošanas</w:t>
      </w:r>
      <w:r w:rsidRPr="00907EAA" w:rsidR="00CC0C62">
        <w:rPr>
          <w:rFonts w:ascii="Tahoma" w:hAnsi="Tahoma"/>
          <w:spacing w:val="-2"/>
          <w:sz w:val="18"/>
        </w:rPr>
        <w:t xml:space="preserve"> </w:t>
      </w:r>
      <w:r w:rsidRPr="00907EAA">
        <w:rPr>
          <w:rFonts w:ascii="Tahoma" w:hAnsi="Tahoma"/>
          <w:spacing w:val="-2"/>
          <w:sz w:val="18"/>
        </w:rPr>
        <w:t>prasībām un politikas nostā</w:t>
      </w:r>
      <w:r w:rsidRPr="00907EAA">
        <w:rPr>
          <w:rFonts w:ascii="Tahoma" w:hAnsi="Tahoma"/>
          <w:spacing w:val="-2"/>
          <w:sz w:val="18"/>
        </w:rPr>
        <w:t>dnēm, un vienlaikus tie jāizmanto kā novērošanas un izvērtēšanas rīks pacientu aprūpes kvalitātes uzlabošanai.</w:t>
      </w:r>
      <w:r w:rsidRPr="00907EAA">
        <w:rPr>
          <w:rFonts w:ascii="Tahoma" w:hAnsi="Tahoma"/>
          <w:b/>
          <w:spacing w:val="-2"/>
          <w:sz w:val="18"/>
        </w:rPr>
        <w:t xml:space="preserve"> </w:t>
      </w:r>
      <w:r w:rsidRPr="00907EAA">
        <w:rPr>
          <w:rFonts w:ascii="Tahoma" w:hAnsi="Tahoma"/>
          <w:spacing w:val="-2"/>
          <w:sz w:val="18"/>
        </w:rPr>
        <w:t xml:space="preserve">Sabiedrības veselības </w:t>
      </w:r>
      <w:r w:rsidR="00CC0C62">
        <w:rPr>
          <w:rFonts w:ascii="Tahoma" w:hAnsi="Tahoma"/>
          <w:spacing w:val="-2"/>
          <w:sz w:val="18"/>
        </w:rPr>
        <w:t>iestādei</w:t>
      </w:r>
      <w:r w:rsidRPr="00907EAA" w:rsidR="00CC0C62">
        <w:rPr>
          <w:rFonts w:ascii="Tahoma" w:hAnsi="Tahoma"/>
          <w:spacing w:val="-2"/>
          <w:sz w:val="18"/>
        </w:rPr>
        <w:t xml:space="preserve"> </w:t>
      </w:r>
      <w:r w:rsidRPr="00907EAA">
        <w:rPr>
          <w:rFonts w:ascii="Tahoma" w:hAnsi="Tahoma"/>
          <w:spacing w:val="-2"/>
          <w:sz w:val="18"/>
        </w:rPr>
        <w:t xml:space="preserve">ir arī regulāri jāinformē veselības </w:t>
      </w:r>
      <w:r w:rsidR="00CC0C62">
        <w:rPr>
          <w:rFonts w:ascii="Tahoma" w:hAnsi="Tahoma"/>
          <w:spacing w:val="-2"/>
          <w:sz w:val="18"/>
        </w:rPr>
        <w:t>aprūpes sniedzēji</w:t>
      </w:r>
      <w:r w:rsidRPr="00907EAA" w:rsidR="00CC0C62">
        <w:rPr>
          <w:rFonts w:ascii="Tahoma" w:hAnsi="Tahoma"/>
          <w:spacing w:val="-2"/>
          <w:sz w:val="18"/>
        </w:rPr>
        <w:t xml:space="preserve"> </w:t>
      </w:r>
      <w:r w:rsidRPr="00907EAA">
        <w:rPr>
          <w:rFonts w:ascii="Tahoma" w:hAnsi="Tahoma"/>
          <w:spacing w:val="-2"/>
          <w:sz w:val="18"/>
        </w:rPr>
        <w:t xml:space="preserve">par </w:t>
      </w:r>
      <w:r w:rsidRPr="00907EAA">
        <w:rPr>
          <w:rFonts w:ascii="Tahoma" w:hAnsi="Tahoma"/>
          <w:spacing w:val="-2"/>
          <w:sz w:val="18"/>
        </w:rPr>
        <w:t xml:space="preserve">ārstēšanas rezultātiem, lai tos varētu </w:t>
      </w:r>
      <w:r w:rsidR="00CC0C62">
        <w:rPr>
          <w:rFonts w:ascii="Tahoma" w:hAnsi="Tahoma"/>
          <w:spacing w:val="-2"/>
          <w:sz w:val="18"/>
        </w:rPr>
        <w:t>kopīgi</w:t>
      </w:r>
      <w:r w:rsidRPr="00907EAA" w:rsidR="00CC0C62">
        <w:rPr>
          <w:rFonts w:ascii="Tahoma" w:hAnsi="Tahoma"/>
          <w:spacing w:val="-2"/>
          <w:sz w:val="18"/>
        </w:rPr>
        <w:t xml:space="preserve"> </w:t>
      </w:r>
      <w:r w:rsidRPr="00907EAA">
        <w:rPr>
          <w:rFonts w:ascii="Tahoma" w:hAnsi="Tahoma"/>
          <w:spacing w:val="-2"/>
          <w:sz w:val="18"/>
        </w:rPr>
        <w:t>izvērtēt.</w:t>
      </w:r>
      <w:r w:rsidR="002A4CBA">
        <w:rPr>
          <w:rFonts w:ascii="Tahoma" w:hAnsi="Tahoma"/>
          <w:spacing w:val="-2"/>
          <w:sz w:val="18"/>
        </w:rPr>
        <w:t xml:space="preserve"> </w:t>
      </w:r>
      <w:r w:rsidR="00CC0C62">
        <w:rPr>
          <w:rFonts w:ascii="Tahoma" w:hAnsi="Tahoma"/>
          <w:spacing w:val="-2"/>
          <w:sz w:val="18"/>
        </w:rPr>
        <w:t>Ārstniecības iestādē</w:t>
      </w:r>
      <w:r w:rsidRPr="00907EAA">
        <w:rPr>
          <w:rFonts w:ascii="Tahoma" w:hAnsi="Tahoma"/>
          <w:spacing w:val="-2"/>
          <w:sz w:val="18"/>
        </w:rPr>
        <w:t xml:space="preserve">, kur </w:t>
      </w:r>
      <w:r w:rsidRPr="00907EAA">
        <w:rPr>
          <w:rFonts w:ascii="Tahoma" w:hAnsi="Tahoma"/>
          <w:spacing w:val="-2"/>
          <w:sz w:val="18"/>
        </w:rPr>
        <w:t xml:space="preserve">sākta pacienta ārstēšana, jābūt pieejamai informācijai par pacienta </w:t>
      </w:r>
      <w:r w:rsidR="00CC0C62">
        <w:rPr>
          <w:rFonts w:ascii="Tahoma" w:hAnsi="Tahoma"/>
          <w:spacing w:val="-2"/>
          <w:sz w:val="18"/>
        </w:rPr>
        <w:t xml:space="preserve">ārstēšanas </w:t>
      </w:r>
      <w:r w:rsidRPr="00907EAA">
        <w:rPr>
          <w:rFonts w:ascii="Tahoma" w:hAnsi="Tahoma"/>
          <w:spacing w:val="-2"/>
          <w:sz w:val="18"/>
        </w:rPr>
        <w:t xml:space="preserve">galīgo iznākumu, pat ja pacients </w:t>
      </w:r>
      <w:r w:rsidR="00132BA8">
        <w:rPr>
          <w:rFonts w:ascii="Tahoma" w:hAnsi="Tahoma"/>
          <w:spacing w:val="-2"/>
          <w:sz w:val="18"/>
        </w:rPr>
        <w:t>turpina</w:t>
      </w:r>
      <w:r w:rsidR="002A4CBA">
        <w:rPr>
          <w:rFonts w:ascii="Tahoma" w:hAnsi="Tahoma"/>
          <w:spacing w:val="-2"/>
          <w:sz w:val="18"/>
        </w:rPr>
        <w:t xml:space="preserve"> </w:t>
      </w:r>
      <w:r w:rsidR="00CC0C62">
        <w:rPr>
          <w:rFonts w:ascii="Tahoma" w:hAnsi="Tahoma"/>
          <w:spacing w:val="-2"/>
          <w:sz w:val="18"/>
        </w:rPr>
        <w:t>ārstēties</w:t>
      </w:r>
      <w:r w:rsidRPr="00907EAA" w:rsidR="00CC0C62">
        <w:rPr>
          <w:rFonts w:ascii="Tahoma" w:hAnsi="Tahoma"/>
          <w:spacing w:val="-2"/>
          <w:sz w:val="18"/>
        </w:rPr>
        <w:t xml:space="preserve"> </w:t>
      </w:r>
      <w:r w:rsidRPr="00907EAA">
        <w:rPr>
          <w:rFonts w:ascii="Tahoma" w:hAnsi="Tahoma"/>
          <w:spacing w:val="-2"/>
          <w:sz w:val="18"/>
        </w:rPr>
        <w:t xml:space="preserve">citur. Veselības aprūpes personālam, kas atbild par ārstēšanas rezultātu ziņošanu sabiedrības veselības iestādēm un </w:t>
      </w:r>
      <w:r w:rsidR="00CC0C62">
        <w:rPr>
          <w:rFonts w:ascii="Tahoma" w:hAnsi="Tahoma"/>
          <w:spacing w:val="-2"/>
          <w:sz w:val="18"/>
        </w:rPr>
        <w:t>ārstniecības iestādes</w:t>
      </w:r>
      <w:r w:rsidRPr="00907EAA" w:rsidR="00CC0C62">
        <w:rPr>
          <w:rFonts w:ascii="Tahoma" w:hAnsi="Tahoma"/>
          <w:spacing w:val="-2"/>
          <w:sz w:val="18"/>
        </w:rPr>
        <w:t xml:space="preserve"> </w:t>
      </w:r>
      <w:r w:rsidRPr="00907EAA">
        <w:rPr>
          <w:rFonts w:ascii="Tahoma" w:hAnsi="Tahoma"/>
          <w:spacing w:val="-2"/>
          <w:sz w:val="18"/>
        </w:rPr>
        <w:t>individuālo gadījumu izvērtēšanu reizi ceturksnī, ir jāsaņem attiecīga apmācība. Šis princips attie</w:t>
      </w:r>
      <w:r w:rsidRPr="00907EAA">
        <w:rPr>
          <w:rFonts w:ascii="Tahoma" w:hAnsi="Tahoma"/>
          <w:spacing w:val="-2"/>
          <w:sz w:val="18"/>
        </w:rPr>
        <w:t>cas arī uz tuberkulozes pacientiem, kuri šķērso ES robežas [54–57].</w:t>
      </w:r>
    </w:p>
    <w:p w:rsidR="00E9311A" w:rsidRPr="00907EAA" w:rsidP="0028467E">
      <w:pPr>
        <w:rPr>
          <w:rFonts w:ascii="Tahoma" w:eastAsia="Batang" w:hAnsi="Tahoma" w:cs="Tahoma"/>
          <w:color w:val="69AE23"/>
          <w:sz w:val="30"/>
          <w:szCs w:val="30"/>
        </w:rPr>
      </w:pPr>
      <w:r w:rsidRPr="00907EAA">
        <w:br w:type="page"/>
      </w:r>
    </w:p>
    <w:p w:rsidR="00CC0F38" w:rsidRPr="00907EAA" w:rsidP="0028467E">
      <w:pPr>
        <w:pStyle w:val="EC-Title-5"/>
        <w:spacing w:before="120"/>
      </w:pPr>
      <w:r w:rsidRPr="00907EAA">
        <w:t>Atsauces</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1.</w:t>
      </w:r>
      <w:r w:rsidRPr="00907EAA">
        <w:tab/>
      </w:r>
      <w:r w:rsidRPr="00907EAA">
        <w:rPr>
          <w:rFonts w:ascii="Tahoma" w:hAnsi="Tahoma"/>
          <w:sz w:val="16"/>
        </w:rPr>
        <w:t>Schoch OD, Rieder P, Tueller C, Altpeter E, Zellweger JP, Rieder HL, et al. Diagnostic yield of sputum, induced sputum, and bronchoscopy after radiologic tuberculosis screeni</w:t>
      </w:r>
      <w:r w:rsidRPr="00907EAA">
        <w:rPr>
          <w:rFonts w:ascii="Tahoma" w:hAnsi="Tahoma"/>
          <w:sz w:val="16"/>
        </w:rPr>
        <w:t>ng. Am J Respir Crit Care Med. 2007;175(1):80-86.</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2.</w:t>
      </w:r>
      <w:r w:rsidRPr="00907EAA">
        <w:tab/>
      </w:r>
      <w:r w:rsidRPr="00907EAA">
        <w:rPr>
          <w:rFonts w:ascii="Tahoma" w:hAnsi="Tahoma"/>
          <w:sz w:val="16"/>
        </w:rPr>
        <w:t>TB CARE I. International Standards for Tuberculosis Care. 3rd ed. The Hague: TB CARE; 2014.</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3.</w:t>
      </w:r>
      <w:r w:rsidRPr="00907EAA">
        <w:tab/>
      </w:r>
      <w:r w:rsidRPr="00907EAA">
        <w:rPr>
          <w:rFonts w:ascii="Tahoma" w:hAnsi="Tahoma"/>
          <w:sz w:val="16"/>
        </w:rPr>
        <w:t>Lewinsohn DM, Leonard MK, LoBue PA, Cohn DL, Daley CL, Desmond E, et al. Official American Thoracic Society/</w:t>
      </w:r>
      <w:r w:rsidRPr="00907EAA">
        <w:rPr>
          <w:rFonts w:ascii="Tahoma" w:hAnsi="Tahoma"/>
          <w:sz w:val="16"/>
        </w:rPr>
        <w:t>Infectious Diseases Society of America/Centers for Disease Control and Prevention Clinical Practice Guidelines: Diagnosis of Tuberculosis in Adults and Children. Clin Infect Dis. 2017;64(2):e1-e33.</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4.</w:t>
      </w:r>
      <w:r w:rsidRPr="00907EAA">
        <w:tab/>
      </w:r>
      <w:r w:rsidRPr="00907EAA">
        <w:rPr>
          <w:rFonts w:ascii="Tahoma" w:hAnsi="Tahoma"/>
          <w:sz w:val="16"/>
        </w:rPr>
        <w:t>European Centre for Disease Prevention and Control. Use</w:t>
      </w:r>
      <w:r w:rsidRPr="00907EAA">
        <w:rPr>
          <w:rFonts w:ascii="Tahoma" w:hAnsi="Tahoma"/>
          <w:sz w:val="16"/>
        </w:rPr>
        <w:t xml:space="preserve"> of interferon-gamma release assays in support of TB diagnosis. Stockholm: ECDC; 2011.</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5.</w:t>
      </w:r>
      <w:r w:rsidRPr="00907EAA">
        <w:tab/>
      </w:r>
      <w:r w:rsidRPr="00907EAA">
        <w:rPr>
          <w:rFonts w:ascii="Tahoma" w:hAnsi="Tahoma"/>
          <w:sz w:val="16"/>
        </w:rPr>
        <w:t>World Health Organization. Compendium of WHO guidelines and associated standards: ensuring optimum delivery of the cascade of care for patients with tuberculosis. Gen</w:t>
      </w:r>
      <w:r w:rsidRPr="00907EAA">
        <w:rPr>
          <w:rFonts w:ascii="Tahoma" w:hAnsi="Tahoma"/>
          <w:sz w:val="16"/>
        </w:rPr>
        <w:t>eva: World Health Organization; 2017.</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6.</w:t>
      </w:r>
      <w:r w:rsidRPr="00907EAA">
        <w:tab/>
      </w:r>
      <w:r w:rsidRPr="00907EAA">
        <w:rPr>
          <w:rFonts w:ascii="Tahoma" w:hAnsi="Tahoma"/>
          <w:sz w:val="16"/>
        </w:rPr>
        <w:t>Drobniewski FA, Hoffner S, Rusch-Gerdes S, Skenders G, Thomsen V. Recommended standards for modern tuberculosis laboratory services in Europe. Eur Respir J. 2006;28(5):903-909.</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7.</w:t>
      </w:r>
      <w:r w:rsidRPr="00907EAA">
        <w:tab/>
      </w:r>
      <w:r w:rsidRPr="00907EAA">
        <w:rPr>
          <w:rFonts w:ascii="Tahoma" w:hAnsi="Tahoma"/>
          <w:sz w:val="16"/>
        </w:rPr>
        <w:t xml:space="preserve">World Health Organization Regional </w:t>
      </w:r>
      <w:r w:rsidRPr="00907EAA">
        <w:rPr>
          <w:rFonts w:ascii="Tahoma" w:hAnsi="Tahoma"/>
          <w:sz w:val="16"/>
        </w:rPr>
        <w:t xml:space="preserve">Office for Europe. Algorithm for laboratory diagnosis and treatment-monitoring of pulmonary tuberculosis and drug-resistant tuberculosis using state-of-the-art rapid molecular diagnostic technologies. Expert opinion of the European Tuberculosis Laboratory </w:t>
      </w:r>
      <w:r w:rsidRPr="00907EAA">
        <w:rPr>
          <w:rFonts w:ascii="Tahoma" w:hAnsi="Tahoma"/>
          <w:sz w:val="16"/>
        </w:rPr>
        <w:t>Initiative core group members for the WHO European Region. Copenhagen: WHO Regional Office for Europe; 2017.</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8.</w:t>
      </w:r>
      <w:r w:rsidRPr="00907EAA">
        <w:tab/>
      </w:r>
      <w:r w:rsidRPr="00907EAA">
        <w:rPr>
          <w:rFonts w:ascii="Tahoma" w:hAnsi="Tahoma"/>
          <w:sz w:val="16"/>
        </w:rPr>
        <w:t>European Centre for Disease Prevention and Control. Handbook on TB laboratory diagnostic methods for the European Union. Stockholm: ECDC; 2016.</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9.</w:t>
      </w:r>
      <w:r w:rsidRPr="00907EAA">
        <w:tab/>
      </w:r>
      <w:r w:rsidRPr="00907EAA">
        <w:rPr>
          <w:rFonts w:ascii="Tahoma" w:hAnsi="Tahoma"/>
          <w:sz w:val="16"/>
        </w:rPr>
        <w:t>Sotgiu G, Tiberi S, D'Ambrosio L, Centis R, Zumla A, Migliori GB. WHO recommendations on shorter treatment of multidrug-resistant tuberculosis. Lancet. 2016;387(10037):2486-2487.</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10.</w:t>
      </w:r>
      <w:r w:rsidRPr="00907EAA">
        <w:tab/>
      </w:r>
      <w:r w:rsidRPr="00907EAA">
        <w:rPr>
          <w:rFonts w:ascii="Tahoma" w:hAnsi="Tahoma"/>
          <w:sz w:val="16"/>
        </w:rPr>
        <w:t>Diel R, Goletti D, Ferrara G, Bothamley G, Cirillo D, Kampmann B, et a</w:t>
      </w:r>
      <w:r w:rsidRPr="00907EAA">
        <w:rPr>
          <w:rFonts w:ascii="Tahoma" w:hAnsi="Tahoma"/>
          <w:sz w:val="16"/>
        </w:rPr>
        <w:t>l. Interferon-gamma release assays for the diagnosis of latent Mycobacterium tuberculosis infection: a systematic review and meta-analysis. Eur Respir J. 2011;37(1):88-99.</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11.</w:t>
      </w:r>
      <w:r w:rsidRPr="00907EAA">
        <w:tab/>
      </w:r>
      <w:r w:rsidRPr="00907EAA">
        <w:rPr>
          <w:rFonts w:ascii="Tahoma" w:hAnsi="Tahoma"/>
          <w:sz w:val="16"/>
        </w:rPr>
        <w:t>Sester M, Sotgiu G, Lange C, Giehl C, Girardi E, Migliori GB, et al. Interferon-</w:t>
      </w:r>
      <w:r w:rsidRPr="00907EAA">
        <w:rPr>
          <w:rFonts w:ascii="Tahoma" w:hAnsi="Tahoma"/>
          <w:sz w:val="16"/>
        </w:rPr>
        <w:t>gamma release assays for the diagnosis of active tuberculosis: a systematic review and meta-analysis. Eur Respir J. 2011;37(1):100-111.</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12.</w:t>
      </w:r>
      <w:r w:rsidRPr="00907EAA">
        <w:tab/>
      </w:r>
      <w:r w:rsidRPr="00907EAA">
        <w:rPr>
          <w:rFonts w:ascii="Tahoma" w:hAnsi="Tahoma"/>
          <w:sz w:val="16"/>
        </w:rPr>
        <w:t>Petruccioli E, Scriba TJ, Petrone L, Hatherill M, Cirillo DM, Joosten SA, et al. Correlates of tuberculosis risk: pr</w:t>
      </w:r>
      <w:r w:rsidRPr="00907EAA">
        <w:rPr>
          <w:rFonts w:ascii="Tahoma" w:hAnsi="Tahoma"/>
          <w:sz w:val="16"/>
        </w:rPr>
        <w:t>edictive biomarkers for progression to active tuberculosis. Eur Respir J. 2016;48(6):1751-1763.</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13.</w:t>
      </w:r>
      <w:r w:rsidRPr="00907EAA">
        <w:tab/>
      </w:r>
      <w:r w:rsidRPr="00907EAA">
        <w:rPr>
          <w:rFonts w:ascii="Tahoma" w:hAnsi="Tahoma"/>
          <w:sz w:val="16"/>
        </w:rPr>
        <w:t>Goletti D, Petruccioli E, Joosten SA, Ottenhoff TH. Tuberculosis Biomarkers: From Diagnosis to Protection. Infectious disease reports. 2016;8(2):6568.</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14.</w:t>
      </w:r>
      <w:r w:rsidRPr="00907EAA">
        <w:tab/>
      </w:r>
      <w:r w:rsidRPr="00907EAA">
        <w:rPr>
          <w:rFonts w:ascii="Tahoma" w:hAnsi="Tahoma"/>
          <w:sz w:val="16"/>
        </w:rPr>
        <w:t>S</w:t>
      </w:r>
      <w:r w:rsidRPr="00907EAA">
        <w:rPr>
          <w:rFonts w:ascii="Tahoma" w:hAnsi="Tahoma"/>
          <w:sz w:val="16"/>
        </w:rPr>
        <w:t>eddon JA, Furin JJ, Gale M, Del Castillo Barrientos H, Hurtado RM, Amanullah F, et al. Caring for children with drug-resistant tuberculosis: practice-based recommendations. Am J Respir Crit Care Med. 2012;186(10):953-964.</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15.</w:t>
      </w:r>
      <w:r w:rsidRPr="00907EAA">
        <w:tab/>
      </w:r>
      <w:r w:rsidRPr="00907EAA">
        <w:rPr>
          <w:rFonts w:ascii="Tahoma" w:hAnsi="Tahoma"/>
          <w:sz w:val="16"/>
        </w:rPr>
        <w:t>World Health Organization. Gui</w:t>
      </w:r>
      <w:r w:rsidRPr="00907EAA">
        <w:rPr>
          <w:rFonts w:ascii="Tahoma" w:hAnsi="Tahoma"/>
          <w:sz w:val="16"/>
        </w:rPr>
        <w:t>dance for national tuberculosis programmes on the management of tuberculosis in children. Second ed. Geneva: World Health Organization; 2014.</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16.</w:t>
      </w:r>
      <w:r w:rsidRPr="00907EAA">
        <w:tab/>
      </w:r>
      <w:r w:rsidRPr="00907EAA">
        <w:rPr>
          <w:rFonts w:ascii="Tahoma" w:hAnsi="Tahoma"/>
          <w:sz w:val="16"/>
        </w:rPr>
        <w:t xml:space="preserve">World Health Organization. Report of a WHO consultation on strengthening the active engagement of civil </w:t>
      </w:r>
      <w:r w:rsidRPr="00907EAA">
        <w:rPr>
          <w:rFonts w:ascii="Tahoma" w:hAnsi="Tahoma"/>
          <w:sz w:val="16"/>
        </w:rPr>
        <w:t>society organizations in the global TB prevention, care and control efforts. Geneva: World Health Organization; 2010. Report No.: WHO/HTM/TB/2010.15.</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17.</w:t>
      </w:r>
      <w:r w:rsidRPr="00907EAA">
        <w:tab/>
      </w:r>
      <w:r w:rsidRPr="00907EAA">
        <w:rPr>
          <w:rFonts w:ascii="Tahoma" w:hAnsi="Tahoma"/>
          <w:sz w:val="16"/>
        </w:rPr>
        <w:t>Patients’ Charter for Tuberculosis Care: World Care Council; 2006.</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18.</w:t>
      </w:r>
      <w:r w:rsidRPr="00907EAA">
        <w:tab/>
      </w:r>
      <w:r w:rsidRPr="00907EAA">
        <w:rPr>
          <w:rFonts w:ascii="Tahoma" w:hAnsi="Tahoma"/>
          <w:sz w:val="16"/>
        </w:rPr>
        <w:t>World Health Organization. Defi</w:t>
      </w:r>
      <w:r w:rsidRPr="00907EAA">
        <w:rPr>
          <w:rFonts w:ascii="Tahoma" w:hAnsi="Tahoma"/>
          <w:sz w:val="16"/>
        </w:rPr>
        <w:t>nitions and reporting framework for tuberculosis – 2013 revision. Geneva: Word Health Organization; 2013.</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19.</w:t>
      </w:r>
      <w:r w:rsidRPr="00907EAA">
        <w:tab/>
      </w:r>
      <w:r w:rsidRPr="00907EAA">
        <w:rPr>
          <w:rFonts w:ascii="Tahoma" w:hAnsi="Tahoma"/>
          <w:sz w:val="16"/>
        </w:rPr>
        <w:t>Nahid P, Dorman SE, Alipanah N, Barry PM, Brozek JL, Cattamanchi A, et al. Official American Thoracic Society/Centers for Disease Control and Prev</w:t>
      </w:r>
      <w:r w:rsidRPr="00907EAA">
        <w:rPr>
          <w:rFonts w:ascii="Tahoma" w:hAnsi="Tahoma"/>
          <w:sz w:val="16"/>
        </w:rPr>
        <w:t>ention/Infectious Diseases Society of America Clinical Practice Guidelines: Treatment of Drug-Susceptible Tuberculosis. Clin Infect Dis. 2016;63(7):e147-e195.</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20.</w:t>
      </w:r>
      <w:r w:rsidRPr="00907EAA">
        <w:tab/>
      </w:r>
      <w:r w:rsidRPr="00907EAA">
        <w:rPr>
          <w:rFonts w:ascii="Tahoma" w:hAnsi="Tahoma"/>
          <w:sz w:val="16"/>
        </w:rPr>
        <w:t>Sotgiu G, Nahid P, Loddenkemper R, Abubakar I, Miravitlles M, Migliori GB. The ERS-endorsed o</w:t>
      </w:r>
      <w:r w:rsidRPr="00907EAA">
        <w:rPr>
          <w:rFonts w:ascii="Tahoma" w:hAnsi="Tahoma"/>
          <w:sz w:val="16"/>
        </w:rPr>
        <w:t>fficial ATS/CDC/IDSA clinical practice guidelines on treatment of drug-susceptible tuberculosis. Eur Respir J. 2016;48(4):963-971.</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21.</w:t>
      </w:r>
      <w:r w:rsidRPr="00907EAA">
        <w:tab/>
      </w:r>
      <w:r w:rsidRPr="00907EAA">
        <w:rPr>
          <w:rFonts w:ascii="Tahoma" w:hAnsi="Tahoma"/>
          <w:sz w:val="16"/>
        </w:rPr>
        <w:t xml:space="preserve">Falzon D, Jaramillo E, Schunemann HJ, Arentz M, Bauer M, Bayona J, et al. WHO guidelines for the programmatic management </w:t>
      </w:r>
      <w:r w:rsidRPr="00907EAA">
        <w:rPr>
          <w:rFonts w:ascii="Tahoma" w:hAnsi="Tahoma"/>
          <w:sz w:val="16"/>
        </w:rPr>
        <w:t>of drug-resistant tuberculosis: 2011 update. Eur Respir J. 2011;38(3):516-528.</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22.</w:t>
      </w:r>
      <w:r w:rsidRPr="00907EAA">
        <w:tab/>
      </w:r>
      <w:r w:rsidRPr="00907EAA">
        <w:rPr>
          <w:rFonts w:ascii="Tahoma" w:hAnsi="Tahoma"/>
          <w:sz w:val="16"/>
        </w:rPr>
        <w:t xml:space="preserve">Mitnick CD, White RA, Lu C, Rodriguez CA, Bayona J, Becerra MC, et al. on behalf of the Collaborative Group for Analysis of Bacteriology Data in MDRTBT. Multidrug-resistant </w:t>
      </w:r>
      <w:r w:rsidRPr="00907EAA">
        <w:rPr>
          <w:rFonts w:ascii="Tahoma" w:hAnsi="Tahoma"/>
          <w:sz w:val="16"/>
        </w:rPr>
        <w:t>tuberculosis treatment failure detection depends on monitoring interval and microbiological method. Eur Respir J. 2016;48(4):1160-1170.</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23.</w:t>
      </w:r>
      <w:r w:rsidRPr="00907EAA">
        <w:tab/>
      </w:r>
      <w:r w:rsidRPr="00907EAA">
        <w:rPr>
          <w:rFonts w:ascii="Tahoma" w:hAnsi="Tahoma"/>
          <w:sz w:val="16"/>
        </w:rPr>
        <w:t>World Health Organization. WHO treatment guidelines for drug-resistant tuberculosis: 2016 update. Geneva: World Heal</w:t>
      </w:r>
      <w:r w:rsidRPr="00907EAA">
        <w:rPr>
          <w:rFonts w:ascii="Tahoma" w:hAnsi="Tahoma"/>
          <w:sz w:val="16"/>
        </w:rPr>
        <w:t>th Organization; 2016.</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24.</w:t>
      </w:r>
      <w:r w:rsidRPr="00907EAA">
        <w:tab/>
      </w:r>
      <w:r w:rsidRPr="00907EAA">
        <w:rPr>
          <w:rFonts w:ascii="Tahoma" w:hAnsi="Tahoma"/>
          <w:sz w:val="16"/>
        </w:rPr>
        <w:t>World Health Organization. Guidelines for treatment of drug-susceptible tuberculosis and patient care, 2017 update. Geneva: World Health Organization; 2017.</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25.</w:t>
      </w:r>
      <w:r w:rsidRPr="00907EAA">
        <w:tab/>
      </w:r>
      <w:r w:rsidRPr="00907EAA">
        <w:rPr>
          <w:rFonts w:ascii="Tahoma" w:hAnsi="Tahoma"/>
          <w:sz w:val="16"/>
        </w:rPr>
        <w:t xml:space="preserve">Falzon D, Schunemann HJ, Harausz E, Gonzalez-Angulo L, Lienhardt C, </w:t>
      </w:r>
      <w:r w:rsidRPr="00907EAA">
        <w:rPr>
          <w:rFonts w:ascii="Tahoma" w:hAnsi="Tahoma"/>
          <w:sz w:val="16"/>
        </w:rPr>
        <w:t>Jaramillo E, et al. World Health Organization treatment guidelines for drug-resistant tuberculosis, 2016 update. Eur Respir J. 2017;49(3).</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26.</w:t>
      </w:r>
      <w:r w:rsidRPr="00907EAA">
        <w:tab/>
      </w:r>
      <w:r w:rsidRPr="00907EAA">
        <w:rPr>
          <w:rFonts w:ascii="Tahoma" w:hAnsi="Tahoma"/>
          <w:sz w:val="16"/>
        </w:rPr>
        <w:t>van der Werf MJ, Kodmon C, Dara M, Catchpole M. Shorter regimens for multidrug-resistant tuberculosis should also</w:t>
      </w:r>
      <w:r w:rsidRPr="00907EAA">
        <w:rPr>
          <w:rFonts w:ascii="Tahoma" w:hAnsi="Tahoma"/>
          <w:sz w:val="16"/>
        </w:rPr>
        <w:t xml:space="preserve"> be applicable in Europe. Eur Respir J 2017;49(6).</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27.</w:t>
      </w:r>
      <w:r w:rsidRPr="00907EAA">
        <w:tab/>
      </w:r>
      <w:r w:rsidRPr="00907EAA">
        <w:rPr>
          <w:rFonts w:ascii="Tahoma" w:hAnsi="Tahoma"/>
          <w:sz w:val="16"/>
        </w:rPr>
        <w:t>Caminero JA, Piubello A, Scardigli A, Migliori GB. Proposal for a standardised treatment regimen to manage pre- and extensively drug-resistant tuberculosis cases. Eur Respir J. 2017;50(1).</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28.</w:t>
      </w:r>
      <w:r w:rsidRPr="00907EAA">
        <w:tab/>
      </w:r>
      <w:r w:rsidRPr="00907EAA">
        <w:rPr>
          <w:rFonts w:ascii="Tahoma" w:hAnsi="Tahoma"/>
          <w:sz w:val="16"/>
        </w:rPr>
        <w:t>Esposito</w:t>
      </w:r>
      <w:r w:rsidRPr="00907EAA">
        <w:rPr>
          <w:rFonts w:ascii="Tahoma" w:hAnsi="Tahoma"/>
          <w:sz w:val="16"/>
        </w:rPr>
        <w:t xml:space="preserve"> S, D'Ambrosio L, Tadolini M, Schaaf HS, Caminero Luna J, Marais B, et al. ERS/WHO Tuberculosis Consilium assistance with extensively drug-resistant tuberculosis management in a child: case study of compassionate delamanid use. Eur Respir J. 2014;44(3):811</w:t>
      </w:r>
      <w:r w:rsidRPr="00907EAA">
        <w:rPr>
          <w:rFonts w:ascii="Tahoma" w:hAnsi="Tahoma"/>
          <w:sz w:val="16"/>
        </w:rPr>
        <w:t>-815.</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29.</w:t>
      </w:r>
      <w:r w:rsidRPr="00907EAA">
        <w:tab/>
      </w:r>
      <w:r w:rsidRPr="00907EAA">
        <w:rPr>
          <w:rFonts w:ascii="Tahoma" w:hAnsi="Tahoma"/>
          <w:sz w:val="16"/>
        </w:rPr>
        <w:t>Borisov SE, Dheda K, Enwerem M, Romero Leyet R, D'Ambrosio L, Centis R, et al. Effectiveness and safety of bedaquiline-containing regimens in the treatment of MDR- and XDR-TB: a multicentre study. Eur Respir J. 2017;49(5).</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30.</w:t>
      </w:r>
      <w:r w:rsidRPr="00907EAA">
        <w:tab/>
      </w:r>
      <w:r w:rsidRPr="00907EAA">
        <w:rPr>
          <w:rFonts w:ascii="Tahoma" w:hAnsi="Tahoma"/>
          <w:sz w:val="16"/>
        </w:rPr>
        <w:t>Blasi F, Dara M, va</w:t>
      </w:r>
      <w:r w:rsidRPr="00907EAA">
        <w:rPr>
          <w:rFonts w:ascii="Tahoma" w:hAnsi="Tahoma"/>
          <w:sz w:val="16"/>
        </w:rPr>
        <w:t>n der Werf MJ, Migliori GB. Supporting TB clinicians managing difficult cases: the ERS/WHO Consilium. Eur Respir J. 2013;41(3):491-494.</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31.</w:t>
      </w:r>
      <w:r w:rsidRPr="00907EAA">
        <w:tab/>
      </w:r>
      <w:r w:rsidRPr="00907EAA">
        <w:rPr>
          <w:rFonts w:ascii="Tahoma" w:hAnsi="Tahoma"/>
          <w:sz w:val="16"/>
        </w:rPr>
        <w:t xml:space="preserve">Tadolini M, Garcia-Prats AJ, D'Ambrosio L, Hewison C, Centis R, Schaaf HS, et al. Compassionate use of new drugs in </w:t>
      </w:r>
      <w:r w:rsidRPr="00907EAA">
        <w:rPr>
          <w:rFonts w:ascii="Tahoma" w:hAnsi="Tahoma"/>
          <w:sz w:val="16"/>
        </w:rPr>
        <w:t>children and adolescents with multidrug-resistant and extensively drug-resistant tuberculosis: early experiences and challenges. Eur Respir J. 2016;48(3):938-943.</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32.</w:t>
      </w:r>
      <w:r w:rsidRPr="00907EAA">
        <w:tab/>
      </w:r>
      <w:r w:rsidRPr="00907EAA">
        <w:rPr>
          <w:rFonts w:ascii="Tahoma" w:hAnsi="Tahoma"/>
          <w:sz w:val="16"/>
        </w:rPr>
        <w:t>Lange C, Abubakar I, Alffenaar JW, Bothamley G, Caminero JA, Carvalho AC, et al. Manageme</w:t>
      </w:r>
      <w:r w:rsidRPr="00907EAA">
        <w:rPr>
          <w:rFonts w:ascii="Tahoma" w:hAnsi="Tahoma"/>
          <w:sz w:val="16"/>
        </w:rPr>
        <w:t>nt of patients with multidrug-resistant/extensively drug-resistant tuberculosis in Europe: a TBNET consensus statement. Eur Respir J. 2014;44(1):23-63.</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33.</w:t>
      </w:r>
      <w:r w:rsidRPr="00907EAA">
        <w:tab/>
      </w:r>
      <w:r w:rsidRPr="00907EAA">
        <w:rPr>
          <w:rFonts w:ascii="Tahoma" w:hAnsi="Tahoma"/>
          <w:sz w:val="16"/>
        </w:rPr>
        <w:t xml:space="preserve">Caminero JA. Management of multidrug-resistant tuberculosis and patients in retreatment. Eur Respir </w:t>
      </w:r>
      <w:r w:rsidRPr="00907EAA">
        <w:rPr>
          <w:rFonts w:ascii="Tahoma" w:hAnsi="Tahoma"/>
          <w:sz w:val="16"/>
        </w:rPr>
        <w:t>J. 2005;25(5):928-936.</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34.</w:t>
      </w:r>
      <w:r w:rsidRPr="00907EAA">
        <w:tab/>
      </w:r>
      <w:r w:rsidRPr="00907EAA">
        <w:rPr>
          <w:rFonts w:ascii="Tahoma" w:hAnsi="Tahoma"/>
          <w:sz w:val="16"/>
        </w:rPr>
        <w:t>World Health Organization. WHO policy on collaborative TB/HIV activities: guidelines for national programmes and other stakeholders. Geneva: World Health Organization; 2012.</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35.</w:t>
      </w:r>
      <w:r w:rsidRPr="00907EAA">
        <w:tab/>
      </w:r>
      <w:r w:rsidRPr="00907EAA">
        <w:rPr>
          <w:rFonts w:ascii="Tahoma" w:hAnsi="Tahoma"/>
          <w:sz w:val="16"/>
        </w:rPr>
        <w:t>European Centre for Disease Prevention and Control.</w:t>
      </w:r>
      <w:r w:rsidRPr="00907EAA">
        <w:rPr>
          <w:rFonts w:ascii="Tahoma" w:hAnsi="Tahoma"/>
          <w:sz w:val="16"/>
        </w:rPr>
        <w:t xml:space="preserve"> Management of contacts of MDRTB and XDR TB patients. Stockholm: ECDC; 2012.</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36.</w:t>
      </w:r>
      <w:r w:rsidRPr="00907EAA">
        <w:tab/>
      </w:r>
      <w:r w:rsidRPr="00907EAA">
        <w:rPr>
          <w:rFonts w:ascii="Tahoma" w:hAnsi="Tahoma"/>
          <w:sz w:val="16"/>
        </w:rPr>
        <w:t>World Health Organization. Guidelines on the management of latent tuberculosis infection. 2015.</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37.</w:t>
      </w:r>
      <w:r w:rsidRPr="00907EAA">
        <w:tab/>
      </w:r>
      <w:r w:rsidRPr="00907EAA">
        <w:rPr>
          <w:rFonts w:ascii="Tahoma" w:hAnsi="Tahoma"/>
          <w:sz w:val="16"/>
        </w:rPr>
        <w:t>Zenner D, Beer N, Harris RJ, Lipman MC, Stagg HR, van der Werf MJ. Treatmen</w:t>
      </w:r>
      <w:r w:rsidRPr="00907EAA">
        <w:rPr>
          <w:rFonts w:ascii="Tahoma" w:hAnsi="Tahoma"/>
          <w:sz w:val="16"/>
        </w:rPr>
        <w:t>t of Latent Tuberculosis Infection: An Updated Network Meta-analysis. Ann Intern Med. 2017;167(4):248-255.</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38.</w:t>
      </w:r>
      <w:r w:rsidRPr="00907EAA">
        <w:tab/>
      </w:r>
      <w:r w:rsidRPr="00907EAA">
        <w:rPr>
          <w:rFonts w:ascii="Tahoma" w:hAnsi="Tahoma"/>
          <w:sz w:val="16"/>
        </w:rPr>
        <w:t>Getahun H, Matteelli A, Abubakar I, Aziz MA, Baddeley A, Barreira D, et al. Management of latent Mycobacterium tuberculosis infection: WHO guidel</w:t>
      </w:r>
      <w:r w:rsidRPr="00907EAA">
        <w:rPr>
          <w:rFonts w:ascii="Tahoma" w:hAnsi="Tahoma"/>
          <w:sz w:val="16"/>
        </w:rPr>
        <w:t>ines for low tuberculosis burden countries. Eur Respir J. 2015;46(6):1563-1576.</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39.</w:t>
      </w:r>
      <w:r w:rsidRPr="00907EAA">
        <w:tab/>
      </w:r>
      <w:r w:rsidRPr="00907EAA">
        <w:rPr>
          <w:rFonts w:ascii="Tahoma" w:hAnsi="Tahoma"/>
          <w:sz w:val="16"/>
        </w:rPr>
        <w:t>Creswell J, Raviglione M, Ottmani S, Migliori GB, Uplekar M, Blanc L, et al. Tuberculosis and noncommunicable diseases: neglected links and missed opportunities. Eur Respir</w:t>
      </w:r>
      <w:r w:rsidRPr="00907EAA">
        <w:rPr>
          <w:rFonts w:ascii="Tahoma" w:hAnsi="Tahoma"/>
          <w:sz w:val="16"/>
        </w:rPr>
        <w:t xml:space="preserve"> J. 2011;37(5):1269-1282.</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40.</w:t>
      </w:r>
      <w:r w:rsidRPr="00907EAA">
        <w:tab/>
      </w:r>
      <w:r w:rsidRPr="00907EAA">
        <w:rPr>
          <w:rFonts w:ascii="Tahoma" w:hAnsi="Tahoma"/>
          <w:sz w:val="16"/>
        </w:rPr>
        <w:t>Erkens CG, Kamphorst M, Abubakar I, Bothamley GH, Chemtob D, Haas W, et al. Tuberculosis contact investigation in low prevalence countries: a European consensus. Eur Respir J. 2010;36(4):925-949.</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41.</w:t>
      </w:r>
      <w:r w:rsidRPr="00907EAA">
        <w:tab/>
      </w:r>
      <w:r w:rsidRPr="00907EAA">
        <w:rPr>
          <w:rFonts w:ascii="Tahoma" w:hAnsi="Tahoma"/>
          <w:sz w:val="16"/>
        </w:rPr>
        <w:t>Luzzati R, Migliori G, Zig</w:t>
      </w:r>
      <w:r w:rsidRPr="00907EAA">
        <w:rPr>
          <w:rFonts w:ascii="Tahoma" w:hAnsi="Tahoma"/>
          <w:sz w:val="16"/>
        </w:rPr>
        <w:t>nol M, Cirillo D, Maschi M, Tominz R, et al. Children under 5 years are at risk for tuberculosis after occasional contact with highly contagious patients: an out-patient outbreak from a smear positive health care worker. Eur Respir J. 2017;In press.</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42.</w:t>
      </w:r>
      <w:r w:rsidRPr="00907EAA">
        <w:tab/>
      </w:r>
      <w:r w:rsidRPr="00907EAA">
        <w:rPr>
          <w:rFonts w:ascii="Tahoma" w:hAnsi="Tahoma"/>
          <w:sz w:val="16"/>
        </w:rPr>
        <w:t>Eu</w:t>
      </w:r>
      <w:r w:rsidRPr="00907EAA">
        <w:rPr>
          <w:rFonts w:ascii="Tahoma" w:hAnsi="Tahoma"/>
          <w:sz w:val="16"/>
        </w:rPr>
        <w:t>ropean Centre for Disease Prevention and Control. Guidance on tuberculosis control in vulnerable and hard-to-reach populations. Stockholm: ECDC; 2016.</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43.</w:t>
      </w:r>
      <w:r w:rsidRPr="00907EAA">
        <w:tab/>
      </w:r>
      <w:r w:rsidRPr="00907EAA">
        <w:rPr>
          <w:rFonts w:ascii="Tahoma" w:hAnsi="Tahoma"/>
          <w:sz w:val="16"/>
        </w:rPr>
        <w:t>National Instititute for Health and Care Excellence. Tuberculosis (NG33). London: NICE; 2016.</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44.</w:t>
      </w:r>
      <w:r w:rsidRPr="00907EAA">
        <w:tab/>
      </w:r>
      <w:r w:rsidRPr="00907EAA">
        <w:rPr>
          <w:rFonts w:ascii="Tahoma" w:hAnsi="Tahoma"/>
          <w:sz w:val="16"/>
        </w:rPr>
        <w:t>Dara M, de Colombani P, Petrova-Benedict R, Centis R, Zellweger JP, Sandgren A, et al. Wolfheze Transborder Migration Task F. Minimum package for cross-border TB control and care in the WHO European region: a Wolfheze consensus statement. Eur Respir J. 201</w:t>
      </w:r>
      <w:r w:rsidRPr="00907EAA">
        <w:rPr>
          <w:rFonts w:ascii="Tahoma" w:hAnsi="Tahoma"/>
          <w:sz w:val="16"/>
        </w:rPr>
        <w:t>2;40(5):1081-1090.</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45.</w:t>
      </w:r>
      <w:r w:rsidRPr="00907EAA">
        <w:tab/>
      </w:r>
      <w:r w:rsidRPr="00907EAA">
        <w:rPr>
          <w:rFonts w:ascii="Tahoma" w:hAnsi="Tahoma"/>
          <w:sz w:val="16"/>
        </w:rPr>
        <w:t>Leung CC, Rieder HL, Lange C, Yew WW. Treatment of latent infection with Mycobacterium tuberculosis: update 2010. Eur Respir J. 2011;37(3):690-711.</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46.</w:t>
      </w:r>
      <w:r w:rsidRPr="00907EAA">
        <w:tab/>
      </w:r>
      <w:r w:rsidRPr="00907EAA">
        <w:rPr>
          <w:rFonts w:ascii="Tahoma" w:hAnsi="Tahoma"/>
          <w:sz w:val="16"/>
        </w:rPr>
        <w:t>Woldehanna S, Volmink J. Treatment of latent tuberculosis infection in HIV infect</w:t>
      </w:r>
      <w:r w:rsidRPr="00907EAA">
        <w:rPr>
          <w:rFonts w:ascii="Tahoma" w:hAnsi="Tahoma"/>
          <w:sz w:val="16"/>
        </w:rPr>
        <w:t>ed persons. The Cochrane database of systematic reviews. 2004(1):Cd000171.</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47.</w:t>
      </w:r>
      <w:r w:rsidRPr="00907EAA">
        <w:tab/>
      </w:r>
      <w:r w:rsidRPr="00907EAA">
        <w:rPr>
          <w:rFonts w:ascii="Tahoma" w:hAnsi="Tahoma"/>
          <w:sz w:val="16"/>
        </w:rPr>
        <w:t>European Centre for Disease Prevention and Control. Investigation and control of tuberculosis incidents affecting children in congregate settings. Stockholm: ECDC; 2013.</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48.</w:t>
      </w:r>
      <w:r w:rsidRPr="00907EAA">
        <w:tab/>
      </w:r>
      <w:r w:rsidRPr="00907EAA">
        <w:rPr>
          <w:rFonts w:ascii="Tahoma" w:hAnsi="Tahoma"/>
          <w:sz w:val="16"/>
        </w:rPr>
        <w:t>Mac</w:t>
      </w:r>
      <w:r w:rsidRPr="00907EAA">
        <w:rPr>
          <w:rFonts w:ascii="Tahoma" w:hAnsi="Tahoma"/>
          <w:sz w:val="16"/>
        </w:rPr>
        <w:t>k U, Migliori GB, Sester M, Rieder HL, Ehlers S, Goletti D, et al. Tbnet. LTBI: latent tuberculosis infection or lasting immune responses to M. tuberculosis? A TBNET consensus statement. Eur Respir J. 2009;33(5):956-973.</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49.</w:t>
      </w:r>
      <w:r w:rsidRPr="00907EAA">
        <w:tab/>
      </w:r>
      <w:r w:rsidRPr="00907EAA">
        <w:rPr>
          <w:rFonts w:ascii="Tahoma" w:hAnsi="Tahoma"/>
          <w:sz w:val="16"/>
        </w:rPr>
        <w:t xml:space="preserve">Lange C, Rieder HL. Intention </w:t>
      </w:r>
      <w:r w:rsidRPr="00907EAA">
        <w:rPr>
          <w:rFonts w:ascii="Tahoma" w:hAnsi="Tahoma"/>
          <w:sz w:val="16"/>
        </w:rPr>
        <w:t>to test is intention to treat. Am J Respir Crit Care Med. 2011;183(1):3-4.</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50.</w:t>
      </w:r>
      <w:r w:rsidRPr="00907EAA">
        <w:tab/>
      </w:r>
      <w:r w:rsidRPr="00907EAA">
        <w:rPr>
          <w:rFonts w:ascii="Tahoma" w:hAnsi="Tahoma"/>
          <w:sz w:val="16"/>
        </w:rPr>
        <w:t>World Health Organization. WHO policy on TB infection control in health - care facilities, congregate settings and households. Geneva: World Health Organization; 2009.</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51.</w:t>
      </w:r>
      <w:r w:rsidRPr="00907EAA">
        <w:tab/>
      </w:r>
      <w:r w:rsidRPr="00907EAA">
        <w:rPr>
          <w:rFonts w:ascii="Tahoma" w:hAnsi="Tahoma"/>
          <w:sz w:val="16"/>
        </w:rPr>
        <w:t>Sotgi</w:t>
      </w:r>
      <w:r w:rsidRPr="00907EAA">
        <w:rPr>
          <w:rFonts w:ascii="Tahoma" w:hAnsi="Tahoma"/>
          <w:sz w:val="16"/>
        </w:rPr>
        <w:t>u G, D'Ambrosio L, Centis R, Bothamley G, Cirillo DM, De Lorenzo S, et al. TB and M/XDR-TB infection control in European TB reference centres: the Achilles' heel? Eur Respir J. 2011;38(5):1221-1223.</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52.</w:t>
      </w:r>
      <w:r w:rsidRPr="00907EAA">
        <w:tab/>
      </w:r>
      <w:r w:rsidRPr="00907EAA">
        <w:rPr>
          <w:rFonts w:ascii="Tahoma" w:hAnsi="Tahoma"/>
          <w:sz w:val="16"/>
        </w:rPr>
        <w:t>Matteelli A, Centis R, D'Ambrosio L, Sotgiu G, Tadoli</w:t>
      </w:r>
      <w:r w:rsidRPr="00907EAA">
        <w:rPr>
          <w:rFonts w:ascii="Tahoma" w:hAnsi="Tahoma"/>
          <w:sz w:val="16"/>
        </w:rPr>
        <w:t>ni M, Pontali E, et al. WHO strategies for the programmatic management of drug-resistant tuberculosis. Expert Rev Respir Med. 2016;10(9):991-1002.</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53.</w:t>
      </w:r>
      <w:r w:rsidRPr="00907EAA">
        <w:tab/>
      </w:r>
      <w:r w:rsidRPr="00907EAA">
        <w:rPr>
          <w:rFonts w:ascii="Tahoma" w:hAnsi="Tahoma"/>
          <w:sz w:val="16"/>
        </w:rPr>
        <w:t>Laserson KF, Thorpe LE, Leimane V, Weyer K, Mitnick CD, Riekstina V, et al. Speaking the same language: t</w:t>
      </w:r>
      <w:r w:rsidRPr="00907EAA">
        <w:rPr>
          <w:rFonts w:ascii="Tahoma" w:hAnsi="Tahoma"/>
          <w:sz w:val="16"/>
        </w:rPr>
        <w:t>reatment outcome definitions for multidrug-resistant tuberculosis. Int J Tuberc Lung Dis. 2005;9(6):640-645.</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54.</w:t>
      </w:r>
      <w:r w:rsidRPr="00907EAA">
        <w:tab/>
      </w:r>
      <w:r w:rsidRPr="00907EAA">
        <w:rPr>
          <w:rFonts w:ascii="Tahoma" w:hAnsi="Tahoma"/>
          <w:sz w:val="16"/>
        </w:rPr>
        <w:t>European Centre for Disease Prevention and Control, World Health Organization. Regional Office for Europe. Tuberculosis surveillance and monito</w:t>
      </w:r>
      <w:r w:rsidRPr="00907EAA">
        <w:rPr>
          <w:rFonts w:ascii="Tahoma" w:hAnsi="Tahoma"/>
          <w:sz w:val="16"/>
        </w:rPr>
        <w:t>ring in Europe: 2017. Stockholm: ECDC; 2017. Available from: http://dx.doi.org/10.2900/2767.</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55.</w:t>
      </w:r>
      <w:r w:rsidRPr="00907EAA">
        <w:tab/>
      </w:r>
      <w:r w:rsidRPr="00907EAA">
        <w:rPr>
          <w:rFonts w:ascii="Tahoma" w:hAnsi="Tahoma"/>
          <w:sz w:val="16"/>
        </w:rPr>
        <w:t>Mor Z, Migliori GB, Althomsons SP, Loddenkemper R, Trnka L, Iademarco MF. Comparison of tuberculosis surveillance systems in low-incidence industrialised count</w:t>
      </w:r>
      <w:r w:rsidRPr="00907EAA">
        <w:rPr>
          <w:rFonts w:ascii="Tahoma" w:hAnsi="Tahoma"/>
          <w:sz w:val="16"/>
        </w:rPr>
        <w:t>ries. Eur Respir J. 2008;32(6):1616-1624.</w:t>
      </w:r>
    </w:p>
    <w:p w:rsidR="00DA3A70" w:rsidRPr="00907EAA" w:rsidP="0028467E">
      <w:pPr>
        <w:pStyle w:val="EndNoteBibliography"/>
        <w:spacing w:after="0"/>
        <w:ind w:left="426" w:hanging="426"/>
        <w:jc w:val="left"/>
        <w:rPr>
          <w:rFonts w:ascii="Tahoma" w:hAnsi="Tahoma" w:cs="Tahoma"/>
          <w:sz w:val="16"/>
          <w:szCs w:val="16"/>
        </w:rPr>
      </w:pPr>
      <w:r w:rsidRPr="00907EAA">
        <w:rPr>
          <w:rFonts w:ascii="Tahoma" w:hAnsi="Tahoma"/>
          <w:sz w:val="16"/>
        </w:rPr>
        <w:t>56.</w:t>
      </w:r>
      <w:r w:rsidRPr="00907EAA">
        <w:tab/>
      </w:r>
      <w:r w:rsidRPr="00907EAA">
        <w:rPr>
          <w:rFonts w:ascii="Tahoma" w:hAnsi="Tahoma"/>
          <w:sz w:val="16"/>
        </w:rPr>
        <w:t>Uplekar M, Atre S, Wells WA, Weil D, Lopez R, Migliori G, et al. Mandatory tuberculosis case notification in high tuberculosis-incidence countries: policy and practices. Eur Respir J. 2016(48):1571-1581.</w:t>
      </w:r>
    </w:p>
    <w:p w:rsidR="008B2FFB" w:rsidRPr="00907EAA" w:rsidP="0028467E">
      <w:pPr>
        <w:pStyle w:val="EndNoteBibliography"/>
        <w:ind w:left="426" w:hanging="426"/>
        <w:jc w:val="left"/>
      </w:pPr>
      <w:r w:rsidRPr="00907EAA">
        <w:rPr>
          <w:rFonts w:ascii="Tahoma" w:hAnsi="Tahoma"/>
          <w:sz w:val="16"/>
        </w:rPr>
        <w:t>57.</w:t>
      </w:r>
      <w:r w:rsidRPr="00907EAA">
        <w:tab/>
      </w:r>
      <w:r w:rsidRPr="00907EAA">
        <w:rPr>
          <w:rFonts w:ascii="Tahoma" w:hAnsi="Tahoma"/>
          <w:sz w:val="16"/>
        </w:rPr>
        <w:t>He</w:t>
      </w:r>
      <w:r w:rsidRPr="00907EAA">
        <w:rPr>
          <w:rFonts w:ascii="Tahoma" w:hAnsi="Tahoma"/>
          <w:sz w:val="16"/>
        </w:rPr>
        <w:t>ldal E, Kuyvenhoven JV, Wares F, Migliori GB, Ditiu L, Fernandez de la Hoz K, et al. Diagnosis and treatment of tuberculosis in undocumented migrants in low- or intermediate-incidence countries. Int J Tuberc Lung Dis. 2008;12(8):878-888.</w:t>
      </w:r>
    </w:p>
    <w:sectPr w:rsidSect="000D0DB0">
      <w:footerReference w:type="default" r:id="rId5"/>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4C94" w:rsidRPr="00907EAA" w:rsidP="00847A9F">
    <w:pPr>
      <w:pStyle w:val="Footer"/>
      <w:spacing w:after="0" w:line="240" w:lineRule="auto"/>
      <w:jc w:val="center"/>
      <w:rPr>
        <w:rFonts w:ascii="Arial" w:hAnsi="Arial" w:cs="Arial"/>
        <w:sz w:val="20"/>
        <w:szCs w:val="20"/>
      </w:rPr>
    </w:pPr>
  </w:p>
  <w:p w:rsidR="00974C94" w:rsidRPr="00907EAA" w:rsidP="00847A9F">
    <w:pPr>
      <w:pStyle w:val="Footer"/>
      <w:spacing w:after="0" w:line="240" w:lineRule="auto"/>
      <w:jc w:val="center"/>
      <w:rPr>
        <w:rFonts w:ascii="Arial" w:hAnsi="Arial" w:cs="Arial"/>
        <w:sz w:val="20"/>
        <w:szCs w:val="20"/>
      </w:rPr>
    </w:pPr>
    <w:r w:rsidRPr="00907EAA">
      <w:rPr>
        <w:rFonts w:ascii="Arial" w:hAnsi="Arial"/>
        <w:sz w:val="20"/>
      </w:rPr>
      <w:t xml:space="preserve">- </w:t>
    </w:r>
    <w:r w:rsidRPr="00907EAA">
      <w:rPr>
        <w:rFonts w:ascii="Arial" w:hAnsi="Arial" w:cs="Arial"/>
        <w:sz w:val="20"/>
        <w:szCs w:val="20"/>
      </w:rPr>
      <w:fldChar w:fldCharType="begin"/>
    </w:r>
    <w:r w:rsidRPr="00907EAA">
      <w:rPr>
        <w:rFonts w:ascii="Arial" w:hAnsi="Arial" w:cs="Arial"/>
        <w:sz w:val="20"/>
        <w:szCs w:val="20"/>
      </w:rPr>
      <w:instrText xml:space="preserve"> PAGE   \* MERGEFORMAT </w:instrText>
    </w:r>
    <w:r w:rsidRPr="00907EAA">
      <w:rPr>
        <w:rFonts w:ascii="Arial" w:hAnsi="Arial" w:cs="Arial"/>
        <w:sz w:val="20"/>
        <w:szCs w:val="20"/>
      </w:rPr>
      <w:fldChar w:fldCharType="separate"/>
    </w:r>
    <w:r>
      <w:rPr>
        <w:rFonts w:ascii="Arial" w:hAnsi="Arial" w:cs="Arial"/>
        <w:noProof/>
        <w:sz w:val="20"/>
        <w:szCs w:val="20"/>
      </w:rPr>
      <w:t>10</w:t>
    </w:r>
    <w:r w:rsidRPr="00907EAA">
      <w:rPr>
        <w:rFonts w:ascii="Arial" w:hAnsi="Arial" w:cs="Arial"/>
        <w:sz w:val="20"/>
        <w:szCs w:val="20"/>
      </w:rPr>
      <w:fldChar w:fldCharType="end"/>
    </w:r>
    <w:r w:rsidRPr="00907EAA">
      <w:rPr>
        <w:rFonts w:ascii="Arial" w:hAnsi="Arial"/>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C0C01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9E6CF02"/>
    <w:lvl w:ilvl="0">
      <w:start w:val="1"/>
      <w:numFmt w:val="decimal"/>
      <w:lvlText w:val="%1."/>
      <w:lvlJc w:val="left"/>
      <w:pPr>
        <w:tabs>
          <w:tab w:val="num" w:pos="1492"/>
        </w:tabs>
        <w:ind w:left="1492" w:hanging="360"/>
      </w:pPr>
    </w:lvl>
  </w:abstractNum>
  <w:abstractNum w:abstractNumId="2">
    <w:nsid w:val="FFFFFF7D"/>
    <w:multiLevelType w:val="singleLevel"/>
    <w:tmpl w:val="99EEE6BA"/>
    <w:lvl w:ilvl="0">
      <w:start w:val="1"/>
      <w:numFmt w:val="decimal"/>
      <w:lvlText w:val="%1."/>
      <w:lvlJc w:val="left"/>
      <w:pPr>
        <w:tabs>
          <w:tab w:val="num" w:pos="1209"/>
        </w:tabs>
        <w:ind w:left="1209" w:hanging="360"/>
      </w:pPr>
    </w:lvl>
  </w:abstractNum>
  <w:abstractNum w:abstractNumId="3">
    <w:nsid w:val="FFFFFF7E"/>
    <w:multiLevelType w:val="singleLevel"/>
    <w:tmpl w:val="72D86C2A"/>
    <w:lvl w:ilvl="0">
      <w:start w:val="1"/>
      <w:numFmt w:val="decimal"/>
      <w:lvlText w:val="%1."/>
      <w:lvlJc w:val="left"/>
      <w:pPr>
        <w:tabs>
          <w:tab w:val="num" w:pos="926"/>
        </w:tabs>
        <w:ind w:left="926" w:hanging="360"/>
      </w:pPr>
    </w:lvl>
  </w:abstractNum>
  <w:abstractNum w:abstractNumId="4">
    <w:nsid w:val="FFFFFF7F"/>
    <w:multiLevelType w:val="singleLevel"/>
    <w:tmpl w:val="A70AAB4A"/>
    <w:lvl w:ilvl="0">
      <w:start w:val="1"/>
      <w:numFmt w:val="decimal"/>
      <w:lvlText w:val="%1."/>
      <w:lvlJc w:val="left"/>
      <w:pPr>
        <w:tabs>
          <w:tab w:val="num" w:pos="643"/>
        </w:tabs>
        <w:ind w:left="643" w:hanging="360"/>
      </w:pPr>
    </w:lvl>
  </w:abstractNum>
  <w:abstractNum w:abstractNumId="5">
    <w:nsid w:val="FFFFFF80"/>
    <w:multiLevelType w:val="singleLevel"/>
    <w:tmpl w:val="70443C5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20827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86664C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F40748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8E47074"/>
    <w:lvl w:ilvl="0">
      <w:start w:val="1"/>
      <w:numFmt w:val="decimal"/>
      <w:lvlText w:val="%1."/>
      <w:lvlJc w:val="left"/>
      <w:pPr>
        <w:tabs>
          <w:tab w:val="num" w:pos="360"/>
        </w:tabs>
        <w:ind w:left="360" w:hanging="360"/>
      </w:pPr>
    </w:lvl>
  </w:abstractNum>
  <w:abstractNum w:abstractNumId="10">
    <w:nsid w:val="FFFFFF89"/>
    <w:multiLevelType w:val="singleLevel"/>
    <w:tmpl w:val="D75C68EC"/>
    <w:lvl w:ilvl="0">
      <w:start w:val="1"/>
      <w:numFmt w:val="bullet"/>
      <w:lvlText w:val=""/>
      <w:lvlJc w:val="left"/>
      <w:pPr>
        <w:tabs>
          <w:tab w:val="num" w:pos="360"/>
        </w:tabs>
        <w:ind w:left="360" w:hanging="360"/>
      </w:pPr>
      <w:rPr>
        <w:rFonts w:ascii="Symbol" w:hAnsi="Symbol" w:hint="default"/>
      </w:rPr>
    </w:lvl>
  </w:abstractNum>
  <w:abstractNum w:abstractNumId="11">
    <w:nsid w:val="00155751"/>
    <w:multiLevelType w:val="hybridMultilevel"/>
    <w:tmpl w:val="B3A8BCD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55784F"/>
    <w:multiLevelType w:val="hybridMultilevel"/>
    <w:tmpl w:val="81F29F4C"/>
    <w:lvl w:ilvl="0">
      <w:start w:val="1"/>
      <w:numFmt w:val="decimal"/>
      <w:lvlText w:val="%1."/>
      <w:lvlJc w:val="left"/>
      <w:pPr>
        <w:ind w:left="720" w:hanging="360"/>
      </w:pPr>
      <w:rPr>
        <w:b w:val="0"/>
        <w:i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5302E4"/>
    <w:multiLevelType w:val="hybridMultilevel"/>
    <w:tmpl w:val="40FA02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E6A1D1C"/>
    <w:multiLevelType w:val="hybridMultilevel"/>
    <w:tmpl w:val="D9367C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F70A20"/>
    <w:multiLevelType w:val="hybridMultilevel"/>
    <w:tmpl w:val="3AD68A9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1180650"/>
    <w:multiLevelType w:val="hybridMultilevel"/>
    <w:tmpl w:val="C2165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4D441C"/>
    <w:multiLevelType w:val="hybridMultilevel"/>
    <w:tmpl w:val="6BCC0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8A11B89"/>
    <w:multiLevelType w:val="hybridMultilevel"/>
    <w:tmpl w:val="ECD67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153C81"/>
    <w:multiLevelType w:val="hybridMultilevel"/>
    <w:tmpl w:val="B4BC1B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C051EA"/>
    <w:multiLevelType w:val="hybridMultilevel"/>
    <w:tmpl w:val="709CAB64"/>
    <w:lvl w:ilvl="0">
      <w:start w:val="0"/>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D43C67"/>
    <w:multiLevelType w:val="hybridMultilevel"/>
    <w:tmpl w:val="B9D8218C"/>
    <w:lvl w:ilvl="0">
      <w:start w:val="1"/>
      <w:numFmt w:val="upperLetter"/>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19A277D"/>
    <w:multiLevelType w:val="hybridMultilevel"/>
    <w:tmpl w:val="58A2B9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DC1440"/>
    <w:multiLevelType w:val="hybridMultilevel"/>
    <w:tmpl w:val="43F80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555F88"/>
    <w:multiLevelType w:val="hybridMultilevel"/>
    <w:tmpl w:val="74DA41A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57577DC4"/>
    <w:multiLevelType w:val="hybridMultilevel"/>
    <w:tmpl w:val="6DC476D2"/>
    <w:lvl w:ilvl="0">
      <w:start w:val="1"/>
      <w:numFmt w:val="decimal"/>
      <w:lvlText w:val="%1."/>
      <w:lvlJc w:val="left"/>
      <w:pPr>
        <w:ind w:left="720" w:hanging="360"/>
      </w:pPr>
      <w:rPr>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AB5821"/>
    <w:multiLevelType w:val="hybridMultilevel"/>
    <w:tmpl w:val="F00CB6B6"/>
    <w:lvl w:ilvl="0">
      <w:start w:val="1"/>
      <w:numFmt w:val="decimal"/>
      <w:pStyle w:val="Paragrafoelenco1"/>
      <w:lvlText w:val="%1."/>
      <w:lvlJc w:val="left"/>
      <w:pPr>
        <w:ind w:left="720" w:hanging="360"/>
      </w:pPr>
      <w:rPr>
        <w:rFonts w:ascii="Tahoma" w:hAnsi="Tahoma" w:cs="Tahoma" w:hint="default"/>
        <w:b w:val="0"/>
        <w:i w:val="0"/>
        <w:caps w:val="0"/>
        <w:color w:val="auto"/>
        <w:sz w:val="20"/>
        <w:szCs w:val="2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D85BAD"/>
    <w:multiLevelType w:val="hybridMultilevel"/>
    <w:tmpl w:val="902A21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17867A3"/>
    <w:multiLevelType w:val="hybridMultilevel"/>
    <w:tmpl w:val="F15E2EA6"/>
    <w:lvl w:ilvl="0">
      <w:start w:val="1"/>
      <w:numFmt w:val="upperLetter"/>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F4432E"/>
    <w:multiLevelType w:val="hybridMultilevel"/>
    <w:tmpl w:val="8A7EA1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91F7A9A"/>
    <w:multiLevelType w:val="hybridMultilevel"/>
    <w:tmpl w:val="83FCF3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F564D6"/>
    <w:multiLevelType w:val="hybridMultilevel"/>
    <w:tmpl w:val="D26AC7E6"/>
    <w:lvl w:ilvl="0">
      <w:start w:val="1"/>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5"/>
  </w:num>
  <w:num w:numId="4">
    <w:abstractNumId w:val="20"/>
  </w:num>
  <w:num w:numId="5">
    <w:abstractNumId w:val="12"/>
  </w:num>
  <w:num w:numId="6">
    <w:abstractNumId w:val="11"/>
  </w:num>
  <w:num w:numId="7">
    <w:abstractNumId w:val="2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9"/>
  </w:num>
  <w:num w:numId="19">
    <w:abstractNumId w:val="24"/>
  </w:num>
  <w:num w:numId="20">
    <w:abstractNumId w:val="19"/>
  </w:num>
  <w:num w:numId="21">
    <w:abstractNumId w:val="22"/>
  </w:num>
  <w:num w:numId="22">
    <w:abstractNumId w:val="30"/>
  </w:num>
  <w:num w:numId="23">
    <w:abstractNumId w:val="25"/>
  </w:num>
  <w:num w:numId="24">
    <w:abstractNumId w:val="0"/>
  </w:num>
  <w:num w:numId="25">
    <w:abstractNumId w:val="14"/>
  </w:num>
  <w:num w:numId="26">
    <w:abstractNumId w:val="18"/>
  </w:num>
  <w:num w:numId="27">
    <w:abstractNumId w:val="17"/>
  </w:num>
  <w:num w:numId="28">
    <w:abstractNumId w:val="27"/>
  </w:num>
  <w:num w:numId="29">
    <w:abstractNumId w:val="23"/>
  </w:num>
  <w:num w:numId="30">
    <w:abstractNumId w:val="13"/>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70"/>
    <w:rsid w:val="00000350"/>
    <w:rsid w:val="00000DD5"/>
    <w:rsid w:val="000026F4"/>
    <w:rsid w:val="00002EF3"/>
    <w:rsid w:val="000034CF"/>
    <w:rsid w:val="000071D2"/>
    <w:rsid w:val="00010D29"/>
    <w:rsid w:val="000124B6"/>
    <w:rsid w:val="00012ADD"/>
    <w:rsid w:val="00014162"/>
    <w:rsid w:val="0001487C"/>
    <w:rsid w:val="00024F83"/>
    <w:rsid w:val="00026A77"/>
    <w:rsid w:val="000279A6"/>
    <w:rsid w:val="00032C1C"/>
    <w:rsid w:val="0003464B"/>
    <w:rsid w:val="000347EA"/>
    <w:rsid w:val="00037B0F"/>
    <w:rsid w:val="00041534"/>
    <w:rsid w:val="0004182E"/>
    <w:rsid w:val="00042858"/>
    <w:rsid w:val="000466F2"/>
    <w:rsid w:val="000479A2"/>
    <w:rsid w:val="00052E50"/>
    <w:rsid w:val="00053CE8"/>
    <w:rsid w:val="00054BA2"/>
    <w:rsid w:val="00054C97"/>
    <w:rsid w:val="00055EC2"/>
    <w:rsid w:val="00056E42"/>
    <w:rsid w:val="000606C7"/>
    <w:rsid w:val="000634B3"/>
    <w:rsid w:val="00067414"/>
    <w:rsid w:val="0007118B"/>
    <w:rsid w:val="00071A2E"/>
    <w:rsid w:val="00071CA9"/>
    <w:rsid w:val="000726E4"/>
    <w:rsid w:val="00073EA2"/>
    <w:rsid w:val="000740EA"/>
    <w:rsid w:val="000753CB"/>
    <w:rsid w:val="00083CEE"/>
    <w:rsid w:val="000840C5"/>
    <w:rsid w:val="000872D3"/>
    <w:rsid w:val="00090759"/>
    <w:rsid w:val="00091034"/>
    <w:rsid w:val="00093100"/>
    <w:rsid w:val="00093675"/>
    <w:rsid w:val="00094E61"/>
    <w:rsid w:val="000953B5"/>
    <w:rsid w:val="00097EA7"/>
    <w:rsid w:val="000A2B79"/>
    <w:rsid w:val="000A2B9B"/>
    <w:rsid w:val="000A3A87"/>
    <w:rsid w:val="000A3E29"/>
    <w:rsid w:val="000A3F03"/>
    <w:rsid w:val="000A40BC"/>
    <w:rsid w:val="000A60C4"/>
    <w:rsid w:val="000A6A19"/>
    <w:rsid w:val="000A7B26"/>
    <w:rsid w:val="000B0623"/>
    <w:rsid w:val="000B0CFE"/>
    <w:rsid w:val="000B0D43"/>
    <w:rsid w:val="000B2922"/>
    <w:rsid w:val="000B7864"/>
    <w:rsid w:val="000B7ADA"/>
    <w:rsid w:val="000C1461"/>
    <w:rsid w:val="000C2136"/>
    <w:rsid w:val="000C21E9"/>
    <w:rsid w:val="000C28F4"/>
    <w:rsid w:val="000C3973"/>
    <w:rsid w:val="000C46C9"/>
    <w:rsid w:val="000C4F54"/>
    <w:rsid w:val="000C5921"/>
    <w:rsid w:val="000C5E86"/>
    <w:rsid w:val="000C672A"/>
    <w:rsid w:val="000C6EA1"/>
    <w:rsid w:val="000D0DB0"/>
    <w:rsid w:val="000D1274"/>
    <w:rsid w:val="000D1427"/>
    <w:rsid w:val="000D1B85"/>
    <w:rsid w:val="000D3A2D"/>
    <w:rsid w:val="000D5670"/>
    <w:rsid w:val="000E1278"/>
    <w:rsid w:val="000F23C9"/>
    <w:rsid w:val="000F2946"/>
    <w:rsid w:val="000F2C5B"/>
    <w:rsid w:val="000F3E8B"/>
    <w:rsid w:val="000F4226"/>
    <w:rsid w:val="000F5AA3"/>
    <w:rsid w:val="000F5F9C"/>
    <w:rsid w:val="000F76CA"/>
    <w:rsid w:val="001035A5"/>
    <w:rsid w:val="00110B63"/>
    <w:rsid w:val="00121291"/>
    <w:rsid w:val="00125B6D"/>
    <w:rsid w:val="00126616"/>
    <w:rsid w:val="001269EE"/>
    <w:rsid w:val="001304C7"/>
    <w:rsid w:val="00132BA8"/>
    <w:rsid w:val="00136802"/>
    <w:rsid w:val="00136E20"/>
    <w:rsid w:val="00136ED6"/>
    <w:rsid w:val="0014061E"/>
    <w:rsid w:val="0014258F"/>
    <w:rsid w:val="00143D62"/>
    <w:rsid w:val="001449C6"/>
    <w:rsid w:val="00146FC2"/>
    <w:rsid w:val="0015365C"/>
    <w:rsid w:val="0015455B"/>
    <w:rsid w:val="00155B28"/>
    <w:rsid w:val="00162F60"/>
    <w:rsid w:val="0016337C"/>
    <w:rsid w:val="00163959"/>
    <w:rsid w:val="00166790"/>
    <w:rsid w:val="00170B6E"/>
    <w:rsid w:val="00171A18"/>
    <w:rsid w:val="00172D5C"/>
    <w:rsid w:val="001730CE"/>
    <w:rsid w:val="001736AD"/>
    <w:rsid w:val="00173820"/>
    <w:rsid w:val="0017517E"/>
    <w:rsid w:val="001752D3"/>
    <w:rsid w:val="00176AC3"/>
    <w:rsid w:val="001771D6"/>
    <w:rsid w:val="001855AB"/>
    <w:rsid w:val="00185AFB"/>
    <w:rsid w:val="00192273"/>
    <w:rsid w:val="00192B0D"/>
    <w:rsid w:val="00193DC5"/>
    <w:rsid w:val="001959C6"/>
    <w:rsid w:val="00196487"/>
    <w:rsid w:val="001A3531"/>
    <w:rsid w:val="001A4728"/>
    <w:rsid w:val="001A4CCF"/>
    <w:rsid w:val="001A5261"/>
    <w:rsid w:val="001B1BA1"/>
    <w:rsid w:val="001B5D93"/>
    <w:rsid w:val="001B6412"/>
    <w:rsid w:val="001B68DA"/>
    <w:rsid w:val="001C393A"/>
    <w:rsid w:val="001C5792"/>
    <w:rsid w:val="001C5873"/>
    <w:rsid w:val="001C6951"/>
    <w:rsid w:val="001C779B"/>
    <w:rsid w:val="001C77C5"/>
    <w:rsid w:val="001D233F"/>
    <w:rsid w:val="001D3415"/>
    <w:rsid w:val="001D515B"/>
    <w:rsid w:val="001D536F"/>
    <w:rsid w:val="001D6BBF"/>
    <w:rsid w:val="001D70E6"/>
    <w:rsid w:val="001D7D5A"/>
    <w:rsid w:val="001E19FE"/>
    <w:rsid w:val="001E20E9"/>
    <w:rsid w:val="001E2F2E"/>
    <w:rsid w:val="001E3843"/>
    <w:rsid w:val="001E4CEB"/>
    <w:rsid w:val="001E6775"/>
    <w:rsid w:val="001F10C9"/>
    <w:rsid w:val="001F3DBA"/>
    <w:rsid w:val="001F47EF"/>
    <w:rsid w:val="001F5C22"/>
    <w:rsid w:val="001F6F3E"/>
    <w:rsid w:val="002059D7"/>
    <w:rsid w:val="002076D3"/>
    <w:rsid w:val="0021121E"/>
    <w:rsid w:val="00211980"/>
    <w:rsid w:val="00213427"/>
    <w:rsid w:val="00217017"/>
    <w:rsid w:val="00222311"/>
    <w:rsid w:val="002227A7"/>
    <w:rsid w:val="002250CC"/>
    <w:rsid w:val="0023067B"/>
    <w:rsid w:val="00230B5C"/>
    <w:rsid w:val="0023121D"/>
    <w:rsid w:val="00232D78"/>
    <w:rsid w:val="00232E0C"/>
    <w:rsid w:val="00234417"/>
    <w:rsid w:val="00236007"/>
    <w:rsid w:val="002362B5"/>
    <w:rsid w:val="002377D4"/>
    <w:rsid w:val="00237A50"/>
    <w:rsid w:val="00240F94"/>
    <w:rsid w:val="00242164"/>
    <w:rsid w:val="002425A4"/>
    <w:rsid w:val="00243203"/>
    <w:rsid w:val="00243FFC"/>
    <w:rsid w:val="002444B5"/>
    <w:rsid w:val="00250D1C"/>
    <w:rsid w:val="00251222"/>
    <w:rsid w:val="00251710"/>
    <w:rsid w:val="00251911"/>
    <w:rsid w:val="00251953"/>
    <w:rsid w:val="00251BE7"/>
    <w:rsid w:val="00252ABC"/>
    <w:rsid w:val="00254EDF"/>
    <w:rsid w:val="00256D28"/>
    <w:rsid w:val="00257944"/>
    <w:rsid w:val="00264E5E"/>
    <w:rsid w:val="00267443"/>
    <w:rsid w:val="002701E1"/>
    <w:rsid w:val="0027030B"/>
    <w:rsid w:val="0027045A"/>
    <w:rsid w:val="00270D45"/>
    <w:rsid w:val="00274D20"/>
    <w:rsid w:val="0027624E"/>
    <w:rsid w:val="0027775B"/>
    <w:rsid w:val="00277933"/>
    <w:rsid w:val="00283609"/>
    <w:rsid w:val="0028467E"/>
    <w:rsid w:val="00287121"/>
    <w:rsid w:val="0029231A"/>
    <w:rsid w:val="002939B8"/>
    <w:rsid w:val="0029556C"/>
    <w:rsid w:val="002961B5"/>
    <w:rsid w:val="00297557"/>
    <w:rsid w:val="0029793E"/>
    <w:rsid w:val="002A11F0"/>
    <w:rsid w:val="002A4CBA"/>
    <w:rsid w:val="002A533F"/>
    <w:rsid w:val="002A5D0B"/>
    <w:rsid w:val="002B346A"/>
    <w:rsid w:val="002B4136"/>
    <w:rsid w:val="002B6751"/>
    <w:rsid w:val="002C278C"/>
    <w:rsid w:val="002C2A75"/>
    <w:rsid w:val="002C5489"/>
    <w:rsid w:val="002C5A7D"/>
    <w:rsid w:val="002C5F15"/>
    <w:rsid w:val="002C74AF"/>
    <w:rsid w:val="002D0D81"/>
    <w:rsid w:val="002D130E"/>
    <w:rsid w:val="002D2934"/>
    <w:rsid w:val="002D4BDD"/>
    <w:rsid w:val="002D6B2B"/>
    <w:rsid w:val="002E0B13"/>
    <w:rsid w:val="002E4529"/>
    <w:rsid w:val="002E47FD"/>
    <w:rsid w:val="002E5F96"/>
    <w:rsid w:val="002E69D3"/>
    <w:rsid w:val="002E714E"/>
    <w:rsid w:val="002F2A5A"/>
    <w:rsid w:val="002F2DA3"/>
    <w:rsid w:val="002F3F70"/>
    <w:rsid w:val="002F45F2"/>
    <w:rsid w:val="002F4926"/>
    <w:rsid w:val="002F49F5"/>
    <w:rsid w:val="002F623E"/>
    <w:rsid w:val="002F6F3E"/>
    <w:rsid w:val="003003DA"/>
    <w:rsid w:val="003073B3"/>
    <w:rsid w:val="00313CA4"/>
    <w:rsid w:val="00314886"/>
    <w:rsid w:val="00314A47"/>
    <w:rsid w:val="00320170"/>
    <w:rsid w:val="00321B92"/>
    <w:rsid w:val="00322570"/>
    <w:rsid w:val="00322F85"/>
    <w:rsid w:val="0032439B"/>
    <w:rsid w:val="003247C6"/>
    <w:rsid w:val="00325CF7"/>
    <w:rsid w:val="00327791"/>
    <w:rsid w:val="00327D7E"/>
    <w:rsid w:val="0033246A"/>
    <w:rsid w:val="00332575"/>
    <w:rsid w:val="0033381B"/>
    <w:rsid w:val="00334B37"/>
    <w:rsid w:val="00340B09"/>
    <w:rsid w:val="003450AE"/>
    <w:rsid w:val="00352241"/>
    <w:rsid w:val="00352431"/>
    <w:rsid w:val="00353103"/>
    <w:rsid w:val="0035545C"/>
    <w:rsid w:val="003562DF"/>
    <w:rsid w:val="003571C8"/>
    <w:rsid w:val="00360484"/>
    <w:rsid w:val="00360784"/>
    <w:rsid w:val="00360A97"/>
    <w:rsid w:val="00363A61"/>
    <w:rsid w:val="00363B8A"/>
    <w:rsid w:val="00363C6B"/>
    <w:rsid w:val="00363D85"/>
    <w:rsid w:val="00364A59"/>
    <w:rsid w:val="003663F5"/>
    <w:rsid w:val="00366496"/>
    <w:rsid w:val="00370A99"/>
    <w:rsid w:val="00371D7A"/>
    <w:rsid w:val="00372ACE"/>
    <w:rsid w:val="0037414E"/>
    <w:rsid w:val="003751DE"/>
    <w:rsid w:val="003771C2"/>
    <w:rsid w:val="00377D0B"/>
    <w:rsid w:val="00380057"/>
    <w:rsid w:val="00381656"/>
    <w:rsid w:val="00382546"/>
    <w:rsid w:val="003830D8"/>
    <w:rsid w:val="003846FE"/>
    <w:rsid w:val="00387647"/>
    <w:rsid w:val="00391B04"/>
    <w:rsid w:val="00392E2D"/>
    <w:rsid w:val="00394E0D"/>
    <w:rsid w:val="00396373"/>
    <w:rsid w:val="00396855"/>
    <w:rsid w:val="00397D0C"/>
    <w:rsid w:val="003A2634"/>
    <w:rsid w:val="003A4098"/>
    <w:rsid w:val="003A4444"/>
    <w:rsid w:val="003B02DC"/>
    <w:rsid w:val="003B07C8"/>
    <w:rsid w:val="003B106F"/>
    <w:rsid w:val="003B431F"/>
    <w:rsid w:val="003C0153"/>
    <w:rsid w:val="003C06B1"/>
    <w:rsid w:val="003C0936"/>
    <w:rsid w:val="003C0B22"/>
    <w:rsid w:val="003C18EB"/>
    <w:rsid w:val="003C3ACF"/>
    <w:rsid w:val="003C40FE"/>
    <w:rsid w:val="003C545A"/>
    <w:rsid w:val="003C75A7"/>
    <w:rsid w:val="003D04FB"/>
    <w:rsid w:val="003D0D61"/>
    <w:rsid w:val="003D3F58"/>
    <w:rsid w:val="003E2A85"/>
    <w:rsid w:val="003E4C55"/>
    <w:rsid w:val="003E5976"/>
    <w:rsid w:val="003E5F1C"/>
    <w:rsid w:val="003E66D6"/>
    <w:rsid w:val="003E69A1"/>
    <w:rsid w:val="003E76A2"/>
    <w:rsid w:val="003E7DFF"/>
    <w:rsid w:val="003F0B0C"/>
    <w:rsid w:val="003F1CE8"/>
    <w:rsid w:val="003F5EEE"/>
    <w:rsid w:val="004025D9"/>
    <w:rsid w:val="00402E1D"/>
    <w:rsid w:val="00403259"/>
    <w:rsid w:val="00406F24"/>
    <w:rsid w:val="004076FC"/>
    <w:rsid w:val="00410A6B"/>
    <w:rsid w:val="00410EF0"/>
    <w:rsid w:val="00411296"/>
    <w:rsid w:val="004141A8"/>
    <w:rsid w:val="0041589D"/>
    <w:rsid w:val="00415CD3"/>
    <w:rsid w:val="0041632C"/>
    <w:rsid w:val="00420C8C"/>
    <w:rsid w:val="004222D7"/>
    <w:rsid w:val="004238D6"/>
    <w:rsid w:val="004246F1"/>
    <w:rsid w:val="00424941"/>
    <w:rsid w:val="00425C05"/>
    <w:rsid w:val="00427F35"/>
    <w:rsid w:val="00431534"/>
    <w:rsid w:val="0043285B"/>
    <w:rsid w:val="00434411"/>
    <w:rsid w:val="00437D86"/>
    <w:rsid w:val="0044267B"/>
    <w:rsid w:val="004446C0"/>
    <w:rsid w:val="00446C50"/>
    <w:rsid w:val="0044763D"/>
    <w:rsid w:val="00450C22"/>
    <w:rsid w:val="0045142D"/>
    <w:rsid w:val="00452236"/>
    <w:rsid w:val="00456829"/>
    <w:rsid w:val="0046235A"/>
    <w:rsid w:val="00463005"/>
    <w:rsid w:val="004646B1"/>
    <w:rsid w:val="004647E8"/>
    <w:rsid w:val="004658A8"/>
    <w:rsid w:val="00470E92"/>
    <w:rsid w:val="004739EF"/>
    <w:rsid w:val="0047445E"/>
    <w:rsid w:val="00477D39"/>
    <w:rsid w:val="00481C51"/>
    <w:rsid w:val="00481EB6"/>
    <w:rsid w:val="004827ED"/>
    <w:rsid w:val="00482B66"/>
    <w:rsid w:val="004839B6"/>
    <w:rsid w:val="0048487E"/>
    <w:rsid w:val="00484D43"/>
    <w:rsid w:val="0048703C"/>
    <w:rsid w:val="00491664"/>
    <w:rsid w:val="00491EF4"/>
    <w:rsid w:val="00492ED6"/>
    <w:rsid w:val="00494D55"/>
    <w:rsid w:val="004956D4"/>
    <w:rsid w:val="004957EF"/>
    <w:rsid w:val="00495E27"/>
    <w:rsid w:val="00496312"/>
    <w:rsid w:val="00497B7C"/>
    <w:rsid w:val="004A0599"/>
    <w:rsid w:val="004A10B3"/>
    <w:rsid w:val="004A18D9"/>
    <w:rsid w:val="004A2C44"/>
    <w:rsid w:val="004A2D43"/>
    <w:rsid w:val="004A39B1"/>
    <w:rsid w:val="004B1F0B"/>
    <w:rsid w:val="004B1FDD"/>
    <w:rsid w:val="004B4AA2"/>
    <w:rsid w:val="004B4EB0"/>
    <w:rsid w:val="004B5890"/>
    <w:rsid w:val="004B69FD"/>
    <w:rsid w:val="004B6FC5"/>
    <w:rsid w:val="004C18C1"/>
    <w:rsid w:val="004C1C75"/>
    <w:rsid w:val="004C28FB"/>
    <w:rsid w:val="004C2A3B"/>
    <w:rsid w:val="004C3DD6"/>
    <w:rsid w:val="004C4531"/>
    <w:rsid w:val="004D2373"/>
    <w:rsid w:val="004D36BF"/>
    <w:rsid w:val="004D3907"/>
    <w:rsid w:val="004D4F8D"/>
    <w:rsid w:val="004D5050"/>
    <w:rsid w:val="004D55B3"/>
    <w:rsid w:val="004D6F34"/>
    <w:rsid w:val="004D724D"/>
    <w:rsid w:val="004E0655"/>
    <w:rsid w:val="004E08F4"/>
    <w:rsid w:val="004E1242"/>
    <w:rsid w:val="004E36AA"/>
    <w:rsid w:val="004E72AD"/>
    <w:rsid w:val="004E7878"/>
    <w:rsid w:val="004F1574"/>
    <w:rsid w:val="004F1FA2"/>
    <w:rsid w:val="004F2590"/>
    <w:rsid w:val="004F2FA7"/>
    <w:rsid w:val="004F344C"/>
    <w:rsid w:val="004F5376"/>
    <w:rsid w:val="004F618E"/>
    <w:rsid w:val="004F7210"/>
    <w:rsid w:val="004F7661"/>
    <w:rsid w:val="00507351"/>
    <w:rsid w:val="00507844"/>
    <w:rsid w:val="00510CF2"/>
    <w:rsid w:val="00510F35"/>
    <w:rsid w:val="00511A12"/>
    <w:rsid w:val="00514487"/>
    <w:rsid w:val="00515792"/>
    <w:rsid w:val="00517228"/>
    <w:rsid w:val="00521D21"/>
    <w:rsid w:val="00524376"/>
    <w:rsid w:val="005257F9"/>
    <w:rsid w:val="00525E02"/>
    <w:rsid w:val="005267C9"/>
    <w:rsid w:val="00526D61"/>
    <w:rsid w:val="00530616"/>
    <w:rsid w:val="00532606"/>
    <w:rsid w:val="00533CE4"/>
    <w:rsid w:val="0053661F"/>
    <w:rsid w:val="00536FB6"/>
    <w:rsid w:val="0054062F"/>
    <w:rsid w:val="00543015"/>
    <w:rsid w:val="00546107"/>
    <w:rsid w:val="00546BCD"/>
    <w:rsid w:val="005503FE"/>
    <w:rsid w:val="00550A13"/>
    <w:rsid w:val="00552208"/>
    <w:rsid w:val="00552593"/>
    <w:rsid w:val="00555543"/>
    <w:rsid w:val="0055593C"/>
    <w:rsid w:val="0055733C"/>
    <w:rsid w:val="00561312"/>
    <w:rsid w:val="005619F1"/>
    <w:rsid w:val="00563401"/>
    <w:rsid w:val="00563755"/>
    <w:rsid w:val="00563F8F"/>
    <w:rsid w:val="00564730"/>
    <w:rsid w:val="00571926"/>
    <w:rsid w:val="00572297"/>
    <w:rsid w:val="005731B7"/>
    <w:rsid w:val="005739A7"/>
    <w:rsid w:val="0057481C"/>
    <w:rsid w:val="005748A7"/>
    <w:rsid w:val="00577395"/>
    <w:rsid w:val="0058068E"/>
    <w:rsid w:val="00583785"/>
    <w:rsid w:val="005849B0"/>
    <w:rsid w:val="00585C21"/>
    <w:rsid w:val="00586908"/>
    <w:rsid w:val="00587A44"/>
    <w:rsid w:val="00592DCC"/>
    <w:rsid w:val="00593AC8"/>
    <w:rsid w:val="00593C5A"/>
    <w:rsid w:val="00595BCD"/>
    <w:rsid w:val="005A045B"/>
    <w:rsid w:val="005A06E9"/>
    <w:rsid w:val="005A08DD"/>
    <w:rsid w:val="005A0DF5"/>
    <w:rsid w:val="005A29FD"/>
    <w:rsid w:val="005A57F3"/>
    <w:rsid w:val="005A714F"/>
    <w:rsid w:val="005B0D9E"/>
    <w:rsid w:val="005B2A34"/>
    <w:rsid w:val="005B2BDD"/>
    <w:rsid w:val="005B361F"/>
    <w:rsid w:val="005C07A1"/>
    <w:rsid w:val="005C0D3B"/>
    <w:rsid w:val="005C16A7"/>
    <w:rsid w:val="005C2159"/>
    <w:rsid w:val="005C26AD"/>
    <w:rsid w:val="005C564F"/>
    <w:rsid w:val="005C62D9"/>
    <w:rsid w:val="005C6765"/>
    <w:rsid w:val="005C7523"/>
    <w:rsid w:val="005C7B83"/>
    <w:rsid w:val="005D0C6F"/>
    <w:rsid w:val="005D1D2E"/>
    <w:rsid w:val="005D2955"/>
    <w:rsid w:val="005D52C6"/>
    <w:rsid w:val="005D600A"/>
    <w:rsid w:val="005D7F2E"/>
    <w:rsid w:val="005E673D"/>
    <w:rsid w:val="005F0264"/>
    <w:rsid w:val="005F0BA4"/>
    <w:rsid w:val="005F25B1"/>
    <w:rsid w:val="005F3B1D"/>
    <w:rsid w:val="005F7187"/>
    <w:rsid w:val="005F7C8B"/>
    <w:rsid w:val="00601169"/>
    <w:rsid w:val="00601545"/>
    <w:rsid w:val="00602E21"/>
    <w:rsid w:val="00604B0D"/>
    <w:rsid w:val="00607054"/>
    <w:rsid w:val="00607AE7"/>
    <w:rsid w:val="00611252"/>
    <w:rsid w:val="0061152B"/>
    <w:rsid w:val="0061345F"/>
    <w:rsid w:val="006167B1"/>
    <w:rsid w:val="00617F98"/>
    <w:rsid w:val="00621A77"/>
    <w:rsid w:val="00627127"/>
    <w:rsid w:val="006314E3"/>
    <w:rsid w:val="00632004"/>
    <w:rsid w:val="006348B6"/>
    <w:rsid w:val="00637F6B"/>
    <w:rsid w:val="00640C2F"/>
    <w:rsid w:val="00644B49"/>
    <w:rsid w:val="006458DD"/>
    <w:rsid w:val="00652197"/>
    <w:rsid w:val="00654620"/>
    <w:rsid w:val="006553B5"/>
    <w:rsid w:val="00656283"/>
    <w:rsid w:val="0065761A"/>
    <w:rsid w:val="006627DE"/>
    <w:rsid w:val="006631F0"/>
    <w:rsid w:val="00663E32"/>
    <w:rsid w:val="00664E84"/>
    <w:rsid w:val="00664FB0"/>
    <w:rsid w:val="00665A11"/>
    <w:rsid w:val="00665BF3"/>
    <w:rsid w:val="00665D1F"/>
    <w:rsid w:val="00667584"/>
    <w:rsid w:val="00667CB2"/>
    <w:rsid w:val="00672326"/>
    <w:rsid w:val="0067307F"/>
    <w:rsid w:val="00673E0F"/>
    <w:rsid w:val="00675E72"/>
    <w:rsid w:val="00676223"/>
    <w:rsid w:val="00676442"/>
    <w:rsid w:val="00676A69"/>
    <w:rsid w:val="00676D5D"/>
    <w:rsid w:val="00680ED8"/>
    <w:rsid w:val="006920D1"/>
    <w:rsid w:val="0069291B"/>
    <w:rsid w:val="00692A8A"/>
    <w:rsid w:val="006933C9"/>
    <w:rsid w:val="0069416F"/>
    <w:rsid w:val="00695293"/>
    <w:rsid w:val="00696357"/>
    <w:rsid w:val="00696485"/>
    <w:rsid w:val="00696D47"/>
    <w:rsid w:val="006A6423"/>
    <w:rsid w:val="006A6F25"/>
    <w:rsid w:val="006A7047"/>
    <w:rsid w:val="006B068C"/>
    <w:rsid w:val="006B0DBA"/>
    <w:rsid w:val="006B0F4C"/>
    <w:rsid w:val="006B249E"/>
    <w:rsid w:val="006B3571"/>
    <w:rsid w:val="006B4C9A"/>
    <w:rsid w:val="006B50B6"/>
    <w:rsid w:val="006B520C"/>
    <w:rsid w:val="006B58F2"/>
    <w:rsid w:val="006C1882"/>
    <w:rsid w:val="006C1FAD"/>
    <w:rsid w:val="006C2B1A"/>
    <w:rsid w:val="006C2BDC"/>
    <w:rsid w:val="006C38C1"/>
    <w:rsid w:val="006C3D4F"/>
    <w:rsid w:val="006C3DFF"/>
    <w:rsid w:val="006C40D1"/>
    <w:rsid w:val="006C4A0E"/>
    <w:rsid w:val="006C5383"/>
    <w:rsid w:val="006C5A10"/>
    <w:rsid w:val="006C5DBB"/>
    <w:rsid w:val="006C7512"/>
    <w:rsid w:val="006D08E4"/>
    <w:rsid w:val="006D0C4D"/>
    <w:rsid w:val="006D2DF6"/>
    <w:rsid w:val="006D31DF"/>
    <w:rsid w:val="006D41FD"/>
    <w:rsid w:val="006D44DF"/>
    <w:rsid w:val="006D5205"/>
    <w:rsid w:val="006D7F79"/>
    <w:rsid w:val="006E0574"/>
    <w:rsid w:val="006E24D4"/>
    <w:rsid w:val="006E4834"/>
    <w:rsid w:val="006E5773"/>
    <w:rsid w:val="006E58D6"/>
    <w:rsid w:val="006E74A2"/>
    <w:rsid w:val="006E7CB1"/>
    <w:rsid w:val="006F3340"/>
    <w:rsid w:val="006F6381"/>
    <w:rsid w:val="006F6BFC"/>
    <w:rsid w:val="006F7186"/>
    <w:rsid w:val="006F7CE6"/>
    <w:rsid w:val="0070136A"/>
    <w:rsid w:val="00703112"/>
    <w:rsid w:val="007062DA"/>
    <w:rsid w:val="00707676"/>
    <w:rsid w:val="00710388"/>
    <w:rsid w:val="007114DD"/>
    <w:rsid w:val="007174B8"/>
    <w:rsid w:val="00717C8B"/>
    <w:rsid w:val="00720FE4"/>
    <w:rsid w:val="0072270C"/>
    <w:rsid w:val="007231CD"/>
    <w:rsid w:val="0072496D"/>
    <w:rsid w:val="00727553"/>
    <w:rsid w:val="0073144A"/>
    <w:rsid w:val="0073150F"/>
    <w:rsid w:val="0073288F"/>
    <w:rsid w:val="00732DAC"/>
    <w:rsid w:val="00735157"/>
    <w:rsid w:val="00737730"/>
    <w:rsid w:val="0074004A"/>
    <w:rsid w:val="00740998"/>
    <w:rsid w:val="00741BAA"/>
    <w:rsid w:val="0074309E"/>
    <w:rsid w:val="00743643"/>
    <w:rsid w:val="00743DD5"/>
    <w:rsid w:val="00745E86"/>
    <w:rsid w:val="00746BB9"/>
    <w:rsid w:val="00750858"/>
    <w:rsid w:val="00751A70"/>
    <w:rsid w:val="007529D3"/>
    <w:rsid w:val="0075326E"/>
    <w:rsid w:val="0075422C"/>
    <w:rsid w:val="007542ED"/>
    <w:rsid w:val="00754629"/>
    <w:rsid w:val="007579EF"/>
    <w:rsid w:val="00760B83"/>
    <w:rsid w:val="00760DA0"/>
    <w:rsid w:val="0076186B"/>
    <w:rsid w:val="00761F94"/>
    <w:rsid w:val="00762734"/>
    <w:rsid w:val="00763F72"/>
    <w:rsid w:val="007646A2"/>
    <w:rsid w:val="0076561E"/>
    <w:rsid w:val="00772B5A"/>
    <w:rsid w:val="00775C7E"/>
    <w:rsid w:val="00777A8A"/>
    <w:rsid w:val="00781944"/>
    <w:rsid w:val="00781A3D"/>
    <w:rsid w:val="00785886"/>
    <w:rsid w:val="00785BB3"/>
    <w:rsid w:val="00785BC6"/>
    <w:rsid w:val="007863DB"/>
    <w:rsid w:val="007874B0"/>
    <w:rsid w:val="00787F0F"/>
    <w:rsid w:val="007917B2"/>
    <w:rsid w:val="00792037"/>
    <w:rsid w:val="007925C3"/>
    <w:rsid w:val="00792C6D"/>
    <w:rsid w:val="00792D92"/>
    <w:rsid w:val="007965F5"/>
    <w:rsid w:val="007979F5"/>
    <w:rsid w:val="007A2CA0"/>
    <w:rsid w:val="007A4BFB"/>
    <w:rsid w:val="007A5A67"/>
    <w:rsid w:val="007A684B"/>
    <w:rsid w:val="007A6A97"/>
    <w:rsid w:val="007A7103"/>
    <w:rsid w:val="007A7392"/>
    <w:rsid w:val="007A7AAD"/>
    <w:rsid w:val="007B0370"/>
    <w:rsid w:val="007B1A06"/>
    <w:rsid w:val="007B23B1"/>
    <w:rsid w:val="007B437C"/>
    <w:rsid w:val="007B57C5"/>
    <w:rsid w:val="007B5F88"/>
    <w:rsid w:val="007C4A53"/>
    <w:rsid w:val="007C5582"/>
    <w:rsid w:val="007C5935"/>
    <w:rsid w:val="007C69B5"/>
    <w:rsid w:val="007C6E10"/>
    <w:rsid w:val="007D278F"/>
    <w:rsid w:val="007D44A8"/>
    <w:rsid w:val="007D59EB"/>
    <w:rsid w:val="007D6F72"/>
    <w:rsid w:val="007D76FC"/>
    <w:rsid w:val="007E1A15"/>
    <w:rsid w:val="007E296E"/>
    <w:rsid w:val="007E3481"/>
    <w:rsid w:val="007E4364"/>
    <w:rsid w:val="007E447B"/>
    <w:rsid w:val="007E7600"/>
    <w:rsid w:val="007F0D85"/>
    <w:rsid w:val="007F27F1"/>
    <w:rsid w:val="007F29BD"/>
    <w:rsid w:val="007F53E4"/>
    <w:rsid w:val="008071EA"/>
    <w:rsid w:val="00807369"/>
    <w:rsid w:val="00807EF2"/>
    <w:rsid w:val="008104F9"/>
    <w:rsid w:val="00810EF4"/>
    <w:rsid w:val="00811D92"/>
    <w:rsid w:val="00811E0D"/>
    <w:rsid w:val="00814325"/>
    <w:rsid w:val="008159CA"/>
    <w:rsid w:val="00816443"/>
    <w:rsid w:val="00817DFE"/>
    <w:rsid w:val="00822B41"/>
    <w:rsid w:val="00824235"/>
    <w:rsid w:val="008249D1"/>
    <w:rsid w:val="008260F5"/>
    <w:rsid w:val="0082752D"/>
    <w:rsid w:val="008309DB"/>
    <w:rsid w:val="00830F53"/>
    <w:rsid w:val="00832224"/>
    <w:rsid w:val="0083234E"/>
    <w:rsid w:val="00832AE9"/>
    <w:rsid w:val="00832CE5"/>
    <w:rsid w:val="00835340"/>
    <w:rsid w:val="00836DC0"/>
    <w:rsid w:val="00837587"/>
    <w:rsid w:val="00837CE6"/>
    <w:rsid w:val="00837EF1"/>
    <w:rsid w:val="00842B2B"/>
    <w:rsid w:val="0084330E"/>
    <w:rsid w:val="00843845"/>
    <w:rsid w:val="00847A9F"/>
    <w:rsid w:val="00847E1B"/>
    <w:rsid w:val="0085308C"/>
    <w:rsid w:val="00854F21"/>
    <w:rsid w:val="00855741"/>
    <w:rsid w:val="0086025C"/>
    <w:rsid w:val="0086228D"/>
    <w:rsid w:val="00862A04"/>
    <w:rsid w:val="00864464"/>
    <w:rsid w:val="00864C0C"/>
    <w:rsid w:val="00864FA8"/>
    <w:rsid w:val="0086570A"/>
    <w:rsid w:val="0086705F"/>
    <w:rsid w:val="0087368A"/>
    <w:rsid w:val="00874579"/>
    <w:rsid w:val="008745B1"/>
    <w:rsid w:val="00876060"/>
    <w:rsid w:val="008770BF"/>
    <w:rsid w:val="00880A30"/>
    <w:rsid w:val="00893043"/>
    <w:rsid w:val="00894F6F"/>
    <w:rsid w:val="0089621F"/>
    <w:rsid w:val="008A049F"/>
    <w:rsid w:val="008A39C9"/>
    <w:rsid w:val="008A4017"/>
    <w:rsid w:val="008A4A71"/>
    <w:rsid w:val="008A5017"/>
    <w:rsid w:val="008B0B11"/>
    <w:rsid w:val="008B2FFB"/>
    <w:rsid w:val="008B3297"/>
    <w:rsid w:val="008B5D95"/>
    <w:rsid w:val="008B6A9D"/>
    <w:rsid w:val="008C003E"/>
    <w:rsid w:val="008C0917"/>
    <w:rsid w:val="008C154E"/>
    <w:rsid w:val="008C2AB2"/>
    <w:rsid w:val="008C4572"/>
    <w:rsid w:val="008C7B4C"/>
    <w:rsid w:val="008D07DC"/>
    <w:rsid w:val="008D3402"/>
    <w:rsid w:val="008D4257"/>
    <w:rsid w:val="008D49FE"/>
    <w:rsid w:val="008D5CCE"/>
    <w:rsid w:val="008D6E3C"/>
    <w:rsid w:val="008D6F89"/>
    <w:rsid w:val="008E4323"/>
    <w:rsid w:val="008E6EBA"/>
    <w:rsid w:val="008F22B9"/>
    <w:rsid w:val="008F2C33"/>
    <w:rsid w:val="008F673E"/>
    <w:rsid w:val="009004A9"/>
    <w:rsid w:val="00900879"/>
    <w:rsid w:val="00901A22"/>
    <w:rsid w:val="009056D0"/>
    <w:rsid w:val="00906041"/>
    <w:rsid w:val="00906B47"/>
    <w:rsid w:val="00907EAA"/>
    <w:rsid w:val="009112EB"/>
    <w:rsid w:val="00911D9F"/>
    <w:rsid w:val="009124F5"/>
    <w:rsid w:val="00912F2C"/>
    <w:rsid w:val="00913A9A"/>
    <w:rsid w:val="00920292"/>
    <w:rsid w:val="0092204B"/>
    <w:rsid w:val="00922199"/>
    <w:rsid w:val="00923E13"/>
    <w:rsid w:val="0092439E"/>
    <w:rsid w:val="00924D06"/>
    <w:rsid w:val="009269A4"/>
    <w:rsid w:val="00927EF3"/>
    <w:rsid w:val="00931F4C"/>
    <w:rsid w:val="00934088"/>
    <w:rsid w:val="00935647"/>
    <w:rsid w:val="0093566D"/>
    <w:rsid w:val="009366BB"/>
    <w:rsid w:val="009426D1"/>
    <w:rsid w:val="00942D10"/>
    <w:rsid w:val="009469FE"/>
    <w:rsid w:val="00955166"/>
    <w:rsid w:val="00957744"/>
    <w:rsid w:val="00957B73"/>
    <w:rsid w:val="009614A0"/>
    <w:rsid w:val="0096318E"/>
    <w:rsid w:val="00963B1E"/>
    <w:rsid w:val="00965857"/>
    <w:rsid w:val="0097021B"/>
    <w:rsid w:val="0097049A"/>
    <w:rsid w:val="009707BE"/>
    <w:rsid w:val="00970FCE"/>
    <w:rsid w:val="00974920"/>
    <w:rsid w:val="00974937"/>
    <w:rsid w:val="00974C94"/>
    <w:rsid w:val="0097587B"/>
    <w:rsid w:val="0098145B"/>
    <w:rsid w:val="00983D32"/>
    <w:rsid w:val="00984A6B"/>
    <w:rsid w:val="00992305"/>
    <w:rsid w:val="009930DB"/>
    <w:rsid w:val="009A210F"/>
    <w:rsid w:val="009A2B5F"/>
    <w:rsid w:val="009A3645"/>
    <w:rsid w:val="009A4574"/>
    <w:rsid w:val="009A50CB"/>
    <w:rsid w:val="009A5874"/>
    <w:rsid w:val="009A602D"/>
    <w:rsid w:val="009B0993"/>
    <w:rsid w:val="009B225F"/>
    <w:rsid w:val="009B2476"/>
    <w:rsid w:val="009B3DCE"/>
    <w:rsid w:val="009B492C"/>
    <w:rsid w:val="009B4C93"/>
    <w:rsid w:val="009B5451"/>
    <w:rsid w:val="009B5FA7"/>
    <w:rsid w:val="009B7835"/>
    <w:rsid w:val="009B7BDE"/>
    <w:rsid w:val="009C03B7"/>
    <w:rsid w:val="009C1651"/>
    <w:rsid w:val="009C4579"/>
    <w:rsid w:val="009C4B08"/>
    <w:rsid w:val="009C60B2"/>
    <w:rsid w:val="009C7F17"/>
    <w:rsid w:val="009D066D"/>
    <w:rsid w:val="009D71AB"/>
    <w:rsid w:val="009D7A44"/>
    <w:rsid w:val="009E0BD0"/>
    <w:rsid w:val="009E2C4D"/>
    <w:rsid w:val="009E4055"/>
    <w:rsid w:val="009E52F3"/>
    <w:rsid w:val="009E6DDE"/>
    <w:rsid w:val="009F0AC1"/>
    <w:rsid w:val="009F0F2D"/>
    <w:rsid w:val="009F55BF"/>
    <w:rsid w:val="009F6E6C"/>
    <w:rsid w:val="009F7408"/>
    <w:rsid w:val="009F7CCE"/>
    <w:rsid w:val="00A0112E"/>
    <w:rsid w:val="00A019DC"/>
    <w:rsid w:val="00A02375"/>
    <w:rsid w:val="00A02690"/>
    <w:rsid w:val="00A11047"/>
    <w:rsid w:val="00A11C1B"/>
    <w:rsid w:val="00A120A9"/>
    <w:rsid w:val="00A13E19"/>
    <w:rsid w:val="00A145DF"/>
    <w:rsid w:val="00A152C5"/>
    <w:rsid w:val="00A175B5"/>
    <w:rsid w:val="00A17E48"/>
    <w:rsid w:val="00A202C1"/>
    <w:rsid w:val="00A2280E"/>
    <w:rsid w:val="00A22950"/>
    <w:rsid w:val="00A2538B"/>
    <w:rsid w:val="00A26450"/>
    <w:rsid w:val="00A32F4D"/>
    <w:rsid w:val="00A3398D"/>
    <w:rsid w:val="00A343E7"/>
    <w:rsid w:val="00A34B2E"/>
    <w:rsid w:val="00A34F15"/>
    <w:rsid w:val="00A43093"/>
    <w:rsid w:val="00A430FC"/>
    <w:rsid w:val="00A4560A"/>
    <w:rsid w:val="00A505E6"/>
    <w:rsid w:val="00A52960"/>
    <w:rsid w:val="00A55398"/>
    <w:rsid w:val="00A57641"/>
    <w:rsid w:val="00A6098B"/>
    <w:rsid w:val="00A702A0"/>
    <w:rsid w:val="00A70C68"/>
    <w:rsid w:val="00A752BF"/>
    <w:rsid w:val="00A75603"/>
    <w:rsid w:val="00A7718D"/>
    <w:rsid w:val="00A804B2"/>
    <w:rsid w:val="00A80996"/>
    <w:rsid w:val="00A82B43"/>
    <w:rsid w:val="00A84A13"/>
    <w:rsid w:val="00A85363"/>
    <w:rsid w:val="00A867E4"/>
    <w:rsid w:val="00A92F11"/>
    <w:rsid w:val="00A93840"/>
    <w:rsid w:val="00A9429F"/>
    <w:rsid w:val="00A9572C"/>
    <w:rsid w:val="00AA1BDB"/>
    <w:rsid w:val="00AA2831"/>
    <w:rsid w:val="00AA2C08"/>
    <w:rsid w:val="00AA440D"/>
    <w:rsid w:val="00AA5B0E"/>
    <w:rsid w:val="00AA5E4B"/>
    <w:rsid w:val="00AA6545"/>
    <w:rsid w:val="00AA7FB1"/>
    <w:rsid w:val="00AB088E"/>
    <w:rsid w:val="00AB0E15"/>
    <w:rsid w:val="00AB3A45"/>
    <w:rsid w:val="00AB3BC7"/>
    <w:rsid w:val="00AB55D9"/>
    <w:rsid w:val="00AB587B"/>
    <w:rsid w:val="00AB5F63"/>
    <w:rsid w:val="00AC0886"/>
    <w:rsid w:val="00AC099B"/>
    <w:rsid w:val="00AC0B61"/>
    <w:rsid w:val="00AC3758"/>
    <w:rsid w:val="00AC37B6"/>
    <w:rsid w:val="00AC4B51"/>
    <w:rsid w:val="00AC503E"/>
    <w:rsid w:val="00AD18DC"/>
    <w:rsid w:val="00AD3B70"/>
    <w:rsid w:val="00AD3E99"/>
    <w:rsid w:val="00AD5F2F"/>
    <w:rsid w:val="00AD757D"/>
    <w:rsid w:val="00AE377E"/>
    <w:rsid w:val="00AE43F6"/>
    <w:rsid w:val="00AE6410"/>
    <w:rsid w:val="00AE6DD8"/>
    <w:rsid w:val="00AF02DC"/>
    <w:rsid w:val="00AF0569"/>
    <w:rsid w:val="00AF0FD4"/>
    <w:rsid w:val="00AF35A2"/>
    <w:rsid w:val="00AF5F04"/>
    <w:rsid w:val="00B005DF"/>
    <w:rsid w:val="00B0261E"/>
    <w:rsid w:val="00B10CB2"/>
    <w:rsid w:val="00B12846"/>
    <w:rsid w:val="00B13454"/>
    <w:rsid w:val="00B177FA"/>
    <w:rsid w:val="00B17E3C"/>
    <w:rsid w:val="00B210E1"/>
    <w:rsid w:val="00B2130F"/>
    <w:rsid w:val="00B213D6"/>
    <w:rsid w:val="00B23375"/>
    <w:rsid w:val="00B23C51"/>
    <w:rsid w:val="00B264D1"/>
    <w:rsid w:val="00B267BF"/>
    <w:rsid w:val="00B273B6"/>
    <w:rsid w:val="00B27A6E"/>
    <w:rsid w:val="00B30874"/>
    <w:rsid w:val="00B311C4"/>
    <w:rsid w:val="00B3424A"/>
    <w:rsid w:val="00B34820"/>
    <w:rsid w:val="00B3568F"/>
    <w:rsid w:val="00B3586E"/>
    <w:rsid w:val="00B37B9F"/>
    <w:rsid w:val="00B41685"/>
    <w:rsid w:val="00B41E6C"/>
    <w:rsid w:val="00B42BAC"/>
    <w:rsid w:val="00B44601"/>
    <w:rsid w:val="00B45340"/>
    <w:rsid w:val="00B469E9"/>
    <w:rsid w:val="00B51C58"/>
    <w:rsid w:val="00B523B9"/>
    <w:rsid w:val="00B52CB3"/>
    <w:rsid w:val="00B540EF"/>
    <w:rsid w:val="00B54212"/>
    <w:rsid w:val="00B55610"/>
    <w:rsid w:val="00B56A06"/>
    <w:rsid w:val="00B63F33"/>
    <w:rsid w:val="00B65A54"/>
    <w:rsid w:val="00B70192"/>
    <w:rsid w:val="00B70D4F"/>
    <w:rsid w:val="00B73A3E"/>
    <w:rsid w:val="00B74581"/>
    <w:rsid w:val="00B7516C"/>
    <w:rsid w:val="00B76236"/>
    <w:rsid w:val="00B80A1E"/>
    <w:rsid w:val="00B80A67"/>
    <w:rsid w:val="00B84874"/>
    <w:rsid w:val="00B90A35"/>
    <w:rsid w:val="00B932CB"/>
    <w:rsid w:val="00B944A0"/>
    <w:rsid w:val="00B94AE8"/>
    <w:rsid w:val="00B94CF8"/>
    <w:rsid w:val="00B94FAC"/>
    <w:rsid w:val="00B9537F"/>
    <w:rsid w:val="00B95859"/>
    <w:rsid w:val="00BA0DE0"/>
    <w:rsid w:val="00BA12C8"/>
    <w:rsid w:val="00BA1C3F"/>
    <w:rsid w:val="00BA2181"/>
    <w:rsid w:val="00BB0F20"/>
    <w:rsid w:val="00BB213F"/>
    <w:rsid w:val="00BB6FA9"/>
    <w:rsid w:val="00BB72E3"/>
    <w:rsid w:val="00BC44A1"/>
    <w:rsid w:val="00BC662A"/>
    <w:rsid w:val="00BD3F81"/>
    <w:rsid w:val="00BD4FDA"/>
    <w:rsid w:val="00BD7FD4"/>
    <w:rsid w:val="00BE0183"/>
    <w:rsid w:val="00BE11F5"/>
    <w:rsid w:val="00BE259C"/>
    <w:rsid w:val="00BE59AD"/>
    <w:rsid w:val="00BE5AF1"/>
    <w:rsid w:val="00BE7A45"/>
    <w:rsid w:val="00BF0AEA"/>
    <w:rsid w:val="00BF1369"/>
    <w:rsid w:val="00BF40D6"/>
    <w:rsid w:val="00BF55F1"/>
    <w:rsid w:val="00BF5B9D"/>
    <w:rsid w:val="00BF6E2E"/>
    <w:rsid w:val="00BF6EC0"/>
    <w:rsid w:val="00C03958"/>
    <w:rsid w:val="00C05265"/>
    <w:rsid w:val="00C05635"/>
    <w:rsid w:val="00C0627D"/>
    <w:rsid w:val="00C06763"/>
    <w:rsid w:val="00C06D61"/>
    <w:rsid w:val="00C0704B"/>
    <w:rsid w:val="00C074DD"/>
    <w:rsid w:val="00C1171A"/>
    <w:rsid w:val="00C163AC"/>
    <w:rsid w:val="00C16C42"/>
    <w:rsid w:val="00C17704"/>
    <w:rsid w:val="00C206D2"/>
    <w:rsid w:val="00C21E09"/>
    <w:rsid w:val="00C21ED3"/>
    <w:rsid w:val="00C23FEF"/>
    <w:rsid w:val="00C252B8"/>
    <w:rsid w:val="00C26BF7"/>
    <w:rsid w:val="00C302C4"/>
    <w:rsid w:val="00C318AA"/>
    <w:rsid w:val="00C36EB3"/>
    <w:rsid w:val="00C3772F"/>
    <w:rsid w:val="00C37C78"/>
    <w:rsid w:val="00C4198B"/>
    <w:rsid w:val="00C423A2"/>
    <w:rsid w:val="00C424EC"/>
    <w:rsid w:val="00C42A8E"/>
    <w:rsid w:val="00C44BC5"/>
    <w:rsid w:val="00C4507B"/>
    <w:rsid w:val="00C50B06"/>
    <w:rsid w:val="00C53A13"/>
    <w:rsid w:val="00C54FDC"/>
    <w:rsid w:val="00C55A05"/>
    <w:rsid w:val="00C568C1"/>
    <w:rsid w:val="00C57F2D"/>
    <w:rsid w:val="00C6031A"/>
    <w:rsid w:val="00C60C13"/>
    <w:rsid w:val="00C62897"/>
    <w:rsid w:val="00C63523"/>
    <w:rsid w:val="00C63F5C"/>
    <w:rsid w:val="00C6426D"/>
    <w:rsid w:val="00C65C5D"/>
    <w:rsid w:val="00C6614D"/>
    <w:rsid w:val="00C664D5"/>
    <w:rsid w:val="00C72FE5"/>
    <w:rsid w:val="00C76C44"/>
    <w:rsid w:val="00C76DD4"/>
    <w:rsid w:val="00C828C8"/>
    <w:rsid w:val="00C8316A"/>
    <w:rsid w:val="00C86081"/>
    <w:rsid w:val="00C9140C"/>
    <w:rsid w:val="00C91D61"/>
    <w:rsid w:val="00C91E4A"/>
    <w:rsid w:val="00C94426"/>
    <w:rsid w:val="00C95058"/>
    <w:rsid w:val="00C9683A"/>
    <w:rsid w:val="00C96E63"/>
    <w:rsid w:val="00C971FB"/>
    <w:rsid w:val="00CA0BFE"/>
    <w:rsid w:val="00CA17B5"/>
    <w:rsid w:val="00CA3721"/>
    <w:rsid w:val="00CA3C2A"/>
    <w:rsid w:val="00CA41E3"/>
    <w:rsid w:val="00CA57C6"/>
    <w:rsid w:val="00CA5846"/>
    <w:rsid w:val="00CB0709"/>
    <w:rsid w:val="00CB1970"/>
    <w:rsid w:val="00CB238E"/>
    <w:rsid w:val="00CC0C62"/>
    <w:rsid w:val="00CC0F38"/>
    <w:rsid w:val="00CC174D"/>
    <w:rsid w:val="00CC1C3E"/>
    <w:rsid w:val="00CC23BB"/>
    <w:rsid w:val="00CC4A51"/>
    <w:rsid w:val="00CC51EA"/>
    <w:rsid w:val="00CC61BE"/>
    <w:rsid w:val="00CC655F"/>
    <w:rsid w:val="00CC6A64"/>
    <w:rsid w:val="00CC749A"/>
    <w:rsid w:val="00CD08C9"/>
    <w:rsid w:val="00CD2374"/>
    <w:rsid w:val="00CD29B6"/>
    <w:rsid w:val="00CD38FE"/>
    <w:rsid w:val="00CD3C91"/>
    <w:rsid w:val="00CD414E"/>
    <w:rsid w:val="00CD42C5"/>
    <w:rsid w:val="00CD4CB1"/>
    <w:rsid w:val="00CD767D"/>
    <w:rsid w:val="00CE1923"/>
    <w:rsid w:val="00CE2AB1"/>
    <w:rsid w:val="00CE446F"/>
    <w:rsid w:val="00CE57FD"/>
    <w:rsid w:val="00CF061D"/>
    <w:rsid w:val="00CF5449"/>
    <w:rsid w:val="00D02891"/>
    <w:rsid w:val="00D02C21"/>
    <w:rsid w:val="00D05118"/>
    <w:rsid w:val="00D05149"/>
    <w:rsid w:val="00D05A69"/>
    <w:rsid w:val="00D10293"/>
    <w:rsid w:val="00D108AE"/>
    <w:rsid w:val="00D10ABC"/>
    <w:rsid w:val="00D15364"/>
    <w:rsid w:val="00D15DD0"/>
    <w:rsid w:val="00D1675C"/>
    <w:rsid w:val="00D22BD5"/>
    <w:rsid w:val="00D25736"/>
    <w:rsid w:val="00D25A72"/>
    <w:rsid w:val="00D25B20"/>
    <w:rsid w:val="00D25CDC"/>
    <w:rsid w:val="00D316E4"/>
    <w:rsid w:val="00D31A43"/>
    <w:rsid w:val="00D32F60"/>
    <w:rsid w:val="00D3465F"/>
    <w:rsid w:val="00D35CC1"/>
    <w:rsid w:val="00D3644F"/>
    <w:rsid w:val="00D36572"/>
    <w:rsid w:val="00D37C4C"/>
    <w:rsid w:val="00D40336"/>
    <w:rsid w:val="00D40AC5"/>
    <w:rsid w:val="00D414FB"/>
    <w:rsid w:val="00D41552"/>
    <w:rsid w:val="00D41663"/>
    <w:rsid w:val="00D4329B"/>
    <w:rsid w:val="00D44641"/>
    <w:rsid w:val="00D4584D"/>
    <w:rsid w:val="00D45D56"/>
    <w:rsid w:val="00D461A8"/>
    <w:rsid w:val="00D46DB7"/>
    <w:rsid w:val="00D556ED"/>
    <w:rsid w:val="00D577A9"/>
    <w:rsid w:val="00D61518"/>
    <w:rsid w:val="00D62849"/>
    <w:rsid w:val="00D64EE2"/>
    <w:rsid w:val="00D6572E"/>
    <w:rsid w:val="00D6674E"/>
    <w:rsid w:val="00D66FE3"/>
    <w:rsid w:val="00D67203"/>
    <w:rsid w:val="00D67988"/>
    <w:rsid w:val="00D70E63"/>
    <w:rsid w:val="00D71D71"/>
    <w:rsid w:val="00D75507"/>
    <w:rsid w:val="00D767F4"/>
    <w:rsid w:val="00D800C6"/>
    <w:rsid w:val="00D80A65"/>
    <w:rsid w:val="00D81CC5"/>
    <w:rsid w:val="00D830C5"/>
    <w:rsid w:val="00D836ED"/>
    <w:rsid w:val="00D83D8D"/>
    <w:rsid w:val="00D8437A"/>
    <w:rsid w:val="00D93188"/>
    <w:rsid w:val="00D936F3"/>
    <w:rsid w:val="00D93FA9"/>
    <w:rsid w:val="00D96C94"/>
    <w:rsid w:val="00DA035C"/>
    <w:rsid w:val="00DA3177"/>
    <w:rsid w:val="00DA3A70"/>
    <w:rsid w:val="00DA4AB9"/>
    <w:rsid w:val="00DA4E53"/>
    <w:rsid w:val="00DA5C61"/>
    <w:rsid w:val="00DA5EBB"/>
    <w:rsid w:val="00DA7E9E"/>
    <w:rsid w:val="00DB08BC"/>
    <w:rsid w:val="00DB12C5"/>
    <w:rsid w:val="00DB42C7"/>
    <w:rsid w:val="00DB4D60"/>
    <w:rsid w:val="00DB519A"/>
    <w:rsid w:val="00DB5CCC"/>
    <w:rsid w:val="00DB6B14"/>
    <w:rsid w:val="00DC0FA4"/>
    <w:rsid w:val="00DC2CD9"/>
    <w:rsid w:val="00DC2FBF"/>
    <w:rsid w:val="00DC4763"/>
    <w:rsid w:val="00DC4792"/>
    <w:rsid w:val="00DC7D07"/>
    <w:rsid w:val="00DD04E9"/>
    <w:rsid w:val="00DD0CA8"/>
    <w:rsid w:val="00DD3AF9"/>
    <w:rsid w:val="00DD51DC"/>
    <w:rsid w:val="00DD6054"/>
    <w:rsid w:val="00DD7BE3"/>
    <w:rsid w:val="00DE0849"/>
    <w:rsid w:val="00DE2EE9"/>
    <w:rsid w:val="00DE3C64"/>
    <w:rsid w:val="00DE41F7"/>
    <w:rsid w:val="00DE4FB8"/>
    <w:rsid w:val="00DE7BD5"/>
    <w:rsid w:val="00DF0FCE"/>
    <w:rsid w:val="00DF2117"/>
    <w:rsid w:val="00DF2AF7"/>
    <w:rsid w:val="00DF2CA0"/>
    <w:rsid w:val="00DF31F5"/>
    <w:rsid w:val="00DF337F"/>
    <w:rsid w:val="00DF505B"/>
    <w:rsid w:val="00DF5B05"/>
    <w:rsid w:val="00DF60B9"/>
    <w:rsid w:val="00DF6F62"/>
    <w:rsid w:val="00E012F4"/>
    <w:rsid w:val="00E03573"/>
    <w:rsid w:val="00E063A5"/>
    <w:rsid w:val="00E10EDD"/>
    <w:rsid w:val="00E12236"/>
    <w:rsid w:val="00E130AA"/>
    <w:rsid w:val="00E153DB"/>
    <w:rsid w:val="00E1592C"/>
    <w:rsid w:val="00E203CD"/>
    <w:rsid w:val="00E2106F"/>
    <w:rsid w:val="00E23086"/>
    <w:rsid w:val="00E23785"/>
    <w:rsid w:val="00E24A10"/>
    <w:rsid w:val="00E25A06"/>
    <w:rsid w:val="00E25E96"/>
    <w:rsid w:val="00E26AA5"/>
    <w:rsid w:val="00E3006B"/>
    <w:rsid w:val="00E335F1"/>
    <w:rsid w:val="00E33787"/>
    <w:rsid w:val="00E34A79"/>
    <w:rsid w:val="00E34C47"/>
    <w:rsid w:val="00E34DF9"/>
    <w:rsid w:val="00E372E9"/>
    <w:rsid w:val="00E37A38"/>
    <w:rsid w:val="00E430BD"/>
    <w:rsid w:val="00E44496"/>
    <w:rsid w:val="00E44C40"/>
    <w:rsid w:val="00E47DA6"/>
    <w:rsid w:val="00E50DAF"/>
    <w:rsid w:val="00E54190"/>
    <w:rsid w:val="00E60016"/>
    <w:rsid w:val="00E61FE7"/>
    <w:rsid w:val="00E6221C"/>
    <w:rsid w:val="00E62B81"/>
    <w:rsid w:val="00E6325E"/>
    <w:rsid w:val="00E6687B"/>
    <w:rsid w:val="00E7294B"/>
    <w:rsid w:val="00E73019"/>
    <w:rsid w:val="00E734BC"/>
    <w:rsid w:val="00E80312"/>
    <w:rsid w:val="00E804AE"/>
    <w:rsid w:val="00E81791"/>
    <w:rsid w:val="00E81EA6"/>
    <w:rsid w:val="00E90D6E"/>
    <w:rsid w:val="00E91237"/>
    <w:rsid w:val="00E92173"/>
    <w:rsid w:val="00E9311A"/>
    <w:rsid w:val="00E9347F"/>
    <w:rsid w:val="00E93802"/>
    <w:rsid w:val="00E95FBF"/>
    <w:rsid w:val="00EA078F"/>
    <w:rsid w:val="00EA1C4B"/>
    <w:rsid w:val="00EA1DD2"/>
    <w:rsid w:val="00EA1DEA"/>
    <w:rsid w:val="00EA274D"/>
    <w:rsid w:val="00EB2C2C"/>
    <w:rsid w:val="00EB5B09"/>
    <w:rsid w:val="00EB5E82"/>
    <w:rsid w:val="00EB6E51"/>
    <w:rsid w:val="00EB7B12"/>
    <w:rsid w:val="00EC16FB"/>
    <w:rsid w:val="00EC6C62"/>
    <w:rsid w:val="00EC75FD"/>
    <w:rsid w:val="00EC7CD2"/>
    <w:rsid w:val="00ED19B7"/>
    <w:rsid w:val="00ED245D"/>
    <w:rsid w:val="00ED3A13"/>
    <w:rsid w:val="00ED4793"/>
    <w:rsid w:val="00ED51D9"/>
    <w:rsid w:val="00ED5411"/>
    <w:rsid w:val="00ED5B42"/>
    <w:rsid w:val="00EE0213"/>
    <w:rsid w:val="00EE4F53"/>
    <w:rsid w:val="00EE7670"/>
    <w:rsid w:val="00EE7EB5"/>
    <w:rsid w:val="00EF355D"/>
    <w:rsid w:val="00EF6C85"/>
    <w:rsid w:val="00F026FA"/>
    <w:rsid w:val="00F02794"/>
    <w:rsid w:val="00F032B0"/>
    <w:rsid w:val="00F03325"/>
    <w:rsid w:val="00F035A9"/>
    <w:rsid w:val="00F061B5"/>
    <w:rsid w:val="00F0729E"/>
    <w:rsid w:val="00F10761"/>
    <w:rsid w:val="00F11E69"/>
    <w:rsid w:val="00F1602D"/>
    <w:rsid w:val="00F16ACF"/>
    <w:rsid w:val="00F17E1D"/>
    <w:rsid w:val="00F25799"/>
    <w:rsid w:val="00F25BD5"/>
    <w:rsid w:val="00F34357"/>
    <w:rsid w:val="00F34F3F"/>
    <w:rsid w:val="00F37A02"/>
    <w:rsid w:val="00F40B94"/>
    <w:rsid w:val="00F4135D"/>
    <w:rsid w:val="00F41679"/>
    <w:rsid w:val="00F41717"/>
    <w:rsid w:val="00F433DB"/>
    <w:rsid w:val="00F4410E"/>
    <w:rsid w:val="00F448E2"/>
    <w:rsid w:val="00F54A6D"/>
    <w:rsid w:val="00F54C7F"/>
    <w:rsid w:val="00F55903"/>
    <w:rsid w:val="00F56E40"/>
    <w:rsid w:val="00F573EC"/>
    <w:rsid w:val="00F57F8E"/>
    <w:rsid w:val="00F62D06"/>
    <w:rsid w:val="00F63EDC"/>
    <w:rsid w:val="00F65845"/>
    <w:rsid w:val="00F66278"/>
    <w:rsid w:val="00F66D96"/>
    <w:rsid w:val="00F67273"/>
    <w:rsid w:val="00F70396"/>
    <w:rsid w:val="00F74C87"/>
    <w:rsid w:val="00F75F1E"/>
    <w:rsid w:val="00F77573"/>
    <w:rsid w:val="00F80660"/>
    <w:rsid w:val="00F80C60"/>
    <w:rsid w:val="00F81A31"/>
    <w:rsid w:val="00F82610"/>
    <w:rsid w:val="00F85B51"/>
    <w:rsid w:val="00F85C82"/>
    <w:rsid w:val="00F87529"/>
    <w:rsid w:val="00F90721"/>
    <w:rsid w:val="00F90E5D"/>
    <w:rsid w:val="00F9239E"/>
    <w:rsid w:val="00F945B0"/>
    <w:rsid w:val="00F94D5D"/>
    <w:rsid w:val="00F95109"/>
    <w:rsid w:val="00FA0B5B"/>
    <w:rsid w:val="00FA1C0D"/>
    <w:rsid w:val="00FA2674"/>
    <w:rsid w:val="00FA474C"/>
    <w:rsid w:val="00FA4F59"/>
    <w:rsid w:val="00FA6D58"/>
    <w:rsid w:val="00FA770D"/>
    <w:rsid w:val="00FA7AA5"/>
    <w:rsid w:val="00FB0E61"/>
    <w:rsid w:val="00FB187F"/>
    <w:rsid w:val="00FB221B"/>
    <w:rsid w:val="00FB3A94"/>
    <w:rsid w:val="00FB3B9B"/>
    <w:rsid w:val="00FB4430"/>
    <w:rsid w:val="00FB4C6F"/>
    <w:rsid w:val="00FB5475"/>
    <w:rsid w:val="00FB5F1D"/>
    <w:rsid w:val="00FB63E9"/>
    <w:rsid w:val="00FC0D47"/>
    <w:rsid w:val="00FC0ED1"/>
    <w:rsid w:val="00FC1552"/>
    <w:rsid w:val="00FC3191"/>
    <w:rsid w:val="00FC60B8"/>
    <w:rsid w:val="00FD17E9"/>
    <w:rsid w:val="00FD1BD5"/>
    <w:rsid w:val="00FD43CF"/>
    <w:rsid w:val="00FD4584"/>
    <w:rsid w:val="00FE1001"/>
    <w:rsid w:val="00FE168B"/>
    <w:rsid w:val="00FE234E"/>
    <w:rsid w:val="00FE2CB3"/>
    <w:rsid w:val="00FE3B7B"/>
    <w:rsid w:val="00FE546B"/>
    <w:rsid w:val="00FE54CE"/>
    <w:rsid w:val="00FE67B0"/>
    <w:rsid w:val="00FF1160"/>
    <w:rsid w:val="00FF3DF1"/>
    <w:rsid w:val="00FF424F"/>
    <w:rsid w:val="00FF5A6F"/>
    <w:rsid w:val="00FF7711"/>
  </w:rsids>
  <w:docVars>
    <w:docVar w:name="EN.InstantFormat" w:val="&lt;ENInstantFormat&gt;&lt;Enabled&gt;1&lt;/Enabled&gt;&lt;ScanUnformatted&gt;1&lt;/ScanUnformatted&gt;&lt;ScanChanges&gt;1&lt;/ScanChanges&gt;&lt;Suspended&gt;1&lt;/Suspended&gt;&lt;/ENInstantFormat&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2E3E2585-CCA3-4EDC-90C9-A122CFC9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70"/>
    <w:pPr>
      <w:spacing w:after="200" w:line="276" w:lineRule="auto"/>
    </w:pPr>
    <w:rPr>
      <w:rFonts w:ascii="Calibri" w:eastAsia="Times New Roman" w:hAnsi="Calibri" w:cs="Times New Roman"/>
    </w:rPr>
  </w:style>
  <w:style w:type="paragraph" w:styleId="Heading1">
    <w:name w:val="heading 1"/>
    <w:aliases w:val="ECDC AF Heading 1"/>
    <w:basedOn w:val="Normal"/>
    <w:next w:val="Normal"/>
    <w:link w:val="Heading1Char"/>
    <w:qFormat/>
    <w:rsid w:val="00DA3A70"/>
    <w:pPr>
      <w:keepNext/>
      <w:spacing w:after="0" w:line="240" w:lineRule="auto"/>
      <w:outlineLvl w:val="0"/>
    </w:pPr>
    <w:rPr>
      <w:rFonts w:ascii="Times New Roman" w:eastAsia="MS Mincho" w:hAnsi="Times New Roman"/>
      <w:b/>
      <w:sz w:val="24"/>
      <w:szCs w:val="24"/>
    </w:rPr>
  </w:style>
  <w:style w:type="paragraph" w:styleId="Heading2">
    <w:name w:val="heading 2"/>
    <w:aliases w:val="ECDC AF Heading 2"/>
    <w:basedOn w:val="Normal"/>
    <w:next w:val="Paragrafoelenco1"/>
    <w:link w:val="Heading2Char"/>
    <w:autoRedefine/>
    <w:uiPriority w:val="9"/>
    <w:qFormat/>
    <w:rsid w:val="00DA3A70"/>
    <w:pPr>
      <w:keepNext/>
      <w:keepLines/>
      <w:spacing w:before="240" w:after="240" w:line="240" w:lineRule="auto"/>
      <w:jc w:val="both"/>
      <w:outlineLvl w:val="1"/>
    </w:pPr>
    <w:rPr>
      <w:rFonts w:ascii="Tahoma" w:hAnsi="Tahoma"/>
      <w:b/>
      <w:bCs/>
      <w:i/>
      <w:color w:val="008000"/>
      <w:sz w:val="26"/>
      <w:szCs w:val="26"/>
    </w:rPr>
  </w:style>
  <w:style w:type="paragraph" w:styleId="Heading3">
    <w:name w:val="heading 3"/>
    <w:aliases w:val="ECDC AF Heading 3"/>
    <w:basedOn w:val="Normal"/>
    <w:next w:val="Normal"/>
    <w:link w:val="Heading3Char"/>
    <w:autoRedefine/>
    <w:uiPriority w:val="9"/>
    <w:qFormat/>
    <w:rsid w:val="00DA3A70"/>
    <w:pPr>
      <w:keepNext/>
      <w:keepLines/>
      <w:spacing w:before="240" w:after="240" w:line="240" w:lineRule="auto"/>
      <w:outlineLvl w:val="2"/>
    </w:pPr>
    <w:rPr>
      <w:rFonts w:ascii="Tahoma" w:hAnsi="Tahoma"/>
      <w:b/>
      <w:bCs/>
      <w:color w:val="1F497D"/>
      <w:szCs w:val="20"/>
    </w:rPr>
  </w:style>
  <w:style w:type="paragraph" w:styleId="Heading4">
    <w:name w:val="heading 4"/>
    <w:basedOn w:val="Normal"/>
    <w:next w:val="Normal"/>
    <w:link w:val="Heading4Char"/>
    <w:uiPriority w:val="9"/>
    <w:unhideWhenUsed/>
    <w:qFormat/>
    <w:rsid w:val="00EA1D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380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DC AF Heading 1 Char"/>
    <w:link w:val="Heading1"/>
    <w:rsid w:val="00DA3A70"/>
    <w:rPr>
      <w:rFonts w:ascii="Times New Roman" w:eastAsia="MS Mincho" w:hAnsi="Times New Roman" w:cs="Times New Roman"/>
      <w:b/>
      <w:sz w:val="24"/>
      <w:szCs w:val="24"/>
      <w:lang w:eastAsia="lv-LV"/>
    </w:rPr>
  </w:style>
  <w:style w:type="character" w:customStyle="1" w:styleId="Heading2Char">
    <w:name w:val="Heading 2 Char"/>
    <w:aliases w:val="ECDC AF Heading 2 Char"/>
    <w:link w:val="Heading2"/>
    <w:uiPriority w:val="9"/>
    <w:rsid w:val="00DA3A70"/>
    <w:rPr>
      <w:rFonts w:ascii="Tahoma" w:eastAsia="Times New Roman" w:hAnsi="Tahoma" w:cs="Times New Roman"/>
      <w:b/>
      <w:bCs/>
      <w:i/>
      <w:color w:val="008000"/>
      <w:sz w:val="26"/>
      <w:szCs w:val="26"/>
    </w:rPr>
  </w:style>
  <w:style w:type="character" w:customStyle="1" w:styleId="Heading3Char">
    <w:name w:val="Heading 3 Char"/>
    <w:aliases w:val="ECDC AF Heading 3 Char"/>
    <w:link w:val="Heading3"/>
    <w:uiPriority w:val="9"/>
    <w:rsid w:val="00DA3A70"/>
    <w:rPr>
      <w:rFonts w:ascii="Tahoma" w:eastAsia="Times New Roman" w:hAnsi="Tahoma" w:cs="Times New Roman"/>
      <w:b/>
      <w:bCs/>
      <w:color w:val="1F497D"/>
      <w:szCs w:val="20"/>
    </w:rPr>
  </w:style>
  <w:style w:type="paragraph" w:styleId="BalloonText">
    <w:name w:val="Balloon Text"/>
    <w:basedOn w:val="Normal"/>
    <w:link w:val="BalloonTextChar"/>
    <w:semiHidden/>
    <w:unhideWhenUsed/>
    <w:rsid w:val="00DA3A70"/>
    <w:pPr>
      <w:spacing w:after="0" w:line="240" w:lineRule="auto"/>
    </w:pPr>
    <w:rPr>
      <w:rFonts w:ascii="Tahoma" w:hAnsi="Tahoma"/>
      <w:sz w:val="16"/>
      <w:szCs w:val="16"/>
    </w:rPr>
  </w:style>
  <w:style w:type="character" w:customStyle="1" w:styleId="BalloonTextChar">
    <w:name w:val="Balloon Text Char"/>
    <w:link w:val="BalloonText"/>
    <w:semiHidden/>
    <w:rsid w:val="00DA3A70"/>
    <w:rPr>
      <w:rFonts w:ascii="Tahoma" w:eastAsia="Times New Roman" w:hAnsi="Tahoma" w:cs="Times New Roman"/>
      <w:sz w:val="16"/>
      <w:szCs w:val="16"/>
      <w:lang w:val="lv-LV" w:eastAsia="lv-LV"/>
    </w:rPr>
  </w:style>
  <w:style w:type="paragraph" w:customStyle="1" w:styleId="ListParagraph1">
    <w:name w:val="List Paragraph1"/>
    <w:basedOn w:val="Normal"/>
    <w:uiPriority w:val="34"/>
    <w:qFormat/>
    <w:rsid w:val="00DA3A70"/>
    <w:pPr>
      <w:ind w:left="720"/>
      <w:contextualSpacing/>
    </w:pPr>
  </w:style>
  <w:style w:type="character" w:styleId="Hyperlink">
    <w:name w:val="Hyperlink"/>
    <w:rsid w:val="00DA3A70"/>
    <w:rPr>
      <w:color w:val="0000FF"/>
      <w:u w:val="single"/>
    </w:rPr>
  </w:style>
  <w:style w:type="paragraph" w:styleId="CommentText">
    <w:name w:val="annotation text"/>
    <w:basedOn w:val="Normal"/>
    <w:link w:val="CommentTextChar1"/>
    <w:uiPriority w:val="99"/>
    <w:unhideWhenUsed/>
    <w:rsid w:val="00DA3A70"/>
    <w:pPr>
      <w:spacing w:line="240" w:lineRule="auto"/>
    </w:pPr>
    <w:rPr>
      <w:rFonts w:eastAsia="Calibri"/>
      <w:sz w:val="20"/>
      <w:szCs w:val="20"/>
    </w:rPr>
  </w:style>
  <w:style w:type="character" w:customStyle="1" w:styleId="CommentTextChar">
    <w:name w:val="Comment Text Char"/>
    <w:uiPriority w:val="99"/>
    <w:rsid w:val="00DA3A70"/>
    <w:rPr>
      <w:rFonts w:eastAsia="Times New Roman" w:cs="Times New Roman"/>
      <w:lang w:val="lv-LV" w:eastAsia="lv-LV"/>
    </w:rPr>
  </w:style>
  <w:style w:type="character" w:customStyle="1" w:styleId="CommentTextChar1">
    <w:name w:val="Comment Text Char1"/>
    <w:link w:val="CommentText"/>
    <w:uiPriority w:val="99"/>
    <w:rsid w:val="00DA3A70"/>
    <w:rPr>
      <w:rFonts w:ascii="Calibri" w:eastAsia="Calibri" w:hAnsi="Calibri" w:cs="Times New Roman"/>
      <w:sz w:val="20"/>
      <w:szCs w:val="20"/>
      <w:lang w:val="lv-LV"/>
    </w:rPr>
  </w:style>
  <w:style w:type="paragraph" w:styleId="HTMLPreformatted">
    <w:name w:val="HTML Preformatted"/>
    <w:basedOn w:val="Normal"/>
    <w:link w:val="HTMLPreformattedChar"/>
    <w:uiPriority w:val="99"/>
    <w:semiHidden/>
    <w:unhideWhenUsed/>
    <w:rsid w:val="00DA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DA3A70"/>
    <w:rPr>
      <w:rFonts w:ascii="Courier New" w:eastAsia="Times New Roman" w:hAnsi="Courier New" w:cs="Times New Roman"/>
      <w:sz w:val="20"/>
      <w:szCs w:val="20"/>
      <w:lang w:val="lv-LV" w:eastAsia="lv-LV"/>
    </w:rPr>
  </w:style>
  <w:style w:type="character" w:styleId="CommentReference">
    <w:name w:val="annotation reference"/>
    <w:uiPriority w:val="99"/>
    <w:semiHidden/>
    <w:unhideWhenUsed/>
    <w:rsid w:val="00DA3A70"/>
    <w:rPr>
      <w:sz w:val="16"/>
      <w:szCs w:val="16"/>
    </w:rPr>
  </w:style>
  <w:style w:type="paragraph" w:styleId="CommentSubject">
    <w:name w:val="annotation subject"/>
    <w:basedOn w:val="CommentText"/>
    <w:next w:val="CommentText"/>
    <w:link w:val="CommentSubjectChar"/>
    <w:uiPriority w:val="99"/>
    <w:semiHidden/>
    <w:unhideWhenUsed/>
    <w:rsid w:val="00DA3A70"/>
    <w:pPr>
      <w:spacing w:line="276" w:lineRule="auto"/>
    </w:pPr>
    <w:rPr>
      <w:b/>
      <w:bCs/>
    </w:rPr>
  </w:style>
  <w:style w:type="character" w:customStyle="1" w:styleId="CommentSubjectChar">
    <w:name w:val="Comment Subject Char"/>
    <w:link w:val="CommentSubject"/>
    <w:uiPriority w:val="99"/>
    <w:semiHidden/>
    <w:rsid w:val="00DA3A70"/>
    <w:rPr>
      <w:rFonts w:ascii="Calibri" w:eastAsia="Calibri" w:hAnsi="Calibri" w:cs="Times New Roman"/>
      <w:b/>
      <w:bCs/>
      <w:sz w:val="20"/>
      <w:szCs w:val="20"/>
      <w:lang w:val="lv-LV"/>
    </w:rPr>
  </w:style>
  <w:style w:type="paragraph" w:styleId="Header">
    <w:name w:val="header"/>
    <w:basedOn w:val="Normal"/>
    <w:link w:val="HeaderChar"/>
    <w:uiPriority w:val="99"/>
    <w:unhideWhenUsed/>
    <w:rsid w:val="00DA3A70"/>
    <w:pPr>
      <w:tabs>
        <w:tab w:val="center" w:pos="4819"/>
        <w:tab w:val="right" w:pos="9638"/>
      </w:tabs>
    </w:pPr>
  </w:style>
  <w:style w:type="character" w:customStyle="1" w:styleId="HeaderChar">
    <w:name w:val="Header Char"/>
    <w:link w:val="Header"/>
    <w:uiPriority w:val="99"/>
    <w:rsid w:val="00DA3A70"/>
    <w:rPr>
      <w:rFonts w:ascii="Calibri" w:eastAsia="Times New Roman" w:hAnsi="Calibri" w:cs="Times New Roman"/>
      <w:lang w:val="lv-LV" w:eastAsia="lv-LV"/>
    </w:rPr>
  </w:style>
  <w:style w:type="paragraph" w:styleId="Footer">
    <w:name w:val="footer"/>
    <w:basedOn w:val="Normal"/>
    <w:link w:val="FooterChar"/>
    <w:uiPriority w:val="99"/>
    <w:unhideWhenUsed/>
    <w:rsid w:val="00DA3A70"/>
    <w:pPr>
      <w:tabs>
        <w:tab w:val="center" w:pos="4819"/>
        <w:tab w:val="right" w:pos="9638"/>
      </w:tabs>
    </w:pPr>
  </w:style>
  <w:style w:type="character" w:customStyle="1" w:styleId="FooterChar">
    <w:name w:val="Footer Char"/>
    <w:link w:val="Footer"/>
    <w:uiPriority w:val="99"/>
    <w:rsid w:val="00DA3A70"/>
    <w:rPr>
      <w:rFonts w:ascii="Calibri" w:eastAsia="Times New Roman" w:hAnsi="Calibri" w:cs="Times New Roman"/>
      <w:lang w:val="lv-LV" w:eastAsia="lv-LV"/>
    </w:rPr>
  </w:style>
  <w:style w:type="paragraph" w:styleId="FootnoteText">
    <w:name w:val="footnote text"/>
    <w:basedOn w:val="Normal"/>
    <w:link w:val="FootnoteTextChar"/>
    <w:unhideWhenUsed/>
    <w:rsid w:val="00DA3A70"/>
    <w:rPr>
      <w:sz w:val="20"/>
      <w:szCs w:val="20"/>
    </w:rPr>
  </w:style>
  <w:style w:type="character" w:customStyle="1" w:styleId="FootnoteTextChar">
    <w:name w:val="Footnote Text Char"/>
    <w:link w:val="FootnoteText"/>
    <w:rsid w:val="00DA3A70"/>
    <w:rPr>
      <w:rFonts w:ascii="Calibri" w:eastAsia="Times New Roman" w:hAnsi="Calibri" w:cs="Times New Roman"/>
      <w:sz w:val="20"/>
      <w:szCs w:val="20"/>
      <w:lang w:val="lv-LV" w:eastAsia="lv-LV"/>
    </w:rPr>
  </w:style>
  <w:style w:type="character" w:styleId="FootnoteReference">
    <w:name w:val="footnote reference"/>
    <w:unhideWhenUsed/>
    <w:rsid w:val="00DA3A70"/>
    <w:rPr>
      <w:vertAlign w:val="superscript"/>
    </w:rPr>
  </w:style>
  <w:style w:type="paragraph" w:styleId="PlainText">
    <w:name w:val="Plain Text"/>
    <w:basedOn w:val="Normal"/>
    <w:link w:val="PlainTextChar"/>
    <w:uiPriority w:val="99"/>
    <w:semiHidden/>
    <w:unhideWhenUsed/>
    <w:rsid w:val="00DA3A70"/>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DA3A70"/>
    <w:rPr>
      <w:rFonts w:ascii="Consolas" w:eastAsia="Calibri" w:hAnsi="Consolas" w:cs="Times New Roman"/>
      <w:sz w:val="21"/>
      <w:szCs w:val="21"/>
      <w:lang w:val="lv-LV"/>
    </w:rPr>
  </w:style>
  <w:style w:type="paragraph" w:customStyle="1" w:styleId="Revision1">
    <w:name w:val="Revision1"/>
    <w:hidden/>
    <w:uiPriority w:val="99"/>
    <w:semiHidden/>
    <w:rsid w:val="00DA3A70"/>
    <w:pPr>
      <w:spacing w:after="0" w:line="240" w:lineRule="auto"/>
    </w:pPr>
    <w:rPr>
      <w:rFonts w:ascii="Calibri" w:eastAsia="Times New Roman" w:hAnsi="Calibri" w:cs="Times New Roman"/>
    </w:rPr>
  </w:style>
  <w:style w:type="character" w:styleId="Emphasis">
    <w:name w:val="Emphasis"/>
    <w:uiPriority w:val="20"/>
    <w:qFormat/>
    <w:rsid w:val="00DA3A70"/>
    <w:rPr>
      <w:i/>
      <w:iCs/>
    </w:rPr>
  </w:style>
  <w:style w:type="character" w:styleId="Strong">
    <w:name w:val="Strong"/>
    <w:uiPriority w:val="22"/>
    <w:qFormat/>
    <w:rsid w:val="00DA3A70"/>
    <w:rPr>
      <w:b/>
      <w:bCs/>
    </w:rPr>
  </w:style>
  <w:style w:type="character" w:customStyle="1" w:styleId="cit-sep3">
    <w:name w:val="cit-sep3"/>
    <w:basedOn w:val="DefaultParagraphFont"/>
    <w:rsid w:val="00DA3A70"/>
  </w:style>
  <w:style w:type="character" w:styleId="HTMLCite">
    <w:name w:val="HTML Cite"/>
    <w:uiPriority w:val="99"/>
    <w:semiHidden/>
    <w:unhideWhenUsed/>
    <w:rsid w:val="00DA3A70"/>
    <w:rPr>
      <w:i/>
      <w:iCs/>
    </w:rPr>
  </w:style>
  <w:style w:type="character" w:customStyle="1" w:styleId="cit-title3">
    <w:name w:val="cit-title3"/>
    <w:basedOn w:val="DefaultParagraphFont"/>
    <w:rsid w:val="00DA3A70"/>
  </w:style>
  <w:style w:type="character" w:customStyle="1" w:styleId="cit-print-date">
    <w:name w:val="cit-print-date"/>
    <w:basedOn w:val="DefaultParagraphFont"/>
    <w:rsid w:val="00DA3A70"/>
  </w:style>
  <w:style w:type="character" w:customStyle="1" w:styleId="cit-vol">
    <w:name w:val="cit-vol"/>
    <w:basedOn w:val="DefaultParagraphFont"/>
    <w:rsid w:val="00DA3A70"/>
  </w:style>
  <w:style w:type="character" w:customStyle="1" w:styleId="cit-first-page">
    <w:name w:val="cit-first-page"/>
    <w:basedOn w:val="DefaultParagraphFont"/>
    <w:rsid w:val="00DA3A70"/>
  </w:style>
  <w:style w:type="character" w:customStyle="1" w:styleId="cit-last-page">
    <w:name w:val="cit-last-page"/>
    <w:basedOn w:val="DefaultParagraphFont"/>
    <w:rsid w:val="00DA3A70"/>
  </w:style>
  <w:style w:type="character" w:customStyle="1" w:styleId="search-result-highlight1">
    <w:name w:val="search-result-highlight1"/>
    <w:rsid w:val="00DA3A70"/>
    <w:rPr>
      <w:b/>
      <w:bCs/>
      <w:color w:val="CC0000"/>
    </w:rPr>
  </w:style>
  <w:style w:type="character" w:customStyle="1" w:styleId="cit-auth2">
    <w:name w:val="cit-auth2"/>
    <w:basedOn w:val="DefaultParagraphFont"/>
    <w:rsid w:val="00DA3A70"/>
  </w:style>
  <w:style w:type="character" w:customStyle="1" w:styleId="cit-sep4">
    <w:name w:val="cit-sep4"/>
    <w:basedOn w:val="DefaultParagraphFont"/>
    <w:rsid w:val="00DA3A70"/>
  </w:style>
  <w:style w:type="character" w:customStyle="1" w:styleId="cit-title9">
    <w:name w:val="cit-title9"/>
    <w:basedOn w:val="DefaultParagraphFont"/>
    <w:rsid w:val="00DA3A70"/>
  </w:style>
  <w:style w:type="character" w:customStyle="1" w:styleId="cit-subtitle">
    <w:name w:val="cit-subtitle"/>
    <w:basedOn w:val="DefaultParagraphFont"/>
    <w:rsid w:val="00DA3A70"/>
  </w:style>
  <w:style w:type="character" w:customStyle="1" w:styleId="cit-vol2">
    <w:name w:val="cit-vol2"/>
    <w:basedOn w:val="DefaultParagraphFont"/>
    <w:rsid w:val="00DA3A70"/>
  </w:style>
  <w:style w:type="character" w:customStyle="1" w:styleId="cit-issue">
    <w:name w:val="cit-issue"/>
    <w:basedOn w:val="DefaultParagraphFont"/>
    <w:rsid w:val="00DA3A70"/>
  </w:style>
  <w:style w:type="character" w:customStyle="1" w:styleId="cit-last-page2">
    <w:name w:val="cit-last-page2"/>
    <w:basedOn w:val="DefaultParagraphFont"/>
    <w:rsid w:val="00DA3A70"/>
  </w:style>
  <w:style w:type="paragraph" w:customStyle="1" w:styleId="Pa4">
    <w:name w:val="Pa4"/>
    <w:basedOn w:val="Normal"/>
    <w:next w:val="Normal"/>
    <w:uiPriority w:val="99"/>
    <w:rsid w:val="00DA3A70"/>
    <w:pPr>
      <w:autoSpaceDE w:val="0"/>
      <w:autoSpaceDN w:val="0"/>
      <w:adjustRightInd w:val="0"/>
      <w:spacing w:after="0" w:line="201" w:lineRule="atLeast"/>
    </w:pPr>
    <w:rPr>
      <w:rFonts w:ascii="Minion Pro" w:eastAsia="MS Mincho" w:hAnsi="Minion Pro"/>
      <w:sz w:val="24"/>
      <w:szCs w:val="24"/>
    </w:rPr>
  </w:style>
  <w:style w:type="character" w:customStyle="1" w:styleId="ja50-ce-author1">
    <w:name w:val="ja50-ce-author1"/>
    <w:rsid w:val="00DA3A70"/>
    <w:rPr>
      <w:color w:val="808080"/>
      <w:sz w:val="23"/>
      <w:szCs w:val="23"/>
    </w:rPr>
  </w:style>
  <w:style w:type="character" w:customStyle="1" w:styleId="ja50-ce-title2">
    <w:name w:val="ja50-ce-title2"/>
    <w:rsid w:val="00DA3A70"/>
    <w:rPr>
      <w:b/>
      <w:bCs/>
      <w:color w:val="000000"/>
      <w:sz w:val="24"/>
      <w:szCs w:val="24"/>
    </w:rPr>
  </w:style>
  <w:style w:type="paragraph" w:customStyle="1" w:styleId="Elencoacolori-Colore11">
    <w:name w:val="Elenco a colori - Colore 11"/>
    <w:basedOn w:val="Normal"/>
    <w:uiPriority w:val="34"/>
    <w:qFormat/>
    <w:rsid w:val="00DA3A70"/>
    <w:pPr>
      <w:ind w:left="720"/>
      <w:contextualSpacing/>
    </w:pPr>
  </w:style>
  <w:style w:type="paragraph" w:customStyle="1" w:styleId="Elencoacolori-Colore12">
    <w:name w:val="Elenco a colori - Colore 12"/>
    <w:basedOn w:val="Normal"/>
    <w:qFormat/>
    <w:rsid w:val="00DA3A70"/>
    <w:pPr>
      <w:ind w:left="720"/>
      <w:contextualSpacing/>
    </w:pPr>
  </w:style>
  <w:style w:type="table" w:styleId="TableGrid">
    <w:name w:val="Table Grid"/>
    <w:basedOn w:val="TableNormal"/>
    <w:uiPriority w:val="39"/>
    <w:rsid w:val="00DA3A70"/>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OCHeading">
    <w:name w:val="TOC Heading"/>
    <w:basedOn w:val="Heading1"/>
    <w:next w:val="Normal"/>
    <w:uiPriority w:val="39"/>
    <w:qFormat/>
    <w:rsid w:val="00DA3A70"/>
    <w:pPr>
      <w:keepLines/>
      <w:spacing w:before="240" w:after="600"/>
      <w:jc w:val="center"/>
      <w:outlineLvl w:val="9"/>
    </w:pPr>
    <w:rPr>
      <w:rFonts w:ascii="Tahoma" w:eastAsia="Times New Roman" w:hAnsi="Tahoma"/>
      <w:bCs/>
      <w:color w:val="008000"/>
      <w:sz w:val="28"/>
      <w:szCs w:val="28"/>
    </w:rPr>
  </w:style>
  <w:style w:type="paragraph" w:styleId="Title">
    <w:name w:val="Title"/>
    <w:aliases w:val="ECDC AF Title"/>
    <w:basedOn w:val="Normal"/>
    <w:next w:val="Normal"/>
    <w:link w:val="TitleChar"/>
    <w:autoRedefine/>
    <w:uiPriority w:val="10"/>
    <w:qFormat/>
    <w:rsid w:val="00DA3A70"/>
    <w:pPr>
      <w:spacing w:before="240" w:after="360" w:line="240" w:lineRule="auto"/>
      <w:jc w:val="center"/>
    </w:pPr>
    <w:rPr>
      <w:rFonts w:ascii="Tahoma" w:hAnsi="Tahoma"/>
      <w:b/>
      <w:spacing w:val="5"/>
      <w:kern w:val="28"/>
      <w:sz w:val="28"/>
      <w:szCs w:val="52"/>
    </w:rPr>
  </w:style>
  <w:style w:type="character" w:customStyle="1" w:styleId="TitleChar">
    <w:name w:val="Title Char"/>
    <w:aliases w:val="ECDC AF Title Char"/>
    <w:link w:val="Title"/>
    <w:uiPriority w:val="10"/>
    <w:rsid w:val="00DA3A70"/>
    <w:rPr>
      <w:rFonts w:ascii="Tahoma" w:eastAsia="Times New Roman" w:hAnsi="Tahoma" w:cs="Times New Roman"/>
      <w:b/>
      <w:spacing w:val="5"/>
      <w:kern w:val="28"/>
      <w:sz w:val="28"/>
      <w:szCs w:val="52"/>
    </w:rPr>
  </w:style>
  <w:style w:type="paragraph" w:customStyle="1" w:styleId="Paragrafoelenco1">
    <w:name w:val="Paragrafo elenco1"/>
    <w:aliases w:val="ECDC AF Paragraph"/>
    <w:basedOn w:val="Normal"/>
    <w:autoRedefine/>
    <w:uiPriority w:val="34"/>
    <w:qFormat/>
    <w:rsid w:val="00DA3A70"/>
    <w:pPr>
      <w:numPr>
        <w:numId w:val="7"/>
      </w:numPr>
      <w:tabs>
        <w:tab w:val="left" w:pos="567"/>
      </w:tabs>
      <w:spacing w:before="120" w:after="120" w:line="240" w:lineRule="auto"/>
      <w:ind w:left="0" w:firstLine="0"/>
      <w:jc w:val="both"/>
    </w:pPr>
    <w:rPr>
      <w:rFonts w:ascii="Tahoma" w:eastAsia="Calibri" w:hAnsi="Tahoma"/>
      <w:sz w:val="20"/>
      <w:szCs w:val="20"/>
    </w:rPr>
  </w:style>
  <w:style w:type="paragraph" w:styleId="TOC1">
    <w:name w:val="toc 1"/>
    <w:basedOn w:val="Normal"/>
    <w:next w:val="Normal"/>
    <w:autoRedefine/>
    <w:uiPriority w:val="39"/>
    <w:unhideWhenUsed/>
    <w:rsid w:val="00DA3A70"/>
    <w:pPr>
      <w:spacing w:before="120" w:after="100" w:line="240" w:lineRule="auto"/>
    </w:pPr>
    <w:rPr>
      <w:rFonts w:ascii="Tahoma" w:eastAsia="Calibri" w:hAnsi="Tahoma"/>
      <w:sz w:val="20"/>
      <w:szCs w:val="20"/>
    </w:rPr>
  </w:style>
  <w:style w:type="paragraph" w:styleId="TOC2">
    <w:name w:val="toc 2"/>
    <w:basedOn w:val="Normal"/>
    <w:next w:val="Normal"/>
    <w:autoRedefine/>
    <w:uiPriority w:val="39"/>
    <w:unhideWhenUsed/>
    <w:rsid w:val="00DA3A70"/>
    <w:pPr>
      <w:spacing w:before="120" w:after="100" w:line="240" w:lineRule="auto"/>
      <w:ind w:left="200"/>
    </w:pPr>
    <w:rPr>
      <w:rFonts w:ascii="Tahoma" w:eastAsia="Calibri" w:hAnsi="Tahoma"/>
      <w:sz w:val="20"/>
      <w:szCs w:val="20"/>
    </w:rPr>
  </w:style>
  <w:style w:type="paragraph" w:styleId="TOC3">
    <w:name w:val="toc 3"/>
    <w:basedOn w:val="Normal"/>
    <w:next w:val="Normal"/>
    <w:autoRedefine/>
    <w:uiPriority w:val="39"/>
    <w:unhideWhenUsed/>
    <w:rsid w:val="00DA3A70"/>
    <w:pPr>
      <w:spacing w:before="120" w:after="100" w:line="240" w:lineRule="auto"/>
      <w:ind w:left="400"/>
    </w:pPr>
    <w:rPr>
      <w:rFonts w:ascii="Tahoma" w:eastAsia="Calibri" w:hAnsi="Tahoma"/>
      <w:sz w:val="20"/>
      <w:szCs w:val="20"/>
    </w:rPr>
  </w:style>
  <w:style w:type="paragraph" w:customStyle="1" w:styleId="ColorfulShading-Accent11">
    <w:name w:val="Colorful Shading - Accent 11"/>
    <w:hidden/>
    <w:uiPriority w:val="99"/>
    <w:semiHidden/>
    <w:rsid w:val="00DA3A70"/>
    <w:pPr>
      <w:spacing w:after="0" w:line="240" w:lineRule="auto"/>
    </w:pPr>
    <w:rPr>
      <w:rFonts w:ascii="Calibri" w:eastAsia="Times New Roman" w:hAnsi="Calibri" w:cs="Times New Roman"/>
    </w:rPr>
  </w:style>
  <w:style w:type="paragraph" w:customStyle="1" w:styleId="ColorfulList-Accent11">
    <w:name w:val="Colorful List - Accent 11"/>
    <w:basedOn w:val="Normal"/>
    <w:uiPriority w:val="34"/>
    <w:qFormat/>
    <w:rsid w:val="00DA3A70"/>
    <w:pPr>
      <w:ind w:left="708"/>
    </w:pPr>
  </w:style>
  <w:style w:type="paragraph" w:styleId="NormalWeb">
    <w:name w:val="Normal (Web)"/>
    <w:basedOn w:val="Normal"/>
    <w:uiPriority w:val="99"/>
    <w:semiHidden/>
    <w:unhideWhenUsed/>
    <w:rsid w:val="00DA3A70"/>
    <w:rPr>
      <w:rFonts w:ascii="Times New Roman" w:hAnsi="Times New Roman"/>
      <w:sz w:val="24"/>
      <w:szCs w:val="24"/>
    </w:rPr>
  </w:style>
  <w:style w:type="paragraph" w:customStyle="1" w:styleId="EndNoteBibliographyTitle">
    <w:name w:val="EndNote Bibliography Title"/>
    <w:basedOn w:val="Normal"/>
    <w:link w:val="EndNoteBibliographyTitleChar"/>
    <w:rsid w:val="00DA3A70"/>
    <w:pPr>
      <w:spacing w:after="0"/>
      <w:jc w:val="center"/>
    </w:pPr>
    <w:rPr>
      <w:noProof/>
      <w:sz w:val="20"/>
    </w:rPr>
  </w:style>
  <w:style w:type="character" w:customStyle="1" w:styleId="EndNoteBibliographyTitleChar">
    <w:name w:val="EndNote Bibliography Title Char"/>
    <w:link w:val="EndNoteBibliographyTitle"/>
    <w:rsid w:val="00DA3A70"/>
    <w:rPr>
      <w:rFonts w:ascii="Calibri" w:eastAsia="Times New Roman" w:hAnsi="Calibri" w:cs="Times New Roman"/>
      <w:noProof/>
      <w:sz w:val="20"/>
      <w:lang w:val="lv-LV" w:eastAsia="lv-LV"/>
    </w:rPr>
  </w:style>
  <w:style w:type="paragraph" w:customStyle="1" w:styleId="EndNoteBibliography">
    <w:name w:val="EndNote Bibliography"/>
    <w:basedOn w:val="Normal"/>
    <w:link w:val="EndNoteBibliographyChar"/>
    <w:rsid w:val="00DA3A70"/>
    <w:pPr>
      <w:spacing w:line="240" w:lineRule="auto"/>
      <w:jc w:val="both"/>
    </w:pPr>
    <w:rPr>
      <w:noProof/>
      <w:sz w:val="20"/>
    </w:rPr>
  </w:style>
  <w:style w:type="character" w:customStyle="1" w:styleId="EndNoteBibliographyChar">
    <w:name w:val="EndNote Bibliography Char"/>
    <w:link w:val="EndNoteBibliography"/>
    <w:rsid w:val="00DA3A70"/>
    <w:rPr>
      <w:rFonts w:ascii="Calibri" w:eastAsia="Times New Roman" w:hAnsi="Calibri" w:cs="Times New Roman"/>
      <w:noProof/>
      <w:sz w:val="20"/>
      <w:lang w:val="lv-LV" w:eastAsia="lv-LV"/>
    </w:rPr>
  </w:style>
  <w:style w:type="character" w:styleId="FollowedHyperlink">
    <w:name w:val="FollowedHyperlink"/>
    <w:uiPriority w:val="99"/>
    <w:semiHidden/>
    <w:unhideWhenUsed/>
    <w:rsid w:val="00DA3A70"/>
    <w:rPr>
      <w:color w:val="954F72"/>
      <w:u w:val="single"/>
    </w:rPr>
  </w:style>
  <w:style w:type="paragraph" w:customStyle="1" w:styleId="MediumGrid21">
    <w:name w:val="Medium Grid 21"/>
    <w:uiPriority w:val="1"/>
    <w:qFormat/>
    <w:rsid w:val="00DA3A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yperlink0">
    <w:name w:val="Hyperlink.0"/>
    <w:rsid w:val="00DA3A70"/>
  </w:style>
  <w:style w:type="character" w:customStyle="1" w:styleId="hide1">
    <w:name w:val="hide1"/>
    <w:rsid w:val="00DA3A70"/>
    <w:rPr>
      <w:vanish/>
      <w:webHidden w:val="0"/>
      <w:specVanish w:val="0"/>
    </w:rPr>
  </w:style>
  <w:style w:type="paragraph" w:customStyle="1" w:styleId="Default">
    <w:name w:val="Default"/>
    <w:rsid w:val="00DA3A7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DA3A70"/>
    <w:pPr>
      <w:ind w:left="720"/>
    </w:pPr>
  </w:style>
  <w:style w:type="table" w:customStyle="1" w:styleId="GridTable4-Accent31">
    <w:name w:val="Grid Table 4 - Accent 31"/>
    <w:basedOn w:val="TableNormal"/>
    <w:next w:val="GridTable4-Accent32"/>
    <w:uiPriority w:val="49"/>
    <w:rsid w:val="00DA3A70"/>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uiPriority w:val="49"/>
    <w:rsid w:val="00DA3A70"/>
    <w:pPr>
      <w:spacing w:after="0" w:line="240" w:lineRule="auto"/>
    </w:pPr>
    <w:rPr>
      <w:rFonts w:ascii="Calibri" w:eastAsia="Times New Roman"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m2344583173576020509msolistparagraph">
    <w:name w:val="m_2344583173576020509msolistparagraph"/>
    <w:basedOn w:val="Normal"/>
    <w:rsid w:val="00DA3A70"/>
    <w:pPr>
      <w:spacing w:before="100" w:beforeAutospacing="1" w:after="100" w:afterAutospacing="1" w:line="240" w:lineRule="auto"/>
    </w:pPr>
    <w:rPr>
      <w:rFonts w:ascii="Times New Roman" w:eastAsia="Calibri" w:hAnsi="Times New Roman"/>
      <w:sz w:val="24"/>
      <w:szCs w:val="24"/>
    </w:rPr>
  </w:style>
  <w:style w:type="table" w:styleId="MediumShading2Accent4">
    <w:name w:val="Medium Shading 2 Accent 4"/>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odyText">
    <w:name w:val="Body Text"/>
    <w:basedOn w:val="Normal"/>
    <w:link w:val="BodyTextChar"/>
    <w:uiPriority w:val="1"/>
    <w:qFormat/>
    <w:rsid w:val="00DA3A70"/>
    <w:pPr>
      <w:widowControl w:val="0"/>
      <w:spacing w:after="0" w:line="240" w:lineRule="auto"/>
    </w:pPr>
    <w:rPr>
      <w:rFonts w:eastAsia="Calibri" w:cs="Calibri"/>
    </w:rPr>
  </w:style>
  <w:style w:type="character" w:customStyle="1" w:styleId="BodyTextChar">
    <w:name w:val="Body Text Char"/>
    <w:basedOn w:val="DefaultParagraphFont"/>
    <w:link w:val="BodyText"/>
    <w:uiPriority w:val="1"/>
    <w:rsid w:val="00DA3A70"/>
    <w:rPr>
      <w:rFonts w:ascii="Calibri" w:eastAsia="Calibri" w:hAnsi="Calibri" w:cs="Calibri"/>
      <w:lang w:val="lv-LV"/>
    </w:rPr>
  </w:style>
  <w:style w:type="character" w:customStyle="1" w:styleId="Heading4Char">
    <w:name w:val="Heading 4 Char"/>
    <w:basedOn w:val="DefaultParagraphFont"/>
    <w:link w:val="Heading4"/>
    <w:uiPriority w:val="9"/>
    <w:rsid w:val="00EA1DD2"/>
    <w:rPr>
      <w:rFonts w:asciiTheme="majorHAnsi" w:eastAsiaTheme="majorEastAsia" w:hAnsiTheme="majorHAnsi" w:cstheme="majorBidi"/>
      <w:i/>
      <w:iCs/>
      <w:color w:val="2E74B5" w:themeColor="accent1" w:themeShade="BF"/>
      <w:lang w:val="lv-LV" w:eastAsia="lv-LV"/>
    </w:rPr>
  </w:style>
  <w:style w:type="character" w:customStyle="1" w:styleId="Heading5Char">
    <w:name w:val="Heading 5 Char"/>
    <w:basedOn w:val="DefaultParagraphFont"/>
    <w:link w:val="Heading5"/>
    <w:uiPriority w:val="9"/>
    <w:rsid w:val="00E93802"/>
    <w:rPr>
      <w:rFonts w:asciiTheme="majorHAnsi" w:eastAsiaTheme="majorEastAsia" w:hAnsiTheme="majorHAnsi" w:cstheme="majorBidi"/>
      <w:color w:val="2E74B5" w:themeColor="accent1" w:themeShade="BF"/>
      <w:lang w:val="lv-LV" w:eastAsia="lv-LV"/>
    </w:rPr>
  </w:style>
  <w:style w:type="paragraph" w:customStyle="1" w:styleId="EC-Title-5">
    <w:name w:val="EC-Title-5"/>
    <w:next w:val="Normal"/>
    <w:link w:val="EC-Title-5CharChar"/>
    <w:qFormat/>
    <w:rsid w:val="00E93802"/>
    <w:pPr>
      <w:autoSpaceDE w:val="0"/>
      <w:autoSpaceDN w:val="0"/>
      <w:adjustRightInd w:val="0"/>
      <w:spacing w:before="240" w:after="120" w:line="241" w:lineRule="atLeast"/>
      <w:outlineLvl w:val="1"/>
    </w:pPr>
    <w:rPr>
      <w:rFonts w:ascii="Tahoma" w:eastAsia="Batang" w:hAnsi="Tahoma" w:cs="Tahoma"/>
      <w:b/>
      <w:bCs/>
      <w:color w:val="69AE23"/>
      <w:sz w:val="30"/>
      <w:szCs w:val="30"/>
    </w:rPr>
  </w:style>
  <w:style w:type="character" w:customStyle="1" w:styleId="EC-Title-5CharChar">
    <w:name w:val="EC-Title-5 Char Char"/>
    <w:basedOn w:val="DefaultParagraphFont"/>
    <w:link w:val="EC-Title-5"/>
    <w:rsid w:val="00E93802"/>
    <w:rPr>
      <w:rFonts w:ascii="Tahoma" w:eastAsia="Batang" w:hAnsi="Tahoma" w:cs="Tahoma"/>
      <w:b/>
      <w:bCs/>
      <w:color w:val="69AE23"/>
      <w:sz w:val="30"/>
      <w:szCs w:val="30"/>
    </w:rPr>
  </w:style>
  <w:style w:type="paragraph" w:customStyle="1" w:styleId="EC-Title-6">
    <w:name w:val="EC-Title-6"/>
    <w:next w:val="Normal"/>
    <w:link w:val="EC-Title-6CharChar"/>
    <w:qFormat/>
    <w:rsid w:val="00E93802"/>
    <w:pPr>
      <w:widowControl w:val="0"/>
      <w:spacing w:before="120" w:after="120" w:line="240" w:lineRule="auto"/>
      <w:outlineLvl w:val="2"/>
    </w:pPr>
    <w:rPr>
      <w:rFonts w:ascii="Tahoma" w:eastAsia="Batang" w:hAnsi="Tahoma" w:cs="Tahoma"/>
      <w:b/>
      <w:bCs/>
      <w:color w:val="69AE23"/>
      <w:sz w:val="26"/>
      <w:szCs w:val="26"/>
    </w:rPr>
  </w:style>
  <w:style w:type="character" w:customStyle="1" w:styleId="EC-Title-6CharChar">
    <w:name w:val="EC-Title-6 Char Char"/>
    <w:link w:val="EC-Title-6"/>
    <w:rsid w:val="00E93802"/>
    <w:rPr>
      <w:rFonts w:ascii="Tahoma" w:eastAsia="Batang" w:hAnsi="Tahoma" w:cs="Tahoma"/>
      <w:b/>
      <w:bCs/>
      <w:color w:val="69AE23"/>
      <w:sz w:val="26"/>
      <w:szCs w:val="26"/>
    </w:rPr>
  </w:style>
  <w:style w:type="paragraph" w:customStyle="1" w:styleId="EC-Title-7">
    <w:name w:val="EC-Title-7"/>
    <w:next w:val="Normal"/>
    <w:link w:val="EC-Title-7Char"/>
    <w:qFormat/>
    <w:rsid w:val="00083CEE"/>
    <w:pPr>
      <w:spacing w:before="120" w:after="0" w:line="240" w:lineRule="auto"/>
      <w:outlineLvl w:val="3"/>
    </w:pPr>
    <w:rPr>
      <w:rFonts w:ascii="Tahoma" w:eastAsia="Times New Roman" w:hAnsi="Tahoma" w:cs="Tahoma"/>
      <w:b/>
      <w:bCs/>
      <w:i/>
      <w:color w:val="69AE23"/>
    </w:rPr>
  </w:style>
  <w:style w:type="character" w:customStyle="1" w:styleId="EC-Title-7Char">
    <w:name w:val="EC-Title-7 Char"/>
    <w:basedOn w:val="DefaultParagraphFont"/>
    <w:link w:val="EC-Title-7"/>
    <w:rsid w:val="00083CEE"/>
    <w:rPr>
      <w:rFonts w:ascii="Tahoma" w:eastAsia="Times New Roman" w:hAnsi="Tahoma" w:cs="Tahoma"/>
      <w:b/>
      <w:bCs/>
      <w:i/>
      <w:color w:val="69AE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69B30-AB20-44C2-B0B1-9EE8F1B4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5860</Words>
  <Characters>33408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39190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9</cp:revision>
  <cp:lastPrinted>2018-06-26T07:56:00Z</cp:lastPrinted>
  <dcterms:created xsi:type="dcterms:W3CDTF">2018-07-23T07:33:00Z</dcterms:created>
  <dcterms:modified xsi:type="dcterms:W3CDTF">2018-07-23T10:23:00Z</dcterms:modified>
</cp:coreProperties>
</file>