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0 -->
  <w:body>
    <w:p w:rsidR="00DA3A70" w:rsidRPr="000D0DB0" w:rsidP="000D0DB0" w14:paraId="563B3E73" w14:textId="77777777">
      <w:pPr>
        <w:pStyle w:val="EC-Title-5"/>
        <w:rPr>
          <w:b w:val="0"/>
          <w:spacing w:val="-10"/>
          <w:sz w:val="24"/>
        </w:rPr>
      </w:pPr>
      <w:bookmarkStart w:id="0" w:name="_GoBack"/>
      <w:bookmarkEnd w:id="0"/>
      <w:r>
        <w:t>Standards der Europäischen Union für die Tuberkuloseversorgung – Aktualisierung von 2017</w:t>
      </w:r>
    </w:p>
    <w:p w:rsidR="008745B1" w:rsidRPr="000D0DB0" w:rsidP="000D0DB0" w14:paraId="39D7946D" w14:textId="7722B419">
      <w:pPr>
        <w:autoSpaceDE w:val="0"/>
        <w:autoSpaceDN w:val="0"/>
        <w:adjustRightInd w:val="0"/>
        <w:spacing w:before="120" w:after="0"/>
        <w:jc w:val="both"/>
        <w:rPr>
          <w:rFonts w:ascii="Tahoma" w:hAnsi="Tahoma" w:cs="Tahoma"/>
          <w:sz w:val="18"/>
          <w:szCs w:val="18"/>
        </w:rPr>
      </w:pPr>
      <w:r>
        <w:rPr>
          <w:rFonts w:ascii="Tahoma" w:hAnsi="Tahoma"/>
          <w:sz w:val="18"/>
        </w:rPr>
        <w:t>Das Europäische Zentrum für die Prävention und die Kontrolle von Krankheiten (ECDC) und die Europäische Gesellschaft für Atemwegserkrankungen (European Respiratory Society – ERS) haben 21 auf Patienten zugeschnittene Standards entwickelt, um Ärzt</w:t>
      </w:r>
      <w:r w:rsidR="00154147">
        <w:rPr>
          <w:rFonts w:ascii="Tahoma" w:hAnsi="Tahoma"/>
          <w:sz w:val="18"/>
        </w:rPr>
        <w:t>/-innen</w:t>
      </w:r>
      <w:r>
        <w:rPr>
          <w:rFonts w:ascii="Tahoma" w:hAnsi="Tahoma"/>
          <w:sz w:val="18"/>
        </w:rPr>
        <w:t xml:space="preserve"> und Mitarbeiter</w:t>
      </w:r>
      <w:r w:rsidR="00154147">
        <w:rPr>
          <w:rFonts w:ascii="Tahoma" w:hAnsi="Tahoma"/>
          <w:sz w:val="18"/>
        </w:rPr>
        <w:t>/-innen</w:t>
      </w:r>
      <w:r>
        <w:rPr>
          <w:rFonts w:ascii="Tahoma" w:hAnsi="Tahoma"/>
          <w:sz w:val="18"/>
        </w:rPr>
        <w:t xml:space="preserve"> der öffentlichen Gesundheitsdienste bei ihrer Arbeit anzuleiten, um so eine optimale Diagnose, Behandlung und Prävention von Tuberkulose (TB) in Europa zu gewährleisten. Im Jahr 2017 wurden die Standards der Europäischen Union für die Tuberkuloseversorgung (ESTC) aktualisiert, indem die neuesten </w:t>
      </w:r>
      <w:r w:rsidR="009A617A">
        <w:rPr>
          <w:rFonts w:ascii="Tahoma" w:hAnsi="Tahoma"/>
          <w:sz w:val="18"/>
        </w:rPr>
        <w:t xml:space="preserve">wissenschaftlichen Erkenntnisse </w:t>
      </w:r>
      <w:r>
        <w:rPr>
          <w:rFonts w:ascii="Tahoma" w:hAnsi="Tahoma"/>
          <w:sz w:val="18"/>
        </w:rPr>
        <w:t>und internationalen Empfehlungen für die Diagnose, Behandlung und Prävention von TB aufgenommen wurden.</w:t>
      </w:r>
    </w:p>
    <w:p w:rsidR="00E93802" w:rsidP="0028467E" w14:paraId="1E65DA7D" w14:textId="096410C8">
      <w:pPr>
        <w:pStyle w:val="EC-Title-6"/>
      </w:pPr>
      <w:bookmarkStart w:id="1" w:name="_Toc512588780"/>
      <w:r>
        <w:t xml:space="preserve">Höhere Standards für Fortschritte auf dem Weg zur Eliminierung </w:t>
      </w:r>
      <w:r w:rsidR="00154147">
        <w:t>der Tuberkulose</w:t>
      </w:r>
      <w:r>
        <w:t xml:space="preserve"> in der Europäischen Union</w:t>
      </w:r>
      <w:r w:rsidR="007E1382">
        <w:t>/dem europäischen Wirtschaftsraum (EU/EWR)</w:t>
      </w:r>
      <w:r>
        <w:t xml:space="preserve"> erforderlich</w:t>
      </w:r>
      <w:bookmarkEnd w:id="1"/>
    </w:p>
    <w:p w:rsidR="00083CEE" w:rsidRPr="005C16A7" w:rsidP="00083CEE" w14:paraId="447BAC6D" w14:textId="77777777">
      <w:pPr>
        <w:pStyle w:val="EC-Title-7"/>
      </w:pPr>
      <w:r>
        <w:t>Warum gibt es an die EU angepasste Standards?</w:t>
      </w:r>
    </w:p>
    <w:p w:rsidR="008745B1" w:rsidRPr="000D0DB0" w:rsidP="000D0DB0" w14:paraId="5792A238" w14:textId="0D763BC7">
      <w:pPr>
        <w:autoSpaceDE w:val="0"/>
        <w:autoSpaceDN w:val="0"/>
        <w:adjustRightInd w:val="0"/>
        <w:spacing w:after="120"/>
        <w:jc w:val="both"/>
        <w:rPr>
          <w:rFonts w:ascii="Tahoma" w:hAnsi="Tahoma" w:cs="Tahoma"/>
          <w:sz w:val="18"/>
          <w:szCs w:val="18"/>
        </w:rPr>
      </w:pPr>
      <w:r>
        <w:rPr>
          <w:rFonts w:ascii="Tahoma" w:hAnsi="Tahoma"/>
          <w:sz w:val="18"/>
        </w:rPr>
        <w:t xml:space="preserve">Die internationalen Standards für die Tuberkuloseversorgung (ISTC) wurden erstmals im Jahr 2006 veröffentlicht und 2009 und 2014 aktualisiert. Die ISTC beschreiben ein </w:t>
      </w:r>
      <w:r w:rsidR="003F7599">
        <w:rPr>
          <w:rFonts w:ascii="Tahoma" w:hAnsi="Tahoma"/>
          <w:sz w:val="18"/>
        </w:rPr>
        <w:t xml:space="preserve">weithin </w:t>
      </w:r>
      <w:r w:rsidR="00764807">
        <w:rPr>
          <w:rFonts w:ascii="Tahoma" w:hAnsi="Tahoma"/>
          <w:sz w:val="18"/>
        </w:rPr>
        <w:t>anerkanntes Niveau</w:t>
      </w:r>
      <w:r w:rsidR="003F7599">
        <w:rPr>
          <w:rFonts w:ascii="Tahoma" w:hAnsi="Tahoma"/>
          <w:sz w:val="18"/>
        </w:rPr>
        <w:t xml:space="preserve"> </w:t>
      </w:r>
      <w:r>
        <w:rPr>
          <w:rFonts w:ascii="Tahoma" w:hAnsi="Tahoma"/>
          <w:sz w:val="18"/>
        </w:rPr>
        <w:t xml:space="preserve">der Tuberkuloseversorgung. Allerdings konzentrieren sie sich auf </w:t>
      </w:r>
      <w:r w:rsidR="00051BB3">
        <w:rPr>
          <w:rFonts w:ascii="Tahoma" w:hAnsi="Tahoma"/>
          <w:sz w:val="18"/>
        </w:rPr>
        <w:t xml:space="preserve">Regionen </w:t>
      </w:r>
      <w:r>
        <w:rPr>
          <w:rFonts w:ascii="Tahoma" w:hAnsi="Tahoma"/>
          <w:sz w:val="18"/>
        </w:rPr>
        <w:t xml:space="preserve">mit hoher </w:t>
      </w:r>
      <w:r w:rsidR="00051BB3">
        <w:rPr>
          <w:rFonts w:ascii="Tahoma" w:hAnsi="Tahoma"/>
          <w:sz w:val="18"/>
        </w:rPr>
        <w:t>Kranheitslast</w:t>
      </w:r>
      <w:r w:rsidR="00764807">
        <w:rPr>
          <w:rFonts w:ascii="Tahoma" w:hAnsi="Tahoma"/>
          <w:sz w:val="18"/>
        </w:rPr>
        <w:t xml:space="preserve"> </w:t>
      </w:r>
      <w:r>
        <w:rPr>
          <w:rFonts w:ascii="Tahoma" w:hAnsi="Tahoma"/>
          <w:sz w:val="18"/>
        </w:rPr>
        <w:t>und niedrigem Einkommen.</w:t>
      </w:r>
    </w:p>
    <w:p w:rsidR="008745B1" w:rsidRPr="000D0DB0" w:rsidP="000D0DB0" w14:paraId="2F662945" w14:textId="77777777">
      <w:pPr>
        <w:autoSpaceDE w:val="0"/>
        <w:autoSpaceDN w:val="0"/>
        <w:adjustRightInd w:val="0"/>
        <w:spacing w:after="120"/>
        <w:jc w:val="both"/>
        <w:rPr>
          <w:rFonts w:ascii="Tahoma" w:hAnsi="Tahoma" w:cs="Tahoma"/>
          <w:sz w:val="18"/>
          <w:szCs w:val="18"/>
        </w:rPr>
      </w:pPr>
      <w:r>
        <w:rPr>
          <w:rFonts w:ascii="Tahoma" w:hAnsi="Tahoma"/>
          <w:sz w:val="18"/>
        </w:rPr>
        <w:t>In der EU/im EWR sind der epidemiologische Kontext und die Verfügbarkeit finanzieller Mittel anders:</w:t>
      </w:r>
    </w:p>
    <w:p w:rsidR="00F03325" w:rsidRPr="000D0DB0" w:rsidP="000D0DB0" w14:paraId="7D49F742" w14:textId="72B71196">
      <w:pPr>
        <w:pStyle w:val="ListParagraph"/>
        <w:numPr>
          <w:ilvl w:val="0"/>
          <w:numId w:val="31"/>
        </w:numPr>
        <w:autoSpaceDE w:val="0"/>
        <w:autoSpaceDN w:val="0"/>
        <w:adjustRightInd w:val="0"/>
        <w:spacing w:after="0"/>
        <w:ind w:left="0" w:firstLine="0"/>
        <w:jc w:val="both"/>
        <w:rPr>
          <w:rFonts w:ascii="Tahoma" w:hAnsi="Tahoma" w:cs="Tahoma"/>
          <w:sz w:val="18"/>
          <w:szCs w:val="18"/>
        </w:rPr>
      </w:pPr>
      <w:r>
        <w:rPr>
          <w:rFonts w:ascii="Tahoma" w:hAnsi="Tahoma"/>
          <w:sz w:val="18"/>
        </w:rPr>
        <w:t xml:space="preserve">Die </w:t>
      </w:r>
      <w:r w:rsidR="00051BB3">
        <w:rPr>
          <w:rFonts w:ascii="Tahoma" w:hAnsi="Tahoma"/>
          <w:sz w:val="18"/>
        </w:rPr>
        <w:t xml:space="preserve">Krankheitslast </w:t>
      </w:r>
      <w:r>
        <w:rPr>
          <w:rFonts w:ascii="Tahoma" w:hAnsi="Tahoma"/>
          <w:sz w:val="18"/>
        </w:rPr>
        <w:t>ist niedrig/mäßig, jedoch heterogen</w:t>
      </w:r>
    </w:p>
    <w:p w:rsidR="008745B1" w:rsidRPr="000D0DB0" w:rsidP="000D0DB0" w14:paraId="199F8BDA" w14:textId="742AACA3">
      <w:pPr>
        <w:pStyle w:val="ListParagraph"/>
        <w:numPr>
          <w:ilvl w:val="0"/>
          <w:numId w:val="31"/>
        </w:numPr>
        <w:autoSpaceDE w:val="0"/>
        <w:autoSpaceDN w:val="0"/>
        <w:adjustRightInd w:val="0"/>
        <w:spacing w:after="0"/>
        <w:ind w:left="0" w:firstLine="0"/>
        <w:jc w:val="both"/>
        <w:rPr>
          <w:rFonts w:ascii="Tahoma" w:hAnsi="Tahoma" w:cs="Tahoma"/>
          <w:sz w:val="18"/>
          <w:szCs w:val="18"/>
        </w:rPr>
      </w:pPr>
      <w:r>
        <w:rPr>
          <w:rFonts w:ascii="Tahoma" w:hAnsi="Tahoma"/>
          <w:sz w:val="18"/>
        </w:rPr>
        <w:t xml:space="preserve">Es gibt eine </w:t>
      </w:r>
      <w:r w:rsidR="000654B5">
        <w:rPr>
          <w:rFonts w:ascii="Tahoma" w:hAnsi="Tahoma"/>
          <w:sz w:val="18"/>
        </w:rPr>
        <w:t>l</w:t>
      </w:r>
      <w:r w:rsidR="00455819">
        <w:rPr>
          <w:rFonts w:ascii="Tahoma" w:hAnsi="Tahoma"/>
          <w:sz w:val="18"/>
        </w:rPr>
        <w:t>ange Tradition im Bereich der Prävention und Behandlung von TB</w:t>
      </w:r>
    </w:p>
    <w:p w:rsidR="008745B1" w:rsidRPr="000D0DB0" w:rsidP="000D0DB0" w14:paraId="18C4DAD4" w14:textId="77777777">
      <w:pPr>
        <w:pStyle w:val="ListParagraph"/>
        <w:numPr>
          <w:ilvl w:val="0"/>
          <w:numId w:val="31"/>
        </w:numPr>
        <w:autoSpaceDE w:val="0"/>
        <w:autoSpaceDN w:val="0"/>
        <w:adjustRightInd w:val="0"/>
        <w:spacing w:after="0"/>
        <w:ind w:left="0" w:firstLine="0"/>
        <w:jc w:val="both"/>
        <w:rPr>
          <w:rFonts w:ascii="Tahoma" w:hAnsi="Tahoma" w:cs="Tahoma"/>
          <w:sz w:val="18"/>
          <w:szCs w:val="18"/>
        </w:rPr>
      </w:pPr>
      <w:r>
        <w:rPr>
          <w:rFonts w:ascii="Tahoma" w:hAnsi="Tahoma"/>
          <w:sz w:val="18"/>
        </w:rPr>
        <w:t>Ressourcen sind verfügbar</w:t>
      </w:r>
    </w:p>
    <w:p w:rsidR="008745B1" w:rsidRPr="000D0DB0" w:rsidP="000D0DB0" w14:paraId="530BA612" w14:textId="77777777">
      <w:pPr>
        <w:pStyle w:val="ListParagraph"/>
        <w:numPr>
          <w:ilvl w:val="0"/>
          <w:numId w:val="31"/>
        </w:numPr>
        <w:autoSpaceDE w:val="0"/>
        <w:autoSpaceDN w:val="0"/>
        <w:adjustRightInd w:val="0"/>
        <w:spacing w:after="0"/>
        <w:ind w:left="0" w:firstLine="0"/>
        <w:jc w:val="both"/>
        <w:rPr>
          <w:rFonts w:ascii="Tahoma" w:hAnsi="Tahoma" w:cs="Tahoma"/>
          <w:sz w:val="18"/>
          <w:szCs w:val="18"/>
        </w:rPr>
      </w:pPr>
      <w:r>
        <w:rPr>
          <w:rFonts w:ascii="Tahoma" w:hAnsi="Tahoma"/>
          <w:sz w:val="18"/>
        </w:rPr>
        <w:t xml:space="preserve">Es besteht die </w:t>
      </w:r>
      <w:r w:rsidR="00455819">
        <w:rPr>
          <w:rFonts w:ascii="Tahoma" w:hAnsi="Tahoma"/>
          <w:sz w:val="18"/>
        </w:rPr>
        <w:t>Notwendigkeit, die optimale Nutzung dieser Ressourcen zu gewährleisten</w:t>
      </w:r>
    </w:p>
    <w:p w:rsidR="008745B1" w:rsidRPr="000D0DB0" w:rsidP="000D0DB0" w14:paraId="00EEDD14" w14:textId="0F18CE5D">
      <w:pPr>
        <w:pStyle w:val="ListParagraph"/>
        <w:numPr>
          <w:ilvl w:val="0"/>
          <w:numId w:val="31"/>
        </w:numPr>
        <w:autoSpaceDE w:val="0"/>
        <w:autoSpaceDN w:val="0"/>
        <w:adjustRightInd w:val="0"/>
        <w:spacing w:after="0"/>
        <w:ind w:left="0" w:firstLine="0"/>
        <w:jc w:val="both"/>
        <w:rPr>
          <w:rFonts w:ascii="Tahoma" w:hAnsi="Tahoma" w:cs="Tahoma"/>
          <w:sz w:val="18"/>
          <w:szCs w:val="18"/>
        </w:rPr>
      </w:pPr>
      <w:r>
        <w:rPr>
          <w:rFonts w:ascii="Tahoma" w:hAnsi="Tahoma"/>
          <w:sz w:val="18"/>
        </w:rPr>
        <w:t>TB-</w:t>
      </w:r>
      <w:r w:rsidR="00865AE2">
        <w:rPr>
          <w:rFonts w:ascii="Tahoma" w:hAnsi="Tahoma"/>
          <w:sz w:val="18"/>
        </w:rPr>
        <w:t xml:space="preserve">Versorgung </w:t>
      </w:r>
      <w:r w:rsidR="00C02311">
        <w:rPr>
          <w:rFonts w:ascii="Tahoma" w:hAnsi="Tahoma"/>
          <w:sz w:val="18"/>
        </w:rPr>
        <w:t xml:space="preserve">ist </w:t>
      </w:r>
      <w:r>
        <w:rPr>
          <w:rFonts w:ascii="Tahoma" w:hAnsi="Tahoma"/>
          <w:sz w:val="18"/>
        </w:rPr>
        <w:t>in das Gesundheitssystem integriert</w:t>
      </w:r>
    </w:p>
    <w:p w:rsidR="008745B1" w:rsidRPr="000D0DB0" w:rsidP="000D0DB0" w14:paraId="66A40841" w14:textId="77777777">
      <w:pPr>
        <w:pStyle w:val="ListParagraph"/>
        <w:numPr>
          <w:ilvl w:val="0"/>
          <w:numId w:val="31"/>
        </w:numPr>
        <w:autoSpaceDE w:val="0"/>
        <w:autoSpaceDN w:val="0"/>
        <w:adjustRightInd w:val="0"/>
        <w:spacing w:after="0"/>
        <w:ind w:left="0" w:firstLine="0"/>
        <w:jc w:val="both"/>
        <w:rPr>
          <w:rFonts w:ascii="Tahoma" w:hAnsi="Tahoma" w:cs="Tahoma"/>
          <w:sz w:val="18"/>
          <w:szCs w:val="18"/>
        </w:rPr>
      </w:pPr>
      <w:r>
        <w:rPr>
          <w:rFonts w:ascii="Tahoma" w:hAnsi="Tahoma"/>
          <w:sz w:val="18"/>
        </w:rPr>
        <w:t>Jeder Patient hat das Recht auf die bestmögliche Versorgung</w:t>
      </w:r>
    </w:p>
    <w:p w:rsidR="008745B1" w:rsidRPr="000D0DB0" w:rsidP="0028467E" w14:paraId="3DDD8419" w14:textId="77777777">
      <w:pPr>
        <w:pStyle w:val="EC-Title-6"/>
        <w:rPr>
          <w:sz w:val="30"/>
          <w:szCs w:val="30"/>
        </w:rPr>
      </w:pPr>
      <w:r>
        <w:rPr>
          <w:sz w:val="30"/>
        </w:rPr>
        <w:t>Bei den ESTC handelt es sich um auf die Patienten zugeschnittene Standards für Ärzte und Mitarbeiter der öffentlichen Gesundheitsdienste</w:t>
      </w:r>
    </w:p>
    <w:p w:rsidR="008745B1" w:rsidRPr="0028467E" w:rsidP="0028467E" w14:paraId="76219A41" w14:textId="77777777">
      <w:pPr>
        <w:pStyle w:val="EC-Title-7"/>
        <w:rPr>
          <w:rFonts w:eastAsia="Batang"/>
        </w:rPr>
      </w:pPr>
      <w:r>
        <w:t>Wie wurden die ESTC ausgearbeitet und aktualisiert?</w:t>
      </w:r>
    </w:p>
    <w:p w:rsidR="008745B1" w:rsidRPr="000D0DB0" w:rsidP="008745B1" w14:paraId="0227B464" w14:textId="03B574FF">
      <w:pPr>
        <w:autoSpaceDE w:val="0"/>
        <w:autoSpaceDN w:val="0"/>
        <w:adjustRightInd w:val="0"/>
        <w:spacing w:after="0"/>
        <w:jc w:val="both"/>
        <w:rPr>
          <w:rFonts w:ascii="Tahoma" w:hAnsi="Tahoma" w:cs="Tahoma"/>
          <w:sz w:val="18"/>
          <w:szCs w:val="18"/>
        </w:rPr>
      </w:pPr>
      <w:r>
        <w:rPr>
          <w:rFonts w:ascii="Tahoma" w:hAnsi="Tahoma"/>
          <w:sz w:val="18"/>
        </w:rPr>
        <w:t xml:space="preserve">In diesem Gemeinschaftsprojekt übernahm die ERS die Führung bei der Entwicklung und Aktualisierung der auf die Klinik bezogenen Standards und das ECDC </w:t>
      </w:r>
      <w:r w:rsidR="003B608D">
        <w:rPr>
          <w:rFonts w:ascii="Tahoma" w:hAnsi="Tahoma"/>
          <w:sz w:val="18"/>
        </w:rPr>
        <w:t xml:space="preserve">entwickelte und aktualisierte </w:t>
      </w:r>
      <w:r>
        <w:rPr>
          <w:rFonts w:ascii="Tahoma" w:hAnsi="Tahoma"/>
          <w:sz w:val="18"/>
        </w:rPr>
        <w:t xml:space="preserve">die auf die öffentliche Gesundheit bezogenen Standards. Die Entwicklung und Aktualisierung wurde von einer Arbeitsgruppe internationaler Experten, die verschiedene Fachbereiche repräsentierten, </w:t>
      </w:r>
      <w:r w:rsidR="003B608D">
        <w:rPr>
          <w:rFonts w:ascii="Tahoma" w:hAnsi="Tahoma"/>
          <w:sz w:val="18"/>
        </w:rPr>
        <w:t xml:space="preserve">sowie von </w:t>
      </w:r>
      <w:r>
        <w:rPr>
          <w:rFonts w:ascii="Tahoma" w:hAnsi="Tahoma"/>
          <w:sz w:val="18"/>
        </w:rPr>
        <w:t xml:space="preserve">Organisationen und </w:t>
      </w:r>
      <w:r w:rsidR="003B608D">
        <w:rPr>
          <w:rFonts w:ascii="Tahoma" w:hAnsi="Tahoma"/>
          <w:sz w:val="18"/>
        </w:rPr>
        <w:t>TB-Patienten-</w:t>
      </w:r>
      <w:r>
        <w:rPr>
          <w:rFonts w:ascii="Tahoma" w:hAnsi="Tahoma"/>
          <w:sz w:val="18"/>
        </w:rPr>
        <w:t>Vertretern geleitet. Die Evidenz wurde unter Berücksichtigung der veröffentlichten, internationalen Richtlinien überprüft. Ein Redaktionsausschuss erstellte ein Entwurfspapier, das dann von der Arbeitsgruppe geprüft und angenommen wurde. Die ESTC wurden ausgearbeitet und aktualisiert, um die ISTC und andere bestehende</w:t>
      </w:r>
      <w:r w:rsidR="007E1382">
        <w:rPr>
          <w:rFonts w:ascii="Tahoma" w:hAnsi="Tahoma"/>
          <w:sz w:val="18"/>
        </w:rPr>
        <w:t xml:space="preserve"> Empfehlungen</w:t>
      </w:r>
      <w:r>
        <w:rPr>
          <w:rFonts w:ascii="Tahoma" w:hAnsi="Tahoma"/>
          <w:sz w:val="18"/>
        </w:rPr>
        <w:t xml:space="preserve"> zu ergänzen. </w:t>
      </w:r>
    </w:p>
    <w:p w:rsidR="008745B1" w:rsidRPr="000D0DB0" w:rsidP="000D0DB0" w14:paraId="48400EB5" w14:textId="77777777">
      <w:pPr>
        <w:pStyle w:val="EC-Title-5"/>
        <w:spacing w:before="120"/>
        <w:rPr>
          <w:b w:val="0"/>
        </w:rPr>
      </w:pPr>
      <w:r>
        <w:t>Eine benutzerfreundliche Ressource zur Gewährleistung einer optimalen Diagnose, Behandlung und Prävention von TB</w:t>
      </w:r>
    </w:p>
    <w:p w:rsidR="008745B1" w:rsidRPr="000D0DB0" w:rsidP="000D0DB0" w14:paraId="5C81204E" w14:textId="77777777">
      <w:pPr>
        <w:pStyle w:val="EC-Title-6"/>
        <w:spacing w:after="0"/>
        <w:rPr>
          <w:b w:val="0"/>
        </w:rPr>
      </w:pPr>
      <w:r>
        <w:t>Begründung für die ESTC</w:t>
      </w:r>
    </w:p>
    <w:p w:rsidR="008745B1" w:rsidRPr="000D0DB0" w:rsidP="008745B1" w14:paraId="60C1260D" w14:textId="7ECB5385">
      <w:pPr>
        <w:autoSpaceDE w:val="0"/>
        <w:autoSpaceDN w:val="0"/>
        <w:adjustRightInd w:val="0"/>
        <w:spacing w:after="0"/>
        <w:jc w:val="both"/>
        <w:rPr>
          <w:rFonts w:ascii="Tahoma" w:hAnsi="Tahoma" w:cs="Tahoma"/>
          <w:sz w:val="18"/>
          <w:szCs w:val="18"/>
        </w:rPr>
      </w:pPr>
      <w:r>
        <w:rPr>
          <w:rFonts w:ascii="Tahoma" w:hAnsi="Tahoma"/>
          <w:sz w:val="18"/>
        </w:rPr>
        <w:t xml:space="preserve">Die Standards der Europäischen Union für die Tuberkuloseversorgung (ESTC) haben das Ziel, aktuelle Lücken beim </w:t>
      </w:r>
      <w:r w:rsidR="007E1382">
        <w:rPr>
          <w:rFonts w:ascii="Tahoma" w:hAnsi="Tahoma"/>
          <w:sz w:val="18"/>
        </w:rPr>
        <w:t>Tuberkulose-Fall</w:t>
      </w:r>
      <w:r w:rsidR="005A09E8">
        <w:rPr>
          <w:rFonts w:ascii="Tahoma" w:hAnsi="Tahoma"/>
          <w:sz w:val="18"/>
        </w:rPr>
        <w:t>management</w:t>
      </w:r>
      <w:r>
        <w:rPr>
          <w:rFonts w:ascii="Tahoma" w:hAnsi="Tahoma"/>
          <w:sz w:val="18"/>
        </w:rPr>
        <w:t xml:space="preserve"> in der EU/</w:t>
      </w:r>
      <w:r w:rsidR="003D248B">
        <w:rPr>
          <w:rFonts w:ascii="Tahoma" w:hAnsi="Tahoma"/>
          <w:sz w:val="18"/>
        </w:rPr>
        <w:t xml:space="preserve">im </w:t>
      </w:r>
      <w:r>
        <w:rPr>
          <w:rFonts w:ascii="Tahoma" w:hAnsi="Tahoma"/>
          <w:sz w:val="18"/>
        </w:rPr>
        <w:t xml:space="preserve">EWR zu überbrücken. </w:t>
      </w:r>
    </w:p>
    <w:p w:rsidR="008745B1" w:rsidRPr="000D0DB0" w:rsidP="008745B1" w14:paraId="6CDDB921" w14:textId="77777777">
      <w:pPr>
        <w:autoSpaceDE w:val="0"/>
        <w:autoSpaceDN w:val="0"/>
        <w:adjustRightInd w:val="0"/>
        <w:spacing w:after="0"/>
        <w:jc w:val="both"/>
        <w:rPr>
          <w:rFonts w:ascii="Tahoma" w:hAnsi="Tahoma" w:cs="Tahoma"/>
          <w:sz w:val="18"/>
          <w:szCs w:val="18"/>
        </w:rPr>
      </w:pPr>
      <w:r>
        <w:rPr>
          <w:rFonts w:ascii="Tahoma" w:hAnsi="Tahoma"/>
          <w:sz w:val="18"/>
        </w:rPr>
        <w:t>Ziel der ESTC ist es, Fachleuten der öffentlichen Gesundheit</w:t>
      </w:r>
      <w:r w:rsidR="00865AE2">
        <w:rPr>
          <w:rFonts w:ascii="Tahoma" w:hAnsi="Tahoma"/>
          <w:sz w:val="18"/>
        </w:rPr>
        <w:t>sdienste</w:t>
      </w:r>
      <w:r>
        <w:rPr>
          <w:rFonts w:ascii="Tahoma" w:hAnsi="Tahoma"/>
          <w:sz w:val="18"/>
        </w:rPr>
        <w:t xml:space="preserve">, Ärzten und </w:t>
      </w:r>
      <w:r w:rsidR="00865AE2">
        <w:rPr>
          <w:rFonts w:ascii="Tahoma" w:hAnsi="Tahoma"/>
          <w:sz w:val="18"/>
        </w:rPr>
        <w:t xml:space="preserve">Mitarbeitern in </w:t>
      </w:r>
      <w:r>
        <w:rPr>
          <w:rFonts w:ascii="Tahoma" w:hAnsi="Tahoma"/>
          <w:sz w:val="18"/>
        </w:rPr>
        <w:t>Gesundheitsprogrammen eine strukturierte Zusammenstellung evidenzbasierter Standards bereitzustellen, in denen die minimalen Anforderungen für die Gewährleistung einer optimalen Versorgung, Prävention und Behandlung von TB beschrieben sind.</w:t>
      </w:r>
    </w:p>
    <w:p w:rsidR="008745B1" w:rsidRPr="000D0DB0" w:rsidP="00554AB0" w14:paraId="11142339" w14:textId="77777777">
      <w:pPr>
        <w:pStyle w:val="EC-Title-5"/>
        <w:pageBreakBefore/>
        <w:spacing w:before="120"/>
        <w:rPr>
          <w:b w:val="0"/>
        </w:rPr>
      </w:pPr>
      <w:r>
        <w:t>Weiterführende Informationen</w:t>
      </w:r>
    </w:p>
    <w:p w:rsidR="008745B1" w:rsidRPr="000D0DB0" w:rsidP="000D0DB0" w14:paraId="4C97FB7A" w14:textId="59501884">
      <w:pPr>
        <w:autoSpaceDE w:val="0"/>
        <w:autoSpaceDN w:val="0"/>
        <w:adjustRightInd w:val="0"/>
        <w:spacing w:before="120" w:after="120"/>
        <w:jc w:val="both"/>
        <w:rPr>
          <w:rFonts w:ascii="Tahoma" w:hAnsi="Tahoma" w:cs="Tahoma"/>
          <w:sz w:val="18"/>
          <w:szCs w:val="18"/>
        </w:rPr>
      </w:pPr>
      <w:r>
        <w:rPr>
          <w:rFonts w:ascii="Tahoma" w:hAnsi="Tahoma"/>
          <w:sz w:val="18"/>
        </w:rPr>
        <w:t xml:space="preserve">Das ECDC ist eine Agentur der EU, deren Auftrag es ist, Gefahren für die öffentliche Gesundheit durch Infektionskrankheiten zu erkennen, zu beurteilen und </w:t>
      </w:r>
      <w:r w:rsidR="003D248B">
        <w:rPr>
          <w:rFonts w:ascii="Tahoma" w:hAnsi="Tahoma"/>
          <w:sz w:val="18"/>
        </w:rPr>
        <w:t>zu kommunizieren</w:t>
      </w:r>
      <w:r>
        <w:rPr>
          <w:rFonts w:ascii="Tahoma" w:hAnsi="Tahoma"/>
          <w:sz w:val="18"/>
        </w:rPr>
        <w:t>. Es unterstützt die Arbeit der öffentlichen Gesundheitsbehörden in den Mitgliedstaaten der EU/des EWR.</w:t>
      </w:r>
    </w:p>
    <w:p w:rsidR="008745B1" w:rsidRPr="000D0DB0" w:rsidP="008745B1" w14:paraId="7D9752E1" w14:textId="77777777">
      <w:pPr>
        <w:autoSpaceDE w:val="0"/>
        <w:autoSpaceDN w:val="0"/>
        <w:adjustRightInd w:val="0"/>
        <w:spacing w:after="0"/>
        <w:jc w:val="both"/>
        <w:rPr>
          <w:rFonts w:ascii="Tahoma" w:hAnsi="Tahoma" w:cs="Tahoma"/>
          <w:sz w:val="18"/>
          <w:szCs w:val="18"/>
        </w:rPr>
      </w:pPr>
      <w:r>
        <w:fldChar w:fldCharType="begin"/>
      </w:r>
      <w:r>
        <w:instrText xml:space="preserve"> HYPERLINK "http://www.ecdc.europa.eu/en/tuberculosis" </w:instrText>
      </w:r>
      <w:r>
        <w:fldChar w:fldCharType="separate"/>
      </w:r>
      <w:r w:rsidR="00455819">
        <w:rPr>
          <w:rStyle w:val="Hyperlink"/>
          <w:rFonts w:ascii="Tahoma" w:hAnsi="Tahoma"/>
          <w:sz w:val="18"/>
        </w:rPr>
        <w:t>www.ecdc.europa.eu/en/tuberculosis</w:t>
      </w:r>
      <w:r>
        <w:fldChar w:fldCharType="end"/>
      </w:r>
    </w:p>
    <w:p w:rsidR="008745B1" w:rsidRPr="000D0DB0" w:rsidP="000D0DB0" w14:paraId="31538098" w14:textId="77777777">
      <w:pPr>
        <w:autoSpaceDE w:val="0"/>
        <w:autoSpaceDN w:val="0"/>
        <w:adjustRightInd w:val="0"/>
        <w:spacing w:after="120"/>
        <w:jc w:val="both"/>
        <w:rPr>
          <w:rFonts w:ascii="Tahoma" w:hAnsi="Tahoma" w:cs="Tahoma"/>
          <w:sz w:val="18"/>
          <w:szCs w:val="18"/>
        </w:rPr>
      </w:pPr>
      <w:r>
        <w:rPr>
          <w:rFonts w:ascii="Tahoma" w:hAnsi="Tahoma"/>
          <w:sz w:val="18"/>
        </w:rPr>
        <w:t>Die ERS ist die führende berufsständische Organisation in ihrem Bereich in Europa. Sie zählt mehr als 30 000 Mitglieder in über 160 Ländern. Die ERS strebt danach, die Leiden aufgrund von Atemwegserkrankungen zu lindern und die Lungengesundheit durch Forschung, Wissensaustausch und medizinische und öffentliche Bildung zu fördern.</w:t>
      </w:r>
    </w:p>
    <w:p w:rsidR="008745B1" w:rsidRPr="000D0DB0" w:rsidP="008745B1" w14:paraId="6B790EA0" w14:textId="77777777">
      <w:pPr>
        <w:autoSpaceDE w:val="0"/>
        <w:autoSpaceDN w:val="0"/>
        <w:adjustRightInd w:val="0"/>
        <w:spacing w:after="0"/>
        <w:jc w:val="both"/>
        <w:rPr>
          <w:rFonts w:ascii="Tahoma" w:hAnsi="Tahoma" w:cs="Tahoma"/>
          <w:sz w:val="18"/>
          <w:szCs w:val="18"/>
        </w:rPr>
      </w:pPr>
      <w:r>
        <w:fldChar w:fldCharType="begin"/>
      </w:r>
      <w:r>
        <w:instrText xml:space="preserve"> HYPERLINK "http://www.ersnet.org/" </w:instrText>
      </w:r>
      <w:r>
        <w:fldChar w:fldCharType="separate"/>
      </w:r>
      <w:r w:rsidR="00455819">
        <w:rPr>
          <w:rStyle w:val="Hyperlink"/>
          <w:rFonts w:ascii="Tahoma" w:hAnsi="Tahoma"/>
          <w:sz w:val="18"/>
        </w:rPr>
        <w:t>www.ersnet.org</w:t>
      </w:r>
      <w:r>
        <w:fldChar w:fldCharType="end"/>
      </w:r>
    </w:p>
    <w:p w:rsidR="008745B1" w:rsidRPr="000D0DB0" w:rsidP="008745B1" w14:paraId="1E32EDF0" w14:textId="77777777">
      <w:pPr>
        <w:autoSpaceDE w:val="0"/>
        <w:autoSpaceDN w:val="0"/>
        <w:adjustRightInd w:val="0"/>
        <w:spacing w:after="0"/>
        <w:jc w:val="both"/>
        <w:rPr>
          <w:rFonts w:ascii="Tahoma" w:hAnsi="Tahoma" w:cs="Tahoma"/>
          <w:sz w:val="18"/>
          <w:szCs w:val="18"/>
        </w:rPr>
      </w:pPr>
      <w:r>
        <w:rPr>
          <w:rFonts w:ascii="Tahoma" w:hAnsi="Tahoma"/>
          <w:sz w:val="18"/>
        </w:rPr>
        <w:t>Die vollständig aktualisierten ESTC wurden im Mai 2018 im European Respiratory Journal (ERJ) veröffentlicht (DOI: 10.1183/13993003.02678-2017)</w:t>
      </w:r>
    </w:p>
    <w:p w:rsidR="00554AB0" w14:paraId="22DED38D" w14:textId="77777777">
      <w:pPr>
        <w:spacing w:after="160" w:line="259" w:lineRule="auto"/>
      </w:pPr>
    </w:p>
    <w:p w:rsidR="00CC0F38" w:rsidRPr="0028467E" w:rsidP="0028467E" w14:paraId="59668703" w14:textId="77777777">
      <w:pPr>
        <w:pStyle w:val="EC-Title-5"/>
        <w:spacing w:after="240"/>
      </w:pPr>
      <w:r>
        <w:t>Standards für die Tuberkulosediagnose</w:t>
      </w:r>
    </w:p>
    <w:p w:rsidR="00DA3A70" w:rsidRPr="000D0DB0" w:rsidP="00A82B43" w14:paraId="4D56602C" w14:textId="77777777">
      <w:pPr>
        <w:shd w:val="clear" w:color="auto" w:fill="D9D9D9"/>
        <w:autoSpaceDE w:val="0"/>
        <w:autoSpaceDN w:val="0"/>
        <w:adjustRightInd w:val="0"/>
        <w:spacing w:after="0"/>
        <w:jc w:val="both"/>
        <w:rPr>
          <w:rFonts w:ascii="Tahoma" w:hAnsi="Tahoma" w:cs="Tahoma"/>
          <w:b/>
          <w:sz w:val="24"/>
          <w:szCs w:val="24"/>
        </w:rPr>
      </w:pPr>
      <w:r>
        <w:rPr>
          <w:rFonts w:ascii="Tahoma" w:hAnsi="Tahoma"/>
          <w:b/>
          <w:sz w:val="24"/>
        </w:rPr>
        <w:t>Standard 1</w:t>
      </w:r>
    </w:p>
    <w:p w:rsidR="00DA3A70" w:rsidRPr="00093675" w:rsidP="0028467E" w14:paraId="05B448E9" w14:textId="40C12157">
      <w:pPr>
        <w:spacing w:after="120"/>
        <w:rPr>
          <w:rFonts w:ascii="Tahoma" w:hAnsi="Tahoma" w:cs="Tahoma"/>
          <w:sz w:val="18"/>
          <w:szCs w:val="18"/>
        </w:rPr>
      </w:pPr>
      <w:r>
        <w:rPr>
          <w:rFonts w:ascii="Tahoma" w:hAnsi="Tahoma"/>
          <w:sz w:val="18"/>
        </w:rPr>
        <w:t>Alle Personen</w:t>
      </w:r>
      <w:r w:rsidR="00865AE2">
        <w:rPr>
          <w:rFonts w:ascii="Tahoma" w:hAnsi="Tahoma"/>
          <w:sz w:val="18"/>
        </w:rPr>
        <w:t xml:space="preserve"> mit</w:t>
      </w:r>
      <w:r>
        <w:rPr>
          <w:rFonts w:ascii="Tahoma" w:hAnsi="Tahoma"/>
          <w:sz w:val="18"/>
        </w:rPr>
        <w:t>, Zeichen, Symptome</w:t>
      </w:r>
      <w:r w:rsidR="00671197">
        <w:rPr>
          <w:rFonts w:ascii="Tahoma" w:hAnsi="Tahoma"/>
          <w:sz w:val="18"/>
        </w:rPr>
        <w:t xml:space="preserve">n, </w:t>
      </w:r>
      <w:r>
        <w:rPr>
          <w:rFonts w:ascii="Tahoma" w:hAnsi="Tahoma"/>
          <w:sz w:val="18"/>
        </w:rPr>
        <w:t>eine</w:t>
      </w:r>
      <w:r w:rsidR="00671197">
        <w:rPr>
          <w:rFonts w:ascii="Tahoma" w:hAnsi="Tahoma"/>
          <w:sz w:val="18"/>
        </w:rPr>
        <w:t>r</w:t>
      </w:r>
      <w:r>
        <w:rPr>
          <w:rFonts w:ascii="Tahoma" w:hAnsi="Tahoma"/>
          <w:sz w:val="18"/>
        </w:rPr>
        <w:t xml:space="preserve"> Vorgeschichte oder Risikofaktoren</w:t>
      </w:r>
      <w:r w:rsidR="00671197">
        <w:rPr>
          <w:rFonts w:ascii="Tahoma" w:hAnsi="Tahoma"/>
          <w:sz w:val="18"/>
        </w:rPr>
        <w:t>, die</w:t>
      </w:r>
      <w:r>
        <w:rPr>
          <w:rFonts w:ascii="Tahoma" w:hAnsi="Tahoma"/>
          <w:sz w:val="18"/>
        </w:rPr>
        <w:t xml:space="preserve"> mit Tuberkulose </w:t>
      </w:r>
      <w:r w:rsidR="00671197">
        <w:rPr>
          <w:rFonts w:ascii="Tahoma" w:hAnsi="Tahoma"/>
          <w:sz w:val="18"/>
        </w:rPr>
        <w:t xml:space="preserve">vereinbar </w:t>
      </w:r>
      <w:r>
        <w:rPr>
          <w:rFonts w:ascii="Tahoma" w:hAnsi="Tahoma"/>
          <w:sz w:val="18"/>
        </w:rPr>
        <w:t xml:space="preserve">sind, sollten auf pulmonale und/oder extrapulmonale Tuberkulose </w:t>
      </w:r>
      <w:r w:rsidR="00865AE2">
        <w:rPr>
          <w:rFonts w:ascii="Tahoma" w:hAnsi="Tahoma"/>
          <w:sz w:val="18"/>
        </w:rPr>
        <w:t xml:space="preserve">untersucht </w:t>
      </w:r>
      <w:r>
        <w:rPr>
          <w:rFonts w:ascii="Tahoma" w:hAnsi="Tahoma"/>
          <w:sz w:val="18"/>
        </w:rPr>
        <w:t>werden.</w:t>
      </w:r>
    </w:p>
    <w:p w:rsidR="00DA3A70" w:rsidRPr="000D0DB0" w:rsidP="00A82B43" w14:paraId="705DCCB6" w14:textId="77777777">
      <w:pPr>
        <w:shd w:val="clear" w:color="auto" w:fill="D9D9D9"/>
        <w:autoSpaceDE w:val="0"/>
        <w:autoSpaceDN w:val="0"/>
        <w:adjustRightInd w:val="0"/>
        <w:spacing w:after="0"/>
        <w:jc w:val="both"/>
        <w:rPr>
          <w:rFonts w:ascii="Tahoma" w:hAnsi="Tahoma" w:cs="Tahoma"/>
          <w:sz w:val="24"/>
          <w:szCs w:val="24"/>
        </w:rPr>
      </w:pPr>
      <w:r>
        <w:rPr>
          <w:rFonts w:ascii="Tahoma" w:hAnsi="Tahoma"/>
          <w:b/>
          <w:sz w:val="24"/>
        </w:rPr>
        <w:t>Standard 2</w:t>
      </w:r>
    </w:p>
    <w:p w:rsidR="00DA3A70" w:rsidRPr="000D0DB0" w:rsidP="0028467E" w14:paraId="5983598D" w14:textId="18BD859E">
      <w:pPr>
        <w:spacing w:after="120"/>
        <w:rPr>
          <w:rFonts w:ascii="Tahoma" w:hAnsi="Tahoma" w:cs="Tahoma"/>
          <w:sz w:val="18"/>
          <w:szCs w:val="18"/>
        </w:rPr>
      </w:pPr>
      <w:r>
        <w:rPr>
          <w:rFonts w:ascii="Tahoma" w:hAnsi="Tahoma"/>
          <w:sz w:val="18"/>
        </w:rPr>
        <w:t xml:space="preserve">Alle Patienten (Erwachsene, Jugendliche und Kinder, die Sputum </w:t>
      </w:r>
      <w:r w:rsidR="00865AE2">
        <w:rPr>
          <w:rFonts w:ascii="Tahoma" w:hAnsi="Tahoma"/>
          <w:sz w:val="18"/>
        </w:rPr>
        <w:t xml:space="preserve">produzieren </w:t>
      </w:r>
      <w:r>
        <w:rPr>
          <w:rFonts w:ascii="Tahoma" w:hAnsi="Tahoma"/>
          <w:sz w:val="18"/>
        </w:rPr>
        <w:t xml:space="preserve">können), bei denen </w:t>
      </w:r>
      <w:r w:rsidR="00671197">
        <w:rPr>
          <w:rFonts w:ascii="Tahoma" w:hAnsi="Tahoma"/>
          <w:sz w:val="18"/>
        </w:rPr>
        <w:t xml:space="preserve">der </w:t>
      </w:r>
      <w:r>
        <w:rPr>
          <w:rFonts w:ascii="Tahoma" w:hAnsi="Tahoma"/>
          <w:sz w:val="18"/>
        </w:rPr>
        <w:t xml:space="preserve">Verdacht auf pulmonale Tuberkulose besteht, sollten mindestens zwei Sputumproben zur mikroskopischen Untersuchung </w:t>
      </w:r>
      <w:r w:rsidR="00671197">
        <w:rPr>
          <w:rFonts w:ascii="Tahoma" w:hAnsi="Tahoma"/>
          <w:sz w:val="18"/>
        </w:rPr>
        <w:t>abgeben</w:t>
      </w:r>
      <w:r>
        <w:rPr>
          <w:rFonts w:ascii="Tahoma" w:hAnsi="Tahoma"/>
          <w:sz w:val="18"/>
        </w:rPr>
        <w:t>. Außerdem sollte eine Probe für einen Schnelltest zum Nachweis von Tuberkulose und zur Feststellung einer Arzneimittelresistenz mithilfe eines international empfohlenen molekular</w:t>
      </w:r>
      <w:r w:rsidR="004B799F">
        <w:rPr>
          <w:rFonts w:ascii="Tahoma" w:hAnsi="Tahoma"/>
          <w:sz w:val="18"/>
        </w:rPr>
        <w:t>biologisch</w:t>
      </w:r>
      <w:r>
        <w:rPr>
          <w:rFonts w:ascii="Tahoma" w:hAnsi="Tahoma"/>
          <w:sz w:val="18"/>
        </w:rPr>
        <w:t xml:space="preserve">en (Schnell-)Tests abgegeben werden. Die Probe sollte für eine Flüssigkultur und im Falle eines positiven Ergebnisses für eine kulturbasierte </w:t>
      </w:r>
      <w:r w:rsidR="00252DFE">
        <w:rPr>
          <w:rFonts w:ascii="Tahoma" w:hAnsi="Tahoma"/>
          <w:sz w:val="18"/>
        </w:rPr>
        <w:t xml:space="preserve">Resistenztestung </w:t>
      </w:r>
      <w:r>
        <w:rPr>
          <w:rFonts w:ascii="Tahoma" w:hAnsi="Tahoma"/>
          <w:sz w:val="18"/>
        </w:rPr>
        <w:t xml:space="preserve">gegen Arzneimittel in ein </w:t>
      </w:r>
      <w:r w:rsidR="002E27D1">
        <w:rPr>
          <w:rFonts w:ascii="Tahoma" w:hAnsi="Tahoma"/>
          <w:sz w:val="18"/>
        </w:rPr>
        <w:t xml:space="preserve">qualitätsgesichertes </w:t>
      </w:r>
      <w:r>
        <w:rPr>
          <w:rFonts w:ascii="Tahoma" w:hAnsi="Tahoma"/>
          <w:sz w:val="18"/>
        </w:rPr>
        <w:t xml:space="preserve">Labor eingeschickt werden. Wenn möglich, sollte mindestens eine Probe </w:t>
      </w:r>
      <w:r w:rsidR="003B608D">
        <w:rPr>
          <w:rFonts w:ascii="Tahoma" w:hAnsi="Tahoma"/>
          <w:sz w:val="18"/>
        </w:rPr>
        <w:t xml:space="preserve">früh morgens </w:t>
      </w:r>
      <w:r>
        <w:rPr>
          <w:rFonts w:ascii="Tahoma" w:hAnsi="Tahoma"/>
          <w:sz w:val="18"/>
        </w:rPr>
        <w:t xml:space="preserve">entnommen werden. Eine </w:t>
      </w:r>
      <w:r w:rsidR="006F1D43">
        <w:rPr>
          <w:rFonts w:ascii="Tahoma" w:hAnsi="Tahoma"/>
          <w:sz w:val="18"/>
        </w:rPr>
        <w:t>Thorax</w:t>
      </w:r>
      <w:r w:rsidR="00F57F53">
        <w:rPr>
          <w:rFonts w:ascii="Tahoma" w:hAnsi="Tahoma"/>
          <w:sz w:val="18"/>
        </w:rPr>
        <w:t>-R</w:t>
      </w:r>
      <w:r w:rsidR="006F1D43">
        <w:rPr>
          <w:rFonts w:ascii="Tahoma" w:hAnsi="Tahoma"/>
          <w:sz w:val="18"/>
        </w:rPr>
        <w:t xml:space="preserve">öntgenuntersuchung </w:t>
      </w:r>
      <w:r>
        <w:rPr>
          <w:rFonts w:ascii="Tahoma" w:hAnsi="Tahoma"/>
          <w:sz w:val="18"/>
        </w:rPr>
        <w:t>kann ebenfalls genutzt werden.</w:t>
      </w:r>
    </w:p>
    <w:p w:rsidR="00DA3A70" w:rsidRPr="000D0DB0" w:rsidP="00A82B43" w14:paraId="1F0F64BF" w14:textId="77777777">
      <w:pPr>
        <w:shd w:val="clear" w:color="auto" w:fill="D9D9D9"/>
        <w:autoSpaceDE w:val="0"/>
        <w:autoSpaceDN w:val="0"/>
        <w:adjustRightInd w:val="0"/>
        <w:spacing w:after="0"/>
        <w:jc w:val="both"/>
        <w:rPr>
          <w:rFonts w:ascii="Tahoma" w:hAnsi="Tahoma" w:cs="Tahoma"/>
          <w:b/>
          <w:sz w:val="24"/>
          <w:szCs w:val="24"/>
        </w:rPr>
      </w:pPr>
      <w:r>
        <w:rPr>
          <w:rFonts w:ascii="Tahoma" w:hAnsi="Tahoma"/>
          <w:b/>
          <w:sz w:val="24"/>
        </w:rPr>
        <w:t>Standard 3</w:t>
      </w:r>
    </w:p>
    <w:p w:rsidR="00DA3A70" w:rsidRPr="004B799F" w:rsidP="0028467E" w14:paraId="2C98A3CB" w14:textId="4D07D571">
      <w:pPr>
        <w:spacing w:after="120"/>
        <w:rPr>
          <w:rFonts w:ascii="Tahoma" w:hAnsi="Tahoma"/>
          <w:sz w:val="18"/>
        </w:rPr>
      </w:pPr>
      <w:r>
        <w:rPr>
          <w:rFonts w:ascii="Tahoma" w:hAnsi="Tahoma"/>
          <w:sz w:val="18"/>
        </w:rPr>
        <w:t xml:space="preserve">Von allen Patienten (Erwachsene, Jugendliche und Kinder) mit Verdacht auf extrapulmonale Tuberkulose sollten entsprechende Proben von </w:t>
      </w:r>
      <w:r w:rsidR="005A09E8">
        <w:rPr>
          <w:rFonts w:ascii="Tahoma" w:hAnsi="Tahoma"/>
          <w:sz w:val="18"/>
        </w:rPr>
        <w:t>den in Verdacht stehenden</w:t>
      </w:r>
      <w:r w:rsidR="00F57F53">
        <w:rPr>
          <w:rFonts w:ascii="Tahoma" w:hAnsi="Tahoma"/>
          <w:sz w:val="18"/>
        </w:rPr>
        <w:t>den</w:t>
      </w:r>
      <w:r>
        <w:rPr>
          <w:rFonts w:ascii="Tahoma" w:hAnsi="Tahoma"/>
          <w:sz w:val="18"/>
        </w:rPr>
        <w:t xml:space="preserve"> </w:t>
      </w:r>
      <w:r w:rsidR="00764807">
        <w:rPr>
          <w:rFonts w:ascii="Tahoma" w:hAnsi="Tahoma"/>
          <w:sz w:val="18"/>
        </w:rPr>
        <w:t>Lokalisationen, zur</w:t>
      </w:r>
      <w:r>
        <w:rPr>
          <w:rFonts w:ascii="Tahoma" w:hAnsi="Tahoma"/>
          <w:sz w:val="18"/>
        </w:rPr>
        <w:t xml:space="preserve"> mikrobiologischen Untersuchung (Mikroskopie, molekular</w:t>
      </w:r>
      <w:r w:rsidR="004B799F">
        <w:rPr>
          <w:rFonts w:ascii="Tahoma" w:hAnsi="Tahoma"/>
          <w:sz w:val="18"/>
        </w:rPr>
        <w:t>biologisch</w:t>
      </w:r>
      <w:r>
        <w:rPr>
          <w:rFonts w:ascii="Tahoma" w:hAnsi="Tahoma"/>
          <w:sz w:val="18"/>
        </w:rPr>
        <w:t xml:space="preserve">e Schnelltests, Kultur, Identifikation der Spezies, </w:t>
      </w:r>
      <w:r w:rsidR="00252DFE">
        <w:rPr>
          <w:rFonts w:ascii="Tahoma" w:hAnsi="Tahoma"/>
          <w:sz w:val="18"/>
        </w:rPr>
        <w:t xml:space="preserve">Resistenztestung </w:t>
      </w:r>
      <w:r>
        <w:rPr>
          <w:rFonts w:ascii="Tahoma" w:hAnsi="Tahoma"/>
          <w:sz w:val="18"/>
        </w:rPr>
        <w:t>gegen Arzneimittel mit molekular</w:t>
      </w:r>
      <w:r w:rsidR="004B799F">
        <w:rPr>
          <w:rFonts w:ascii="Tahoma" w:hAnsi="Tahoma"/>
          <w:sz w:val="18"/>
        </w:rPr>
        <w:t>biologisch</w:t>
      </w:r>
      <w:r>
        <w:rPr>
          <w:rFonts w:ascii="Tahoma" w:hAnsi="Tahoma"/>
          <w:sz w:val="18"/>
        </w:rPr>
        <w:t xml:space="preserve">en Schnelltests und kulturbasierten Verfahren) sowie zur histopathologischen Untersuchung in qualitätsgesicherten Laboren entnommen werden. </w:t>
      </w:r>
    </w:p>
    <w:p w:rsidR="00CC0F38" w:rsidRPr="0069416F" w:rsidP="00CC0F38" w14:paraId="76D06342" w14:textId="77777777">
      <w:pPr>
        <w:shd w:val="clear" w:color="auto" w:fill="D9D9D9"/>
        <w:autoSpaceDE w:val="0"/>
        <w:autoSpaceDN w:val="0"/>
        <w:adjustRightInd w:val="0"/>
        <w:spacing w:after="0"/>
        <w:jc w:val="both"/>
        <w:rPr>
          <w:rFonts w:ascii="Tahoma" w:hAnsi="Tahoma" w:cs="Tahoma"/>
          <w:b/>
          <w:sz w:val="24"/>
          <w:szCs w:val="24"/>
        </w:rPr>
      </w:pPr>
      <w:r>
        <w:rPr>
          <w:rFonts w:ascii="Tahoma" w:hAnsi="Tahoma"/>
          <w:b/>
          <w:sz w:val="24"/>
        </w:rPr>
        <w:t>Standard 4</w:t>
      </w:r>
    </w:p>
    <w:p w:rsidR="00DA3A70" w:rsidRPr="000D0DB0" w:rsidP="0028467E" w14:paraId="337CC3E1" w14:textId="5FDA841B">
      <w:pPr>
        <w:spacing w:after="120"/>
        <w:rPr>
          <w:rFonts w:ascii="Tahoma" w:hAnsi="Tahoma" w:cs="Tahoma"/>
          <w:sz w:val="18"/>
          <w:szCs w:val="18"/>
        </w:rPr>
      </w:pPr>
      <w:r>
        <w:rPr>
          <w:rFonts w:ascii="Tahoma" w:hAnsi="Tahoma"/>
          <w:sz w:val="18"/>
        </w:rPr>
        <w:t xml:space="preserve">Von allen Personen mit </w:t>
      </w:r>
      <w:r w:rsidR="00ED3CC7">
        <w:rPr>
          <w:rFonts w:ascii="Tahoma" w:hAnsi="Tahoma"/>
          <w:sz w:val="18"/>
        </w:rPr>
        <w:t xml:space="preserve">tuberkulosesuspekten </w:t>
      </w:r>
      <w:r>
        <w:rPr>
          <w:rFonts w:ascii="Tahoma" w:hAnsi="Tahoma"/>
          <w:sz w:val="18"/>
        </w:rPr>
        <w:t xml:space="preserve">Befunden </w:t>
      </w:r>
      <w:r w:rsidR="00ED3CC7">
        <w:rPr>
          <w:rFonts w:ascii="Tahoma" w:hAnsi="Tahoma"/>
          <w:sz w:val="18"/>
        </w:rPr>
        <w:t xml:space="preserve">in der </w:t>
      </w:r>
      <w:r w:rsidR="002B5EF0">
        <w:rPr>
          <w:rFonts w:ascii="Tahoma" w:hAnsi="Tahoma"/>
          <w:sz w:val="18"/>
        </w:rPr>
        <w:t>T</w:t>
      </w:r>
      <w:r w:rsidR="00ED3CC7">
        <w:rPr>
          <w:rFonts w:ascii="Tahoma" w:hAnsi="Tahoma"/>
          <w:sz w:val="18"/>
        </w:rPr>
        <w:t>horax</w:t>
      </w:r>
      <w:r w:rsidR="00F57F53">
        <w:rPr>
          <w:rFonts w:ascii="Tahoma" w:hAnsi="Tahoma"/>
          <w:sz w:val="18"/>
        </w:rPr>
        <w:t>-Röntgen</w:t>
      </w:r>
      <w:r w:rsidR="00ED3CC7">
        <w:rPr>
          <w:rFonts w:ascii="Tahoma" w:hAnsi="Tahoma"/>
          <w:sz w:val="18"/>
        </w:rPr>
        <w:t>untersuchung</w:t>
      </w:r>
      <w:r>
        <w:rPr>
          <w:rFonts w:ascii="Tahoma" w:hAnsi="Tahoma"/>
          <w:sz w:val="18"/>
        </w:rPr>
        <w:t xml:space="preserve"> sollten Sputumproben für eine mikroskopische Untersuchung, molekular</w:t>
      </w:r>
      <w:r w:rsidR="004B799F">
        <w:rPr>
          <w:rFonts w:ascii="Tahoma" w:hAnsi="Tahoma"/>
          <w:sz w:val="18"/>
        </w:rPr>
        <w:t>biologisch</w:t>
      </w:r>
      <w:r>
        <w:rPr>
          <w:rFonts w:ascii="Tahoma" w:hAnsi="Tahoma"/>
          <w:sz w:val="18"/>
        </w:rPr>
        <w:t xml:space="preserve">e Schnelltests, eine Kultur und eine </w:t>
      </w:r>
      <w:r w:rsidR="00252DFE">
        <w:rPr>
          <w:rFonts w:ascii="Tahoma" w:hAnsi="Tahoma"/>
          <w:sz w:val="18"/>
        </w:rPr>
        <w:t xml:space="preserve">Resistenztestung </w:t>
      </w:r>
      <w:r>
        <w:rPr>
          <w:rFonts w:ascii="Tahoma" w:hAnsi="Tahoma"/>
          <w:sz w:val="18"/>
        </w:rPr>
        <w:t>gegen Arzneimittel mit molekular</w:t>
      </w:r>
      <w:r w:rsidR="004B799F">
        <w:rPr>
          <w:rFonts w:ascii="Tahoma" w:hAnsi="Tahoma"/>
          <w:sz w:val="18"/>
        </w:rPr>
        <w:t>biologisch</w:t>
      </w:r>
      <w:r>
        <w:rPr>
          <w:rFonts w:ascii="Tahoma" w:hAnsi="Tahoma"/>
          <w:sz w:val="18"/>
        </w:rPr>
        <w:t>en Schnelltests und kulturbasierten Verfahren an ein qualitätsgesichertes Labor geschickt werden.</w:t>
      </w:r>
    </w:p>
    <w:p w:rsidR="00DA3A70" w:rsidRPr="000D0DB0" w:rsidP="00A82B43" w14:paraId="54734D9A" w14:textId="77777777">
      <w:pPr>
        <w:shd w:val="clear" w:color="auto" w:fill="D9D9D9"/>
        <w:autoSpaceDE w:val="0"/>
        <w:autoSpaceDN w:val="0"/>
        <w:adjustRightInd w:val="0"/>
        <w:spacing w:after="0"/>
        <w:jc w:val="both"/>
        <w:rPr>
          <w:rFonts w:ascii="Tahoma" w:hAnsi="Tahoma" w:cs="Tahoma"/>
          <w:b/>
          <w:bCs/>
          <w:sz w:val="24"/>
          <w:szCs w:val="24"/>
        </w:rPr>
      </w:pPr>
      <w:r>
        <w:rPr>
          <w:rFonts w:ascii="Tahoma" w:hAnsi="Tahoma"/>
          <w:b/>
          <w:sz w:val="24"/>
          <w:shd w:val="clear" w:color="auto" w:fill="D9D9D9"/>
        </w:rPr>
        <w:t>Standard 5</w:t>
      </w:r>
    </w:p>
    <w:p w:rsidR="00DA3A70" w:rsidRPr="004B799F" w:rsidP="0028467E" w14:paraId="6674F5FE" w14:textId="73D15D40">
      <w:pPr>
        <w:spacing w:after="120"/>
        <w:rPr>
          <w:rFonts w:ascii="Tahoma" w:hAnsi="Tahoma"/>
          <w:sz w:val="18"/>
        </w:rPr>
      </w:pPr>
      <w:r>
        <w:rPr>
          <w:rFonts w:ascii="Tahoma" w:hAnsi="Tahoma"/>
          <w:sz w:val="18"/>
        </w:rPr>
        <w:t xml:space="preserve">Die Diagnose </w:t>
      </w:r>
      <w:r w:rsidR="00E33EB8">
        <w:rPr>
          <w:rFonts w:ascii="Tahoma" w:hAnsi="Tahoma"/>
          <w:sz w:val="18"/>
        </w:rPr>
        <w:t xml:space="preserve">einer kulturnegativen pulmonalen </w:t>
      </w:r>
      <w:r>
        <w:rPr>
          <w:rFonts w:ascii="Tahoma" w:hAnsi="Tahoma"/>
          <w:sz w:val="18"/>
        </w:rPr>
        <w:t>Tuberkulose sollte auf folgenden Kriterien beruhen: alle bakteriologischen Tests sind negativ (einschließlich einer direkten Untersuchung von Sputuma</w:t>
      </w:r>
      <w:r w:rsidR="004B799F">
        <w:rPr>
          <w:rFonts w:ascii="Tahoma" w:hAnsi="Tahoma"/>
          <w:sz w:val="18"/>
        </w:rPr>
        <w:t>us</w:t>
      </w:r>
      <w:r>
        <w:rPr>
          <w:rFonts w:ascii="Tahoma" w:hAnsi="Tahoma"/>
          <w:sz w:val="18"/>
        </w:rPr>
        <w:t>strichen, Kulturen und molekular</w:t>
      </w:r>
      <w:r w:rsidR="004B799F">
        <w:rPr>
          <w:rFonts w:ascii="Tahoma" w:hAnsi="Tahoma"/>
          <w:sz w:val="18"/>
        </w:rPr>
        <w:t>biologisch</w:t>
      </w:r>
      <w:r>
        <w:rPr>
          <w:rFonts w:ascii="Tahoma" w:hAnsi="Tahoma"/>
          <w:sz w:val="18"/>
        </w:rPr>
        <w:t xml:space="preserve">en Schnelltests), die Befunde der </w:t>
      </w:r>
      <w:r w:rsidR="00F57F53">
        <w:rPr>
          <w:rFonts w:ascii="Tahoma" w:hAnsi="Tahoma"/>
          <w:sz w:val="18"/>
        </w:rPr>
        <w:t>Thorax-Röntgenuntersuchung</w:t>
      </w:r>
      <w:r>
        <w:rPr>
          <w:rFonts w:ascii="Tahoma" w:hAnsi="Tahoma"/>
          <w:sz w:val="18"/>
        </w:rPr>
        <w:t xml:space="preserve"> sind mit Tuberkulose kompatibel und ein Ansprechen auf eine</w:t>
      </w:r>
      <w:r w:rsidR="002B5EF0">
        <w:rPr>
          <w:rFonts w:ascii="Tahoma" w:hAnsi="Tahoma"/>
          <w:sz w:val="18"/>
        </w:rPr>
        <w:t xml:space="preserve"> probatorische</w:t>
      </w:r>
      <w:r w:rsidR="00ED3CC7">
        <w:rPr>
          <w:rFonts w:ascii="Tahoma" w:hAnsi="Tahoma"/>
          <w:sz w:val="18"/>
        </w:rPr>
        <w:t xml:space="preserve"> Behandlung</w:t>
      </w:r>
      <w:r>
        <w:rPr>
          <w:rFonts w:ascii="Tahoma" w:hAnsi="Tahoma"/>
          <w:sz w:val="18"/>
        </w:rPr>
        <w:t xml:space="preserve"> mit</w:t>
      </w:r>
      <w:r w:rsidR="002B5EF0">
        <w:rPr>
          <w:rFonts w:ascii="Tahoma" w:hAnsi="Tahoma"/>
          <w:sz w:val="18"/>
        </w:rPr>
        <w:t xml:space="preserve"> einem Breitbandantibiotikum</w:t>
      </w:r>
      <w:r>
        <w:rPr>
          <w:rFonts w:ascii="Tahoma" w:hAnsi="Tahoma"/>
          <w:sz w:val="18"/>
        </w:rPr>
        <w:t xml:space="preserve"> </w:t>
      </w:r>
      <w:r w:rsidR="002B5EF0">
        <w:rPr>
          <w:rFonts w:ascii="Tahoma" w:hAnsi="Tahoma"/>
          <w:sz w:val="18"/>
        </w:rPr>
        <w:t>-</w:t>
      </w:r>
      <w:r>
        <w:rPr>
          <w:rFonts w:ascii="Tahoma" w:hAnsi="Tahoma"/>
          <w:sz w:val="18"/>
        </w:rPr>
        <w:t xml:space="preserve"> bleibt aus (Hinweis: da Fluorchinolone gegen den </w:t>
      </w:r>
      <w:r>
        <w:rPr>
          <w:rFonts w:ascii="Tahoma" w:hAnsi="Tahoma"/>
          <w:i/>
          <w:sz w:val="18"/>
        </w:rPr>
        <w:t>M.-tuberculosis-</w:t>
      </w:r>
      <w:r>
        <w:rPr>
          <w:rFonts w:ascii="Tahoma" w:hAnsi="Tahoma"/>
          <w:sz w:val="18"/>
        </w:rPr>
        <w:t xml:space="preserve">Komplex wirksam sind und zu einer vorübergehenden Besserung bei Personen mit Tuberkulose führen können, sollte ihre Anwendung vermieden werden). Bei Personen mit schwerer Erkrankung oder bekannter oder vermuteter Infektion mit dem humanen Immunschwächevirus (HIV) oder mit </w:t>
      </w:r>
      <w:r w:rsidR="000153EC">
        <w:rPr>
          <w:rFonts w:ascii="Tahoma" w:hAnsi="Tahoma"/>
          <w:sz w:val="18"/>
        </w:rPr>
        <w:t xml:space="preserve">anderweitiger Immunsuppression </w:t>
      </w:r>
      <w:r>
        <w:rPr>
          <w:rFonts w:ascii="Tahoma" w:hAnsi="Tahoma"/>
          <w:sz w:val="18"/>
        </w:rPr>
        <w:t xml:space="preserve">sollte die </w:t>
      </w:r>
      <w:r w:rsidR="000153EC">
        <w:rPr>
          <w:rFonts w:ascii="Tahoma" w:hAnsi="Tahoma"/>
          <w:sz w:val="18"/>
        </w:rPr>
        <w:t>Diagnostik</w:t>
      </w:r>
      <w:r>
        <w:rPr>
          <w:rFonts w:ascii="Tahoma" w:hAnsi="Tahoma"/>
          <w:sz w:val="18"/>
        </w:rPr>
        <w:t xml:space="preserve"> beschleunigt werden und, wenn </w:t>
      </w:r>
      <w:r w:rsidR="002B5EF0">
        <w:rPr>
          <w:rFonts w:ascii="Tahoma" w:hAnsi="Tahoma"/>
          <w:sz w:val="18"/>
        </w:rPr>
        <w:t xml:space="preserve">die </w:t>
      </w:r>
      <w:r>
        <w:rPr>
          <w:rFonts w:ascii="Tahoma" w:hAnsi="Tahoma"/>
          <w:sz w:val="18"/>
        </w:rPr>
        <w:t>klinische</w:t>
      </w:r>
      <w:r w:rsidR="002B5EF0">
        <w:rPr>
          <w:rFonts w:ascii="Tahoma" w:hAnsi="Tahoma"/>
          <w:sz w:val="18"/>
        </w:rPr>
        <w:t>n Befunde</w:t>
      </w:r>
      <w:r>
        <w:rPr>
          <w:rFonts w:ascii="Tahoma" w:hAnsi="Tahoma"/>
          <w:sz w:val="18"/>
        </w:rPr>
        <w:t xml:space="preserve"> auf Tuberkulose hindeute</w:t>
      </w:r>
      <w:r w:rsidR="000153EC">
        <w:rPr>
          <w:rFonts w:ascii="Tahoma" w:hAnsi="Tahoma"/>
          <w:sz w:val="18"/>
        </w:rPr>
        <w:t>n</w:t>
      </w:r>
      <w:r>
        <w:rPr>
          <w:rFonts w:ascii="Tahoma" w:hAnsi="Tahoma"/>
          <w:sz w:val="18"/>
        </w:rPr>
        <w:t xml:space="preserve">, eine Behandlung gegen Tuberkulose eingeleitet werden. </w:t>
      </w:r>
    </w:p>
    <w:p w:rsidR="00E23086" w:rsidRPr="000D0DB0" w:rsidP="00554AB0" w14:paraId="300E0471" w14:textId="77777777">
      <w:pPr>
        <w:pStyle w:val="EC-Title-6"/>
        <w:pageBreakBefore/>
      </w:pPr>
      <w:r>
        <w:t>EU-spezifische Anforderungen</w:t>
      </w:r>
    </w:p>
    <w:p w:rsidR="00DA3A70" w:rsidRPr="000D0DB0" w:rsidP="0028467E" w14:paraId="24CD1D7F" w14:textId="5FAD11B0">
      <w:pPr>
        <w:spacing w:after="120"/>
        <w:rPr>
          <w:rFonts w:ascii="Tahoma" w:hAnsi="Tahoma" w:cs="Tahoma"/>
          <w:sz w:val="18"/>
          <w:szCs w:val="18"/>
        </w:rPr>
      </w:pPr>
      <w:r>
        <w:rPr>
          <w:rFonts w:ascii="Tahoma" w:hAnsi="Tahoma"/>
          <w:sz w:val="18"/>
        </w:rPr>
        <w:t xml:space="preserve">Um eine </w:t>
      </w:r>
      <w:r w:rsidR="000153EC">
        <w:rPr>
          <w:rFonts w:ascii="Tahoma" w:hAnsi="Tahoma"/>
          <w:sz w:val="18"/>
        </w:rPr>
        <w:t xml:space="preserve">qualitativ </w:t>
      </w:r>
      <w:r>
        <w:rPr>
          <w:rFonts w:ascii="Tahoma" w:hAnsi="Tahoma"/>
          <w:sz w:val="18"/>
        </w:rPr>
        <w:t xml:space="preserve">hochwertige Diagnose von sowohl pulmonaler als auch extrapulmonaler Tuberkulose sicherzustellen, müssen </w:t>
      </w:r>
      <w:r w:rsidR="002534DD">
        <w:rPr>
          <w:rFonts w:ascii="Tahoma" w:hAnsi="Tahoma"/>
          <w:sz w:val="18"/>
        </w:rPr>
        <w:t xml:space="preserve">geeignete </w:t>
      </w:r>
      <w:r>
        <w:rPr>
          <w:rFonts w:ascii="Tahoma" w:hAnsi="Tahoma"/>
          <w:sz w:val="18"/>
        </w:rPr>
        <w:t xml:space="preserve">Proben für die bakteriologische Untersuchung gewonnen werden. Sputum-Induktion, Bronchoskopie und bronchoalveoläre Lavage, Magenspülung, Biopsie oder Feinnadelaspiration sollten, wenn angemessen, </w:t>
      </w:r>
      <w:r w:rsidR="000153EC">
        <w:rPr>
          <w:rFonts w:ascii="Tahoma" w:hAnsi="Tahoma"/>
          <w:sz w:val="18"/>
        </w:rPr>
        <w:t>angewendet werden</w:t>
      </w:r>
      <w:r>
        <w:rPr>
          <w:rFonts w:ascii="Tahoma" w:hAnsi="Tahoma"/>
          <w:sz w:val="18"/>
        </w:rPr>
        <w:t xml:space="preserve"> [1]. Die Proben sollten unter Verwendung verfügbarer </w:t>
      </w:r>
      <w:r w:rsidR="004B799F">
        <w:rPr>
          <w:rFonts w:ascii="Tahoma" w:hAnsi="Tahoma"/>
          <w:sz w:val="18"/>
        </w:rPr>
        <w:t xml:space="preserve">diagnostischer </w:t>
      </w:r>
      <w:r w:rsidR="004B3425">
        <w:rPr>
          <w:rFonts w:ascii="Tahoma" w:hAnsi="Tahoma"/>
          <w:sz w:val="18"/>
        </w:rPr>
        <w:t>Testverfahren</w:t>
      </w:r>
      <w:r w:rsidR="004B799F">
        <w:rPr>
          <w:rFonts w:ascii="Tahoma" w:hAnsi="Tahoma"/>
          <w:sz w:val="18"/>
        </w:rPr>
        <w:t xml:space="preserve"> </w:t>
      </w:r>
      <w:r>
        <w:rPr>
          <w:rFonts w:ascii="Tahoma" w:hAnsi="Tahoma"/>
          <w:sz w:val="18"/>
        </w:rPr>
        <w:t xml:space="preserve">[2] bearbeitet werden und durch bildgebende Verfahren (Radiologie, Ultraschall, Computertomografie, Magnetresonanztomografie, Positronen-Emissions-Tomografie) und andere erforderliche Untersuchungen, die gemäß den evidenzbasierten Richtlinien durchgeführt werden, ergänzt werden [2-4]. </w:t>
      </w:r>
    </w:p>
    <w:p w:rsidR="00DA3A70" w:rsidRPr="000D0DB0" w:rsidP="0028467E" w14:paraId="6BF15EAF" w14:textId="184C72BD">
      <w:pPr>
        <w:spacing w:after="120"/>
        <w:rPr>
          <w:rFonts w:ascii="Tahoma" w:hAnsi="Tahoma" w:cs="Tahoma"/>
          <w:sz w:val="18"/>
          <w:szCs w:val="18"/>
        </w:rPr>
      </w:pPr>
      <w:r>
        <w:rPr>
          <w:rFonts w:ascii="Tahoma" w:hAnsi="Tahoma"/>
          <w:sz w:val="18"/>
        </w:rPr>
        <w:t>Von der WHO empfohlene molekular</w:t>
      </w:r>
      <w:r w:rsidR="0096551B">
        <w:rPr>
          <w:rFonts w:ascii="Tahoma" w:hAnsi="Tahoma"/>
          <w:sz w:val="18"/>
        </w:rPr>
        <w:t>biologisch</w:t>
      </w:r>
      <w:r>
        <w:rPr>
          <w:rFonts w:ascii="Tahoma" w:hAnsi="Tahoma"/>
          <w:sz w:val="18"/>
        </w:rPr>
        <w:t xml:space="preserve">e Schnelltests [5], Kulturen und </w:t>
      </w:r>
      <w:r w:rsidR="00252DFE">
        <w:rPr>
          <w:rFonts w:ascii="Tahoma" w:hAnsi="Tahoma"/>
          <w:sz w:val="18"/>
        </w:rPr>
        <w:t xml:space="preserve">Resistenztestungen </w:t>
      </w:r>
      <w:r>
        <w:rPr>
          <w:rFonts w:ascii="Tahoma" w:hAnsi="Tahoma"/>
          <w:sz w:val="18"/>
        </w:rPr>
        <w:t xml:space="preserve">gegen Arzneimittel sollten bei allen Proben von Patienten mit Verdacht auf pulmonale und extrapulmonale Tuberkulose durchgeführt werden, einschließlich </w:t>
      </w:r>
      <w:r w:rsidR="004B3425">
        <w:rPr>
          <w:rFonts w:ascii="Tahoma" w:hAnsi="Tahoma"/>
          <w:sz w:val="18"/>
        </w:rPr>
        <w:t xml:space="preserve">der </w:t>
      </w:r>
      <w:r>
        <w:rPr>
          <w:rFonts w:ascii="Tahoma" w:hAnsi="Tahoma"/>
          <w:sz w:val="18"/>
        </w:rPr>
        <w:t xml:space="preserve">Proben, die während Operationen oder bei anderen invasiven Verfahren </w:t>
      </w:r>
      <w:r w:rsidR="004B3425">
        <w:rPr>
          <w:rFonts w:ascii="Tahoma" w:hAnsi="Tahoma"/>
          <w:sz w:val="18"/>
        </w:rPr>
        <w:t>für</w:t>
      </w:r>
      <w:r w:rsidRPr="004B3425" w:rsidR="004B3425">
        <w:rPr>
          <w:rFonts w:ascii="Tahoma" w:hAnsi="Tahoma"/>
          <w:sz w:val="18"/>
        </w:rPr>
        <w:t xml:space="preserve"> </w:t>
      </w:r>
      <w:r w:rsidR="004B3425">
        <w:rPr>
          <w:rFonts w:ascii="Tahoma" w:hAnsi="Tahoma"/>
          <w:sz w:val="18"/>
        </w:rPr>
        <w:t xml:space="preserve">histologische Untersuchungen </w:t>
      </w:r>
      <w:r>
        <w:rPr>
          <w:rFonts w:ascii="Tahoma" w:hAnsi="Tahoma"/>
          <w:sz w:val="18"/>
        </w:rPr>
        <w:t xml:space="preserve">entnommen wurden. Chirurgen sollten daher angewiesen werden, </w:t>
      </w:r>
      <w:r w:rsidR="000153EC">
        <w:rPr>
          <w:rFonts w:ascii="Tahoma" w:hAnsi="Tahoma"/>
          <w:sz w:val="18"/>
        </w:rPr>
        <w:t xml:space="preserve">Gewebeproben </w:t>
      </w:r>
      <w:r w:rsidR="003C083A">
        <w:rPr>
          <w:rFonts w:ascii="Tahoma" w:hAnsi="Tahoma"/>
          <w:sz w:val="18"/>
        </w:rPr>
        <w:t xml:space="preserve">sowohl </w:t>
      </w:r>
      <w:r>
        <w:rPr>
          <w:rFonts w:ascii="Tahoma" w:hAnsi="Tahoma"/>
          <w:sz w:val="18"/>
        </w:rPr>
        <w:t xml:space="preserve">in isotonischer Kochsalzlösung für mikrobiologische und molekularbiologische Untersuchungen </w:t>
      </w:r>
      <w:r w:rsidR="003C083A">
        <w:rPr>
          <w:rFonts w:ascii="Tahoma" w:hAnsi="Tahoma"/>
          <w:sz w:val="18"/>
        </w:rPr>
        <w:t xml:space="preserve">als auch </w:t>
      </w:r>
      <w:r>
        <w:rPr>
          <w:rFonts w:ascii="Tahoma" w:hAnsi="Tahoma"/>
          <w:sz w:val="18"/>
        </w:rPr>
        <w:t>in Formalin für histopathologische Untersuchungen aufzubewahren.</w:t>
      </w:r>
    </w:p>
    <w:p w:rsidR="00DA3A70" w:rsidRPr="000D0DB0" w:rsidP="008A39C9" w14:paraId="25CA5FB4" w14:textId="77777777">
      <w:pPr>
        <w:shd w:val="clear" w:color="auto" w:fill="D9D9D9"/>
        <w:autoSpaceDE w:val="0"/>
        <w:autoSpaceDN w:val="0"/>
        <w:adjustRightInd w:val="0"/>
        <w:spacing w:after="0"/>
        <w:jc w:val="both"/>
        <w:rPr>
          <w:rFonts w:ascii="Tahoma" w:hAnsi="Tahoma" w:cs="Tahoma"/>
          <w:sz w:val="24"/>
          <w:szCs w:val="24"/>
        </w:rPr>
      </w:pPr>
      <w:r>
        <w:rPr>
          <w:rFonts w:ascii="Tahoma" w:hAnsi="Tahoma"/>
          <w:b/>
          <w:sz w:val="24"/>
        </w:rPr>
        <w:t>Standard 6</w:t>
      </w:r>
    </w:p>
    <w:p w:rsidR="00D830C5" w:rsidRPr="0028467E" w:rsidP="000D0DB0" w14:paraId="5FC6473E" w14:textId="5FD70B42">
      <w:pPr>
        <w:spacing w:after="120"/>
        <w:rPr>
          <w:rFonts w:ascii="Tahoma" w:hAnsi="Tahoma" w:cs="Tahoma"/>
          <w:spacing w:val="-4"/>
          <w:sz w:val="18"/>
          <w:szCs w:val="18"/>
        </w:rPr>
      </w:pPr>
      <w:r>
        <w:rPr>
          <w:rFonts w:ascii="Tahoma" w:hAnsi="Tahoma"/>
          <w:spacing w:val="-4"/>
          <w:sz w:val="18"/>
        </w:rPr>
        <w:t>Bei allen Kindern mit Verdacht auf intrathorakale Tuberkulose (d. h. pulmonale, pleurale und mediastinale oder hiläre Lymphknoten</w:t>
      </w:r>
      <w:r w:rsidR="007E12F8">
        <w:rPr>
          <w:rFonts w:ascii="Tahoma" w:hAnsi="Tahoma"/>
          <w:spacing w:val="-4"/>
          <w:sz w:val="18"/>
        </w:rPr>
        <w:t>tuberkulose</w:t>
      </w:r>
      <w:r>
        <w:rPr>
          <w:rFonts w:ascii="Tahoma" w:hAnsi="Tahoma"/>
          <w:spacing w:val="-4"/>
          <w:sz w:val="18"/>
        </w:rPr>
        <w:t xml:space="preserve">) sollte eine bakteriologische Bestätigung mithilfe der Untersuchung der entsprechenden biologischen Proben (durch expektoriertes oder induziertes Sputum, Bronchialsekret, Pleuraflüssigkeit, Magenspülung oder </w:t>
      </w:r>
      <w:r w:rsidR="004B3425">
        <w:rPr>
          <w:rFonts w:ascii="Tahoma" w:hAnsi="Tahoma"/>
          <w:spacing w:val="-4"/>
          <w:sz w:val="18"/>
        </w:rPr>
        <w:t xml:space="preserve">ultraschallgestützte </w:t>
      </w:r>
      <w:r>
        <w:rPr>
          <w:rFonts w:ascii="Tahoma" w:hAnsi="Tahoma"/>
          <w:spacing w:val="-4"/>
          <w:sz w:val="18"/>
        </w:rPr>
        <w:t>endoskopische Biopsie) durch A</w:t>
      </w:r>
      <w:r w:rsidR="004B3425">
        <w:rPr>
          <w:rFonts w:ascii="Tahoma" w:hAnsi="Tahoma"/>
          <w:spacing w:val="-4"/>
          <w:sz w:val="18"/>
        </w:rPr>
        <w:t>us</w:t>
      </w:r>
      <w:r>
        <w:rPr>
          <w:rFonts w:ascii="Tahoma" w:hAnsi="Tahoma"/>
          <w:spacing w:val="-4"/>
          <w:sz w:val="18"/>
        </w:rPr>
        <w:t>strichmikroskopie, molekular</w:t>
      </w:r>
      <w:r w:rsidR="00AE4BA0">
        <w:rPr>
          <w:rFonts w:ascii="Tahoma" w:hAnsi="Tahoma"/>
          <w:spacing w:val="-4"/>
          <w:sz w:val="18"/>
        </w:rPr>
        <w:t>biologisch</w:t>
      </w:r>
      <w:r>
        <w:rPr>
          <w:rFonts w:ascii="Tahoma" w:hAnsi="Tahoma"/>
          <w:spacing w:val="-4"/>
          <w:sz w:val="18"/>
        </w:rPr>
        <w:t xml:space="preserve">e Schnelltests, Identifikation der Spezies und </w:t>
      </w:r>
      <w:r w:rsidR="00252DFE">
        <w:rPr>
          <w:rFonts w:ascii="Tahoma" w:hAnsi="Tahoma"/>
          <w:spacing w:val="-4"/>
          <w:sz w:val="18"/>
        </w:rPr>
        <w:t xml:space="preserve">Resistenztestung </w:t>
      </w:r>
      <w:r>
        <w:rPr>
          <w:rFonts w:ascii="Tahoma" w:hAnsi="Tahoma"/>
          <w:spacing w:val="-4"/>
          <w:sz w:val="18"/>
        </w:rPr>
        <w:t>gegen Arzneimittel mit kulturbasierten Verfahren in einem qualitätsgesicherten Labor angestrebt werden</w:t>
      </w:r>
      <w:r w:rsidR="007E12F8">
        <w:rPr>
          <w:rFonts w:ascii="Tahoma" w:hAnsi="Tahoma"/>
          <w:spacing w:val="-4"/>
          <w:sz w:val="18"/>
        </w:rPr>
        <w:t xml:space="preserve"> </w:t>
      </w:r>
      <w:r>
        <w:rPr>
          <w:rFonts w:ascii="Tahoma" w:hAnsi="Tahoma"/>
          <w:spacing w:val="-4"/>
          <w:sz w:val="18"/>
        </w:rPr>
        <w:t xml:space="preserve">[3, 5-9]. Im Falle negativer bakteriologischer Ergebnisse sollte eine Tuberkulosediagnose auf </w:t>
      </w:r>
      <w:r w:rsidR="003C083A">
        <w:rPr>
          <w:rFonts w:ascii="Tahoma" w:hAnsi="Tahoma"/>
          <w:spacing w:val="-4"/>
          <w:sz w:val="18"/>
        </w:rPr>
        <w:t xml:space="preserve">tuberkulosespezifischen Auffälligkeiten </w:t>
      </w:r>
      <w:r w:rsidR="007E12F8">
        <w:rPr>
          <w:rFonts w:ascii="Tahoma" w:hAnsi="Tahoma"/>
          <w:spacing w:val="-4"/>
          <w:sz w:val="18"/>
        </w:rPr>
        <w:t>in der</w:t>
      </w:r>
      <w:r w:rsidR="00C55457">
        <w:rPr>
          <w:rFonts w:ascii="Tahoma" w:hAnsi="Tahoma"/>
          <w:spacing w:val="-4"/>
          <w:sz w:val="18"/>
        </w:rPr>
        <w:t xml:space="preserve"> Thorax-Röntgenuntersuchung </w:t>
      </w:r>
      <w:r>
        <w:rPr>
          <w:rFonts w:ascii="Tahoma" w:hAnsi="Tahoma"/>
          <w:spacing w:val="-4"/>
          <w:sz w:val="18"/>
        </w:rPr>
        <w:t xml:space="preserve">oder anderen bildgebenden Verfahren, einer Exposition gegenüber einem </w:t>
      </w:r>
      <w:r w:rsidR="007E12F8">
        <w:rPr>
          <w:rFonts w:ascii="Tahoma" w:hAnsi="Tahoma"/>
          <w:spacing w:val="-4"/>
          <w:sz w:val="18"/>
        </w:rPr>
        <w:t>infektiösen Indexfall</w:t>
      </w:r>
      <w:r>
        <w:rPr>
          <w:rFonts w:ascii="Tahoma" w:hAnsi="Tahoma"/>
          <w:spacing w:val="-4"/>
          <w:sz w:val="18"/>
        </w:rPr>
        <w:t xml:space="preserve">, Evidenz einer Tuberkuloseinfektion (positiver Tuberkulin-Hauttest und/oder ein positiver Interferon-Gamma-Release-Assay [IGRA]) [5, 10-13] und/oder klinischen Befunden, die auf Tuberkulose hinweisen, </w:t>
      </w:r>
      <w:r w:rsidR="003C083A">
        <w:rPr>
          <w:rFonts w:ascii="Tahoma" w:hAnsi="Tahoma"/>
          <w:spacing w:val="-4"/>
          <w:sz w:val="18"/>
        </w:rPr>
        <w:t xml:space="preserve">beruhen </w:t>
      </w:r>
      <w:r>
        <w:rPr>
          <w:rFonts w:ascii="Tahoma" w:hAnsi="Tahoma"/>
          <w:spacing w:val="-4"/>
          <w:sz w:val="18"/>
        </w:rPr>
        <w:t xml:space="preserve">[3]. </w:t>
      </w:r>
      <w:r w:rsidR="004B3425">
        <w:rPr>
          <w:rFonts w:ascii="Tahoma" w:hAnsi="Tahoma"/>
          <w:spacing w:val="-4"/>
          <w:sz w:val="18"/>
        </w:rPr>
        <w:t xml:space="preserve">Bei </w:t>
      </w:r>
      <w:r>
        <w:rPr>
          <w:rFonts w:ascii="Tahoma" w:hAnsi="Tahoma"/>
          <w:spacing w:val="-4"/>
          <w:sz w:val="18"/>
        </w:rPr>
        <w:t xml:space="preserve">Kindern mit Verdacht auf extrapulmonale Tuberkulose sollten entsprechende Proben von den </w:t>
      </w:r>
      <w:r w:rsidR="007E12F8">
        <w:rPr>
          <w:rFonts w:ascii="Tahoma" w:hAnsi="Tahoma"/>
          <w:spacing w:val="-4"/>
          <w:sz w:val="18"/>
        </w:rPr>
        <w:t>entsprechenden Lokalisationen</w:t>
      </w:r>
      <w:r>
        <w:rPr>
          <w:rFonts w:ascii="Tahoma" w:hAnsi="Tahoma"/>
          <w:spacing w:val="-4"/>
          <w:sz w:val="18"/>
        </w:rPr>
        <w:t xml:space="preserve"> für eine Mikroskopie, die empfohlenen molekular</w:t>
      </w:r>
      <w:r w:rsidR="004B3425">
        <w:rPr>
          <w:rFonts w:ascii="Tahoma" w:hAnsi="Tahoma"/>
          <w:spacing w:val="-4"/>
          <w:sz w:val="18"/>
        </w:rPr>
        <w:t>biologisch</w:t>
      </w:r>
      <w:r>
        <w:rPr>
          <w:rFonts w:ascii="Tahoma" w:hAnsi="Tahoma"/>
          <w:spacing w:val="-4"/>
          <w:sz w:val="18"/>
        </w:rPr>
        <w:t xml:space="preserve">en Schnelltests, die Identifikation der Spezies und </w:t>
      </w:r>
      <w:r w:rsidR="00252DFE">
        <w:rPr>
          <w:rFonts w:ascii="Tahoma" w:hAnsi="Tahoma"/>
          <w:spacing w:val="-4"/>
          <w:sz w:val="18"/>
        </w:rPr>
        <w:t xml:space="preserve">Resistenztestungen </w:t>
      </w:r>
      <w:r>
        <w:rPr>
          <w:rFonts w:ascii="Tahoma" w:hAnsi="Tahoma"/>
          <w:spacing w:val="-4"/>
          <w:sz w:val="18"/>
        </w:rPr>
        <w:t>gegen Arzneimittel mit kulturbasierten Verfahren sowie zur histopathologischen Untersuchung entnommen werden [5,</w:t>
      </w:r>
      <w:r w:rsidR="00C55457">
        <w:rPr>
          <w:rFonts w:ascii="Tahoma" w:hAnsi="Tahoma"/>
          <w:spacing w:val="-4"/>
          <w:sz w:val="18"/>
        </w:rPr>
        <w:t xml:space="preserve"> </w:t>
      </w:r>
      <w:r>
        <w:rPr>
          <w:rFonts w:ascii="Tahoma" w:hAnsi="Tahoma"/>
          <w:spacing w:val="-4"/>
          <w:sz w:val="18"/>
        </w:rPr>
        <w:t xml:space="preserve">14, 15]. </w:t>
      </w:r>
    </w:p>
    <w:p w:rsidR="00D830C5" w:rsidRPr="005C16A7" w:rsidP="0028467E" w14:paraId="54A800F8" w14:textId="77777777">
      <w:pPr>
        <w:pStyle w:val="EC-Title-5"/>
        <w:spacing w:before="120" w:after="240"/>
      </w:pPr>
      <w:r>
        <w:t>Standards für die Tuberkulosebehandlung</w:t>
      </w:r>
    </w:p>
    <w:p w:rsidR="00DA3A70" w:rsidRPr="000D0DB0" w:rsidP="00A82B43" w14:paraId="4C3A1611" w14:textId="77777777">
      <w:pPr>
        <w:shd w:val="clear" w:color="auto" w:fill="D9D9D9"/>
        <w:autoSpaceDE w:val="0"/>
        <w:autoSpaceDN w:val="0"/>
        <w:adjustRightInd w:val="0"/>
        <w:spacing w:after="0"/>
        <w:jc w:val="both"/>
        <w:rPr>
          <w:rFonts w:ascii="Tahoma" w:hAnsi="Tahoma" w:cs="Tahoma"/>
          <w:b/>
          <w:bCs/>
          <w:i/>
          <w:sz w:val="24"/>
          <w:szCs w:val="24"/>
        </w:rPr>
      </w:pPr>
      <w:r>
        <w:rPr>
          <w:rFonts w:ascii="Tahoma" w:hAnsi="Tahoma"/>
          <w:b/>
          <w:sz w:val="24"/>
        </w:rPr>
        <w:t>Standard 7</w:t>
      </w:r>
    </w:p>
    <w:p w:rsidR="00DA3A70" w:rsidRPr="000D0DB0" w:rsidP="0028467E" w14:paraId="6B6D5A32" w14:textId="6B38436E">
      <w:pPr>
        <w:spacing w:after="120"/>
        <w:rPr>
          <w:rFonts w:ascii="Tahoma" w:hAnsi="Tahoma" w:cs="Tahoma"/>
          <w:sz w:val="18"/>
          <w:szCs w:val="18"/>
        </w:rPr>
      </w:pPr>
      <w:r>
        <w:rPr>
          <w:rFonts w:ascii="Tahoma" w:hAnsi="Tahoma"/>
          <w:sz w:val="18"/>
        </w:rPr>
        <w:t xml:space="preserve">Jeder Arzt, der einen Patienten </w:t>
      </w:r>
      <w:r w:rsidR="008319FE">
        <w:rPr>
          <w:rFonts w:ascii="Tahoma" w:hAnsi="Tahoma"/>
          <w:sz w:val="18"/>
        </w:rPr>
        <w:t>mit</w:t>
      </w:r>
      <w:r>
        <w:rPr>
          <w:rFonts w:ascii="Tahoma" w:hAnsi="Tahoma"/>
          <w:sz w:val="18"/>
        </w:rPr>
        <w:t xml:space="preserve"> Tuberkulose behandelt, übernimmt eine wichtige Verantwortung für die öffentliche Gesundheit, um eine </w:t>
      </w:r>
      <w:r w:rsidR="004B3425">
        <w:rPr>
          <w:rFonts w:ascii="Tahoma" w:hAnsi="Tahoma"/>
          <w:sz w:val="18"/>
        </w:rPr>
        <w:t xml:space="preserve">weitere </w:t>
      </w:r>
      <w:r>
        <w:rPr>
          <w:rFonts w:ascii="Tahoma" w:hAnsi="Tahoma"/>
          <w:sz w:val="18"/>
        </w:rPr>
        <w:t xml:space="preserve">Übertragung der Infektion und die Entwicklung von Arzneimittelresistenzen zu verhindern. Um dieser Verantwortung gerecht zu werden, muss der Arzt in Kooperation mit den Behörden </w:t>
      </w:r>
      <w:r w:rsidR="004B3425">
        <w:rPr>
          <w:rFonts w:ascii="Tahoma" w:hAnsi="Tahoma"/>
          <w:sz w:val="18"/>
        </w:rPr>
        <w:t xml:space="preserve">des öffentlichen Gesundheitsdienstes </w:t>
      </w:r>
      <w:r>
        <w:rPr>
          <w:rFonts w:ascii="Tahoma" w:hAnsi="Tahoma"/>
          <w:sz w:val="18"/>
        </w:rPr>
        <w:t xml:space="preserve">Folgendes leisten: 1) ein </w:t>
      </w:r>
      <w:r w:rsidR="003C083A">
        <w:rPr>
          <w:rFonts w:ascii="Tahoma" w:hAnsi="Tahoma"/>
          <w:sz w:val="18"/>
        </w:rPr>
        <w:t xml:space="preserve">wirksames </w:t>
      </w:r>
      <w:r>
        <w:rPr>
          <w:rFonts w:ascii="Tahoma" w:hAnsi="Tahoma"/>
          <w:sz w:val="18"/>
        </w:rPr>
        <w:t xml:space="preserve">Regime verschreiben (geleitet durch </w:t>
      </w:r>
      <w:r w:rsidR="000A2C31">
        <w:rPr>
          <w:rFonts w:ascii="Tahoma" w:hAnsi="Tahoma"/>
          <w:sz w:val="18"/>
        </w:rPr>
        <w:t>die Ergebnisse der g</w:t>
      </w:r>
      <w:r>
        <w:rPr>
          <w:rFonts w:ascii="Tahoma" w:hAnsi="Tahoma"/>
          <w:sz w:val="18"/>
        </w:rPr>
        <w:t>enotyp</w:t>
      </w:r>
      <w:r w:rsidR="000A2C31">
        <w:rPr>
          <w:rFonts w:ascii="Tahoma" w:hAnsi="Tahoma"/>
          <w:sz w:val="18"/>
        </w:rPr>
        <w:t>ischen</w:t>
      </w:r>
      <w:r>
        <w:rPr>
          <w:rFonts w:ascii="Tahoma" w:hAnsi="Tahoma"/>
          <w:sz w:val="18"/>
        </w:rPr>
        <w:t xml:space="preserve"> und/oder </w:t>
      </w:r>
      <w:r w:rsidR="000A2C31">
        <w:rPr>
          <w:rFonts w:ascii="Tahoma" w:hAnsi="Tahoma"/>
          <w:sz w:val="18"/>
        </w:rPr>
        <w:t>p</w:t>
      </w:r>
      <w:r>
        <w:rPr>
          <w:rFonts w:ascii="Tahoma" w:hAnsi="Tahoma"/>
          <w:sz w:val="18"/>
        </w:rPr>
        <w:t>hänotyp</w:t>
      </w:r>
      <w:r w:rsidR="000A2C31">
        <w:rPr>
          <w:rFonts w:ascii="Tahoma" w:hAnsi="Tahoma"/>
          <w:sz w:val="18"/>
        </w:rPr>
        <w:t>ischen</w:t>
      </w:r>
      <w:r>
        <w:rPr>
          <w:rFonts w:ascii="Tahoma" w:hAnsi="Tahoma"/>
          <w:sz w:val="18"/>
        </w:rPr>
        <w:t xml:space="preserve"> </w:t>
      </w:r>
      <w:r w:rsidR="003C083A">
        <w:rPr>
          <w:rFonts w:ascii="Tahoma" w:hAnsi="Tahoma"/>
          <w:sz w:val="18"/>
        </w:rPr>
        <w:t>Resistenztestung</w:t>
      </w:r>
      <w:r>
        <w:rPr>
          <w:rFonts w:ascii="Tahoma" w:hAnsi="Tahoma"/>
          <w:sz w:val="18"/>
        </w:rPr>
        <w:t>), 2) Um</w:t>
      </w:r>
      <w:r w:rsidR="008319FE">
        <w:rPr>
          <w:rFonts w:ascii="Tahoma" w:hAnsi="Tahoma"/>
          <w:sz w:val="18"/>
        </w:rPr>
        <w:t>gebungs</w:t>
      </w:r>
      <w:r>
        <w:rPr>
          <w:rFonts w:ascii="Tahoma" w:hAnsi="Tahoma"/>
          <w:sz w:val="18"/>
        </w:rPr>
        <w:t>untersuchungen (</w:t>
      </w:r>
      <w:r w:rsidR="00E26B34">
        <w:rPr>
          <w:rFonts w:ascii="Tahoma" w:hAnsi="Tahoma"/>
          <w:sz w:val="18"/>
        </w:rPr>
        <w:t>Kontaktpersonennachverfolgung</w:t>
      </w:r>
      <w:r>
        <w:rPr>
          <w:rFonts w:ascii="Tahoma" w:hAnsi="Tahoma"/>
          <w:sz w:val="18"/>
        </w:rPr>
        <w:t xml:space="preserve">) vornehmen, 3) die </w:t>
      </w:r>
      <w:r w:rsidR="00E26B34">
        <w:rPr>
          <w:rFonts w:ascii="Tahoma" w:hAnsi="Tahoma"/>
          <w:sz w:val="18"/>
        </w:rPr>
        <w:t xml:space="preserve">Therapieadhärenz </w:t>
      </w:r>
      <w:r>
        <w:rPr>
          <w:rFonts w:ascii="Tahoma" w:hAnsi="Tahoma"/>
          <w:sz w:val="18"/>
        </w:rPr>
        <w:t xml:space="preserve">des Patienten beurteilen und fördern, indem ein auf den Patienten zugeschnittener Ansatz in Zusammenarbeit mit den Familienmitgliedern, </w:t>
      </w:r>
      <w:r w:rsidR="003C083A">
        <w:rPr>
          <w:rFonts w:ascii="Tahoma" w:hAnsi="Tahoma"/>
          <w:sz w:val="18"/>
        </w:rPr>
        <w:t xml:space="preserve">des sozialen Umfeldes </w:t>
      </w:r>
      <w:r>
        <w:rPr>
          <w:rFonts w:ascii="Tahoma" w:hAnsi="Tahoma"/>
          <w:sz w:val="18"/>
        </w:rPr>
        <w:t xml:space="preserve">und/oder den Gesundheitsdienstleistern der Gemeinde sowie Organisationen der Zivilgesellschaft angewendet wird, und 4) die Behandlungsergebnisse überwachen [2, 16, 17]. </w:t>
      </w:r>
    </w:p>
    <w:p w:rsidR="00DA3A70" w:rsidRPr="000D0DB0" w:rsidP="00A82B43" w14:paraId="5D2A3011" w14:textId="77777777">
      <w:pPr>
        <w:shd w:val="clear" w:color="auto" w:fill="D9D9D9"/>
        <w:autoSpaceDE w:val="0"/>
        <w:autoSpaceDN w:val="0"/>
        <w:adjustRightInd w:val="0"/>
        <w:spacing w:after="0"/>
        <w:jc w:val="both"/>
        <w:rPr>
          <w:rFonts w:ascii="Tahoma" w:hAnsi="Tahoma" w:cs="Tahoma"/>
          <w:b/>
          <w:bCs/>
          <w:sz w:val="24"/>
          <w:szCs w:val="24"/>
        </w:rPr>
      </w:pPr>
      <w:r>
        <w:rPr>
          <w:rFonts w:ascii="Tahoma" w:hAnsi="Tahoma"/>
          <w:b/>
          <w:sz w:val="24"/>
          <w:shd w:val="clear" w:color="auto" w:fill="D9D9D9"/>
        </w:rPr>
        <w:t>Standard 8</w:t>
      </w:r>
    </w:p>
    <w:p w:rsidR="00DA3A70" w:rsidRPr="000D0DB0" w:rsidP="0028467E" w14:paraId="3682D86A" w14:textId="1E97050E">
      <w:pPr>
        <w:spacing w:after="120"/>
        <w:rPr>
          <w:rFonts w:ascii="Tahoma" w:hAnsi="Tahoma" w:cs="Tahoma"/>
          <w:sz w:val="18"/>
          <w:szCs w:val="18"/>
        </w:rPr>
      </w:pPr>
      <w:r>
        <w:rPr>
          <w:rFonts w:ascii="Tahoma" w:hAnsi="Tahoma"/>
          <w:sz w:val="18"/>
        </w:rPr>
        <w:t xml:space="preserve">Alle Patienten (einschließlich jener mit HIV-Koinfektion), die zuvor nicht behandelt wurden und keine Arzneimittelresistenz aufweisen (beurteilt anhand entsprechender Tests), sollten eine international anerkannte </w:t>
      </w:r>
      <w:r w:rsidR="008319FE">
        <w:rPr>
          <w:rFonts w:ascii="Tahoma" w:hAnsi="Tahoma"/>
          <w:sz w:val="18"/>
        </w:rPr>
        <w:t xml:space="preserve">Standardtherapie </w:t>
      </w:r>
      <w:r>
        <w:rPr>
          <w:rFonts w:ascii="Tahoma" w:hAnsi="Tahoma"/>
          <w:sz w:val="18"/>
        </w:rPr>
        <w:t xml:space="preserve">mit Arzneimitteln von bekannter Bioverfügbarkeit erhalten. Die </w:t>
      </w:r>
      <w:r w:rsidR="00407FFD">
        <w:rPr>
          <w:rFonts w:ascii="Tahoma" w:hAnsi="Tahoma"/>
          <w:sz w:val="18"/>
        </w:rPr>
        <w:t>Initialphase</w:t>
      </w:r>
      <w:r>
        <w:rPr>
          <w:rFonts w:ascii="Tahoma" w:hAnsi="Tahoma"/>
          <w:sz w:val="18"/>
        </w:rPr>
        <w:t xml:space="preserve"> sollte eine 2-monatige Behandlung mit Isoniazid (H), Rifampicin (R), Pyrazinamid (Z) und Ethambutol (E) umfassen. Die </w:t>
      </w:r>
      <w:r w:rsidR="00407FFD">
        <w:rPr>
          <w:rFonts w:ascii="Tahoma" w:hAnsi="Tahoma"/>
          <w:sz w:val="18"/>
        </w:rPr>
        <w:t xml:space="preserve">Kontinuitätsphase </w:t>
      </w:r>
      <w:r>
        <w:rPr>
          <w:rFonts w:ascii="Tahoma" w:hAnsi="Tahoma"/>
          <w:sz w:val="18"/>
        </w:rPr>
        <w:t xml:space="preserve">sollte die Gabe von Isoniazid und Rifampicin über einen Zeitraum von 4 Monaten beinhalten (2HRZE/4HR). Die angewendeten </w:t>
      </w:r>
      <w:r w:rsidR="00D43D65">
        <w:rPr>
          <w:rFonts w:ascii="Tahoma" w:hAnsi="Tahoma"/>
          <w:sz w:val="18"/>
        </w:rPr>
        <w:t xml:space="preserve">Dosierungen </w:t>
      </w:r>
      <w:r>
        <w:rPr>
          <w:rFonts w:ascii="Tahoma" w:hAnsi="Tahoma"/>
          <w:sz w:val="18"/>
        </w:rPr>
        <w:t xml:space="preserve">der Arzneimittel gegen Tuberkulose sollten internationalen Empfehlungen entsprechen. Fixdosiskombinationen aus zwei (Isoniazid und Rifampicin), drei (Isoniazid, Rifampicin und Pyrazinamid) und vier (Isoniazid, Rifampicin, Pyrazinamid und Ethambutol) Arzneimitteln können eine praktischere Darreichungsform für die Gabe der Arzneimittel darstellen. </w:t>
      </w:r>
    </w:p>
    <w:p w:rsidR="00DA3A70" w:rsidRPr="000D0DB0" w:rsidP="00037B0F" w14:paraId="54B524FC" w14:textId="77777777">
      <w:pPr>
        <w:keepNext/>
        <w:shd w:val="clear" w:color="auto" w:fill="D9D9D9"/>
        <w:autoSpaceDE w:val="0"/>
        <w:autoSpaceDN w:val="0"/>
        <w:adjustRightInd w:val="0"/>
        <w:spacing w:after="0"/>
        <w:jc w:val="both"/>
        <w:rPr>
          <w:rFonts w:ascii="Tahoma" w:hAnsi="Tahoma" w:cs="Tahoma"/>
          <w:b/>
          <w:bCs/>
          <w:i/>
          <w:sz w:val="24"/>
          <w:szCs w:val="24"/>
        </w:rPr>
      </w:pPr>
      <w:r>
        <w:rPr>
          <w:rFonts w:ascii="Tahoma" w:hAnsi="Tahoma"/>
          <w:b/>
          <w:sz w:val="24"/>
        </w:rPr>
        <w:t>Standard 9</w:t>
      </w:r>
    </w:p>
    <w:p w:rsidR="00DA3A70" w:rsidRPr="000D0DB0" w:rsidP="0028467E" w14:paraId="4458C684" w14:textId="43CE657E">
      <w:pPr>
        <w:spacing w:after="120"/>
        <w:rPr>
          <w:rFonts w:ascii="Tahoma" w:hAnsi="Tahoma" w:cs="Tahoma"/>
          <w:szCs w:val="24"/>
        </w:rPr>
      </w:pPr>
      <w:r>
        <w:rPr>
          <w:rFonts w:ascii="Tahoma" w:hAnsi="Tahoma"/>
          <w:sz w:val="18"/>
        </w:rPr>
        <w:t xml:space="preserve">Ein auf den Patienten zugeschnittener Behandlungsansatz </w:t>
      </w:r>
      <w:r w:rsidR="00407FFD">
        <w:rPr>
          <w:rFonts w:ascii="Tahoma" w:hAnsi="Tahoma"/>
          <w:sz w:val="18"/>
        </w:rPr>
        <w:t>sollte für alle Patienten entwickelt werden</w:t>
      </w:r>
      <w:r w:rsidR="00D43D65">
        <w:rPr>
          <w:rFonts w:ascii="Tahoma" w:hAnsi="Tahoma"/>
          <w:sz w:val="18"/>
        </w:rPr>
        <w:t>,</w:t>
      </w:r>
      <w:r w:rsidR="00407FFD">
        <w:rPr>
          <w:rFonts w:ascii="Tahoma" w:hAnsi="Tahoma"/>
          <w:sz w:val="18"/>
        </w:rPr>
        <w:t xml:space="preserve"> </w:t>
      </w:r>
      <w:r w:rsidR="00D43D65">
        <w:rPr>
          <w:rFonts w:ascii="Tahoma" w:hAnsi="Tahoma"/>
          <w:sz w:val="18"/>
        </w:rPr>
        <w:t xml:space="preserve">sich an </w:t>
      </w:r>
      <w:r>
        <w:rPr>
          <w:rFonts w:ascii="Tahoma" w:hAnsi="Tahoma"/>
          <w:sz w:val="18"/>
        </w:rPr>
        <w:t xml:space="preserve">den Bedürfnissen des Patienten </w:t>
      </w:r>
      <w:r w:rsidR="00D43D65">
        <w:rPr>
          <w:rFonts w:ascii="Tahoma" w:hAnsi="Tahoma"/>
          <w:sz w:val="18"/>
        </w:rPr>
        <w:t xml:space="preserve">orientieren </w:t>
      </w:r>
      <w:r>
        <w:rPr>
          <w:rFonts w:ascii="Tahoma" w:hAnsi="Tahoma"/>
          <w:sz w:val="18"/>
        </w:rPr>
        <w:t xml:space="preserve">sowie </w:t>
      </w:r>
      <w:r w:rsidR="00D43D65">
        <w:rPr>
          <w:rFonts w:ascii="Tahoma" w:hAnsi="Tahoma"/>
          <w:sz w:val="18"/>
        </w:rPr>
        <w:t xml:space="preserve">auf gegenseitigem </w:t>
      </w:r>
      <w:r>
        <w:rPr>
          <w:rFonts w:ascii="Tahoma" w:hAnsi="Tahoma"/>
          <w:sz w:val="18"/>
        </w:rPr>
        <w:t xml:space="preserve">Respekt zwischen Patient und </w:t>
      </w:r>
      <w:r w:rsidR="00C31164">
        <w:rPr>
          <w:rFonts w:ascii="Tahoma" w:hAnsi="Tahoma"/>
          <w:sz w:val="18"/>
        </w:rPr>
        <w:t>Gesundheits</w:t>
      </w:r>
      <w:r w:rsidR="003D6C80">
        <w:rPr>
          <w:rFonts w:ascii="Tahoma" w:hAnsi="Tahoma"/>
          <w:sz w:val="18"/>
        </w:rPr>
        <w:t>d</w:t>
      </w:r>
      <w:r>
        <w:rPr>
          <w:rFonts w:ascii="Tahoma" w:hAnsi="Tahoma"/>
          <w:sz w:val="18"/>
        </w:rPr>
        <w:t>ienstleister</w:t>
      </w:r>
      <w:r w:rsidR="003D6C80">
        <w:rPr>
          <w:rFonts w:ascii="Tahoma" w:hAnsi="Tahoma"/>
          <w:sz w:val="18"/>
        </w:rPr>
        <w:t xml:space="preserve"> </w:t>
      </w:r>
      <w:r w:rsidR="00407FFD">
        <w:rPr>
          <w:rFonts w:ascii="Tahoma" w:hAnsi="Tahoma"/>
          <w:sz w:val="18"/>
        </w:rPr>
        <w:t>beruhen</w:t>
      </w:r>
      <w:r>
        <w:rPr>
          <w:rFonts w:ascii="Tahoma" w:hAnsi="Tahoma"/>
          <w:sz w:val="18"/>
        </w:rPr>
        <w:t>.</w:t>
      </w:r>
    </w:p>
    <w:p w:rsidR="00DA3A70" w:rsidRPr="000D0DB0" w:rsidP="00A82B43" w14:paraId="1CC4902B" w14:textId="77777777">
      <w:pPr>
        <w:shd w:val="clear" w:color="auto" w:fill="D9D9D9"/>
        <w:autoSpaceDE w:val="0"/>
        <w:autoSpaceDN w:val="0"/>
        <w:adjustRightInd w:val="0"/>
        <w:spacing w:after="0"/>
        <w:jc w:val="both"/>
        <w:rPr>
          <w:rFonts w:ascii="Tahoma" w:hAnsi="Tahoma" w:cs="Tahoma"/>
          <w:b/>
          <w:bCs/>
          <w:sz w:val="24"/>
          <w:szCs w:val="24"/>
        </w:rPr>
      </w:pPr>
      <w:r>
        <w:rPr>
          <w:rFonts w:ascii="Tahoma" w:hAnsi="Tahoma"/>
          <w:b/>
          <w:sz w:val="24"/>
        </w:rPr>
        <w:t>Standard 10</w:t>
      </w:r>
    </w:p>
    <w:p w:rsidR="00DA3A70" w:rsidRPr="000D0DB0" w:rsidP="000D0DB0" w14:paraId="3BDB8FC6" w14:textId="500BBEFE">
      <w:pPr>
        <w:spacing w:after="0"/>
        <w:rPr>
          <w:rFonts w:ascii="Tahoma" w:hAnsi="Tahoma" w:cs="Tahoma"/>
          <w:sz w:val="18"/>
          <w:szCs w:val="18"/>
        </w:rPr>
      </w:pPr>
      <w:r>
        <w:rPr>
          <w:rFonts w:ascii="Tahoma" w:hAnsi="Tahoma"/>
          <w:sz w:val="18"/>
        </w:rPr>
        <w:t xml:space="preserve">Das </w:t>
      </w:r>
      <w:r w:rsidR="00D43D65">
        <w:rPr>
          <w:rFonts w:ascii="Tahoma" w:hAnsi="Tahoma"/>
          <w:sz w:val="18"/>
        </w:rPr>
        <w:t>Therapiea</w:t>
      </w:r>
      <w:r>
        <w:rPr>
          <w:rFonts w:ascii="Tahoma" w:hAnsi="Tahoma"/>
          <w:sz w:val="18"/>
        </w:rPr>
        <w:t xml:space="preserve">nsprechen sollte bei Patienten mit pulmonaler Tuberkulose </w:t>
      </w:r>
      <w:r w:rsidR="00D43D65">
        <w:rPr>
          <w:rFonts w:ascii="Tahoma" w:hAnsi="Tahoma"/>
          <w:sz w:val="18"/>
        </w:rPr>
        <w:t xml:space="preserve">im Verlauf </w:t>
      </w:r>
      <w:r>
        <w:rPr>
          <w:rFonts w:ascii="Tahoma" w:hAnsi="Tahoma"/>
          <w:sz w:val="18"/>
        </w:rPr>
        <w:t xml:space="preserve">durch eine </w:t>
      </w:r>
      <w:r w:rsidR="00D43D65">
        <w:rPr>
          <w:rFonts w:ascii="Tahoma" w:hAnsi="Tahoma"/>
          <w:sz w:val="18"/>
        </w:rPr>
        <w:t>A</w:t>
      </w:r>
      <w:r w:rsidR="00407FFD">
        <w:rPr>
          <w:rFonts w:ascii="Tahoma" w:hAnsi="Tahoma"/>
          <w:sz w:val="18"/>
        </w:rPr>
        <w:t>us</w:t>
      </w:r>
      <w:r>
        <w:rPr>
          <w:rFonts w:ascii="Tahoma" w:hAnsi="Tahoma"/>
          <w:sz w:val="18"/>
        </w:rPr>
        <w:t xml:space="preserve">strichmikroskopie und -kultur mindestens zum Zeitpunkt des Abschlusses der </w:t>
      </w:r>
      <w:r w:rsidR="00407FFD">
        <w:rPr>
          <w:rFonts w:ascii="Tahoma" w:hAnsi="Tahoma"/>
          <w:sz w:val="18"/>
        </w:rPr>
        <w:t>Initialphase</w:t>
      </w:r>
      <w:r>
        <w:rPr>
          <w:rFonts w:ascii="Tahoma" w:hAnsi="Tahoma"/>
          <w:sz w:val="18"/>
        </w:rPr>
        <w:t xml:space="preserve"> der Behandlung (zwei Monate für arzneimittelsensible Tuberkulose) </w:t>
      </w:r>
      <w:r w:rsidR="003C083A">
        <w:rPr>
          <w:rFonts w:ascii="Tahoma" w:hAnsi="Tahoma"/>
          <w:sz w:val="18"/>
        </w:rPr>
        <w:t>kontrolliert</w:t>
      </w:r>
      <w:r>
        <w:rPr>
          <w:rFonts w:ascii="Tahoma" w:hAnsi="Tahoma"/>
          <w:sz w:val="18"/>
        </w:rPr>
        <w:t xml:space="preserve"> werden. Wenn der Sputuma</w:t>
      </w:r>
      <w:r w:rsidR="00407FFD">
        <w:rPr>
          <w:rFonts w:ascii="Tahoma" w:hAnsi="Tahoma"/>
          <w:sz w:val="18"/>
        </w:rPr>
        <w:t>us</w:t>
      </w:r>
      <w:r>
        <w:rPr>
          <w:rFonts w:ascii="Tahoma" w:hAnsi="Tahoma"/>
          <w:sz w:val="18"/>
        </w:rPr>
        <w:t xml:space="preserve">strich und/oder die Kultur bei Abschluss der </w:t>
      </w:r>
      <w:r w:rsidR="00407FFD">
        <w:rPr>
          <w:rFonts w:ascii="Tahoma" w:hAnsi="Tahoma"/>
          <w:sz w:val="18"/>
        </w:rPr>
        <w:t>Initialphase</w:t>
      </w:r>
      <w:r>
        <w:rPr>
          <w:rFonts w:ascii="Tahoma" w:hAnsi="Tahoma"/>
          <w:sz w:val="18"/>
        </w:rPr>
        <w:t xml:space="preserve"> positiv sind, sollten umgehend </w:t>
      </w:r>
      <w:r w:rsidR="00407FFD">
        <w:rPr>
          <w:rFonts w:ascii="Tahoma" w:hAnsi="Tahoma"/>
          <w:sz w:val="18"/>
        </w:rPr>
        <w:t>m</w:t>
      </w:r>
      <w:r>
        <w:rPr>
          <w:rFonts w:ascii="Tahoma" w:hAnsi="Tahoma"/>
          <w:sz w:val="18"/>
        </w:rPr>
        <w:t>olekular</w:t>
      </w:r>
      <w:r w:rsidR="00407FFD">
        <w:rPr>
          <w:rFonts w:ascii="Tahoma" w:hAnsi="Tahoma"/>
          <w:sz w:val="18"/>
        </w:rPr>
        <w:t>biologische T</w:t>
      </w:r>
      <w:r>
        <w:rPr>
          <w:rFonts w:ascii="Tahoma" w:hAnsi="Tahoma"/>
          <w:sz w:val="18"/>
        </w:rPr>
        <w:t xml:space="preserve">ests zur Arzneimittelresistenz sowie weitere </w:t>
      </w:r>
      <w:r w:rsidR="00252DFE">
        <w:rPr>
          <w:rFonts w:ascii="Tahoma" w:hAnsi="Tahoma"/>
          <w:sz w:val="18"/>
        </w:rPr>
        <w:t xml:space="preserve">Resistenztestungen </w:t>
      </w:r>
      <w:r>
        <w:rPr>
          <w:rFonts w:ascii="Tahoma" w:hAnsi="Tahoma"/>
          <w:sz w:val="18"/>
        </w:rPr>
        <w:t xml:space="preserve">durchgeführt werden. Bei Patienten mit extrapulmonaler Tuberkulose und bei Kindern, die kein Sputum produzieren können, wird das klinische Ansprechen auf die Behandlung </w:t>
      </w:r>
      <w:r w:rsidR="009F453B">
        <w:rPr>
          <w:rFonts w:ascii="Tahoma" w:hAnsi="Tahoma"/>
          <w:sz w:val="18"/>
        </w:rPr>
        <w:t xml:space="preserve">befundbasiert </w:t>
      </w:r>
      <w:r>
        <w:rPr>
          <w:rFonts w:ascii="Tahoma" w:hAnsi="Tahoma"/>
          <w:sz w:val="18"/>
        </w:rPr>
        <w:t xml:space="preserve">(Gewicht, Entzündungsmarker und Wiederholung bildgebender Verfahren) objektiv beurteilt. </w:t>
      </w:r>
    </w:p>
    <w:p w:rsidR="003663F5" w:rsidRPr="0069416F" w:rsidP="003663F5" w14:paraId="712763B6" w14:textId="77777777">
      <w:pPr>
        <w:pStyle w:val="EC-Title-6"/>
      </w:pPr>
      <w:r>
        <w:t>EU-spezifische Anforderungen</w:t>
      </w:r>
    </w:p>
    <w:p w:rsidR="00DA3A70" w:rsidRPr="0028467E" w:rsidP="0028467E" w14:paraId="0F293395" w14:textId="6DAAFAC0">
      <w:pPr>
        <w:spacing w:after="120"/>
        <w:rPr>
          <w:rFonts w:ascii="Tahoma" w:hAnsi="Tahoma" w:cs="Tahoma"/>
          <w:spacing w:val="-2"/>
          <w:sz w:val="18"/>
          <w:szCs w:val="18"/>
        </w:rPr>
      </w:pPr>
      <w:r>
        <w:rPr>
          <w:rFonts w:ascii="Tahoma" w:hAnsi="Tahoma"/>
          <w:spacing w:val="-2"/>
          <w:sz w:val="18"/>
        </w:rPr>
        <w:t>Die Überwachung der Behandlung sollte gemäß internationalen Richtlinien erfolgen [2, 3, 6-8, 18-20]. In der EU verfügen die Länder über Ressourcen, um die Behandlung monatlich zu überwachen. Bei Fällen von multiresistenter Tuberkulose (MDR-TB) sollte diese monatliche Überwachung auf Grundlage von Sputuma</w:t>
      </w:r>
      <w:r w:rsidR="003E7B0F">
        <w:rPr>
          <w:rFonts w:ascii="Tahoma" w:hAnsi="Tahoma"/>
          <w:spacing w:val="-2"/>
          <w:sz w:val="18"/>
        </w:rPr>
        <w:t>us</w:t>
      </w:r>
      <w:r>
        <w:rPr>
          <w:rFonts w:ascii="Tahoma" w:hAnsi="Tahoma"/>
          <w:spacing w:val="-2"/>
          <w:sz w:val="18"/>
        </w:rPr>
        <w:t>strichen und Kulturen erfolgen [21, 22].</w:t>
      </w:r>
    </w:p>
    <w:p w:rsidR="00DA3A70" w:rsidRPr="000D0DB0" w:rsidP="00BE259C" w14:paraId="3AAC9559" w14:textId="77777777">
      <w:pPr>
        <w:shd w:val="clear" w:color="auto" w:fill="D9D9D9"/>
        <w:autoSpaceDE w:val="0"/>
        <w:autoSpaceDN w:val="0"/>
        <w:adjustRightInd w:val="0"/>
        <w:spacing w:after="0"/>
        <w:jc w:val="both"/>
        <w:rPr>
          <w:rFonts w:ascii="Tahoma" w:hAnsi="Tahoma" w:cs="Tahoma"/>
          <w:b/>
          <w:bCs/>
          <w:sz w:val="24"/>
          <w:szCs w:val="24"/>
        </w:rPr>
      </w:pPr>
      <w:r>
        <w:rPr>
          <w:rFonts w:ascii="Tahoma" w:hAnsi="Tahoma"/>
          <w:b/>
          <w:sz w:val="24"/>
          <w:shd w:val="clear" w:color="auto" w:fill="D9D9D9"/>
        </w:rPr>
        <w:t>Standard 11</w:t>
      </w:r>
    </w:p>
    <w:p w:rsidR="00DA3A70" w:rsidRPr="000D0DB0" w:rsidP="0028467E" w14:paraId="09EA5658" w14:textId="409434D4">
      <w:pPr>
        <w:spacing w:after="120"/>
        <w:rPr>
          <w:rFonts w:ascii="Tahoma" w:hAnsi="Tahoma" w:cs="Tahoma"/>
          <w:sz w:val="18"/>
          <w:szCs w:val="18"/>
        </w:rPr>
      </w:pPr>
      <w:r>
        <w:rPr>
          <w:rFonts w:ascii="Tahoma" w:hAnsi="Tahoma"/>
          <w:sz w:val="18"/>
        </w:rPr>
        <w:t>D</w:t>
      </w:r>
      <w:r w:rsidR="002A1637">
        <w:rPr>
          <w:rFonts w:ascii="Tahoma" w:hAnsi="Tahoma"/>
          <w:sz w:val="18"/>
        </w:rPr>
        <w:t xml:space="preserve">ie Wahrscheinlichkeit einer Arzneimittelresistenz </w:t>
      </w:r>
      <w:r>
        <w:rPr>
          <w:rFonts w:ascii="Tahoma" w:hAnsi="Tahoma"/>
          <w:sz w:val="18"/>
        </w:rPr>
        <w:t xml:space="preserve">sollte unter Berücksichtigung </w:t>
      </w:r>
      <w:r w:rsidR="002A1637">
        <w:rPr>
          <w:rFonts w:ascii="Tahoma" w:hAnsi="Tahoma"/>
          <w:sz w:val="18"/>
        </w:rPr>
        <w:t xml:space="preserve">der Vorgeschichte einer </w:t>
      </w:r>
      <w:r w:rsidR="003E7B0F">
        <w:rPr>
          <w:rFonts w:ascii="Tahoma" w:hAnsi="Tahoma"/>
          <w:sz w:val="18"/>
        </w:rPr>
        <w:t xml:space="preserve">vorangegangenen </w:t>
      </w:r>
      <w:r>
        <w:rPr>
          <w:rFonts w:ascii="Tahoma" w:hAnsi="Tahoma"/>
          <w:sz w:val="18"/>
        </w:rPr>
        <w:t>TB-</w:t>
      </w:r>
      <w:r w:rsidR="002A1637">
        <w:rPr>
          <w:rFonts w:ascii="Tahoma" w:hAnsi="Tahoma"/>
          <w:sz w:val="18"/>
        </w:rPr>
        <w:t xml:space="preserve">Behandlung, der Exposition gegenüber einem möglichen </w:t>
      </w:r>
      <w:r>
        <w:rPr>
          <w:rFonts w:ascii="Tahoma" w:hAnsi="Tahoma"/>
          <w:sz w:val="18"/>
        </w:rPr>
        <w:t xml:space="preserve">infektiösen </w:t>
      </w:r>
      <w:r w:rsidR="003E7B0F">
        <w:rPr>
          <w:rFonts w:ascii="Tahoma" w:hAnsi="Tahoma"/>
          <w:sz w:val="18"/>
        </w:rPr>
        <w:t xml:space="preserve">Indexfall </w:t>
      </w:r>
      <w:r w:rsidR="002A1637">
        <w:rPr>
          <w:rFonts w:ascii="Tahoma" w:hAnsi="Tahoma"/>
          <w:sz w:val="18"/>
        </w:rPr>
        <w:t xml:space="preserve">mit arzneimittelresistenter Tuberkulose und der </w:t>
      </w:r>
      <w:r w:rsidR="003E7B0F">
        <w:rPr>
          <w:rFonts w:ascii="Tahoma" w:hAnsi="Tahoma"/>
          <w:sz w:val="18"/>
        </w:rPr>
        <w:t xml:space="preserve">Prävalenz </w:t>
      </w:r>
      <w:r w:rsidR="002A1637">
        <w:rPr>
          <w:rFonts w:ascii="Tahoma" w:hAnsi="Tahoma"/>
          <w:sz w:val="18"/>
        </w:rPr>
        <w:t xml:space="preserve">von Arzneimittelresistenz </w:t>
      </w:r>
      <w:r w:rsidR="003E7B0F">
        <w:rPr>
          <w:rFonts w:ascii="Tahoma" w:hAnsi="Tahoma"/>
          <w:sz w:val="18"/>
        </w:rPr>
        <w:t xml:space="preserve">in der Bevölkerungsgruppe </w:t>
      </w:r>
      <w:r w:rsidR="002A1637">
        <w:rPr>
          <w:rFonts w:ascii="Tahoma" w:hAnsi="Tahoma"/>
          <w:sz w:val="18"/>
        </w:rPr>
        <w:t xml:space="preserve">beurteilt werden, insbesondere bei Patienten, bei denen keine bakteriologische Bestätigung vorliegt oder bei denen eine </w:t>
      </w:r>
      <w:r w:rsidR="00252DFE">
        <w:rPr>
          <w:rFonts w:ascii="Tahoma" w:hAnsi="Tahoma"/>
          <w:sz w:val="18"/>
        </w:rPr>
        <w:t>Resis</w:t>
      </w:r>
      <w:r w:rsidR="00764807">
        <w:rPr>
          <w:rFonts w:ascii="Tahoma" w:hAnsi="Tahoma"/>
          <w:sz w:val="18"/>
        </w:rPr>
        <w:t>t</w:t>
      </w:r>
      <w:r w:rsidR="00252DFE">
        <w:rPr>
          <w:rFonts w:ascii="Tahoma" w:hAnsi="Tahoma"/>
          <w:sz w:val="18"/>
        </w:rPr>
        <w:t xml:space="preserve">enztestung </w:t>
      </w:r>
      <w:r w:rsidR="002A1637">
        <w:rPr>
          <w:rFonts w:ascii="Tahoma" w:hAnsi="Tahoma"/>
          <w:sz w:val="18"/>
        </w:rPr>
        <w:t xml:space="preserve">nicht durchgeführt werden kann. Schnelltests (Tests zum Nachweis der genotypischen Resistenz gegen Rifampicin und Isoniazid und der genotypischen/phänotypischen Resistenz gegen die </w:t>
      </w:r>
      <w:r w:rsidR="003E7B0F">
        <w:rPr>
          <w:rFonts w:ascii="Tahoma" w:hAnsi="Tahoma"/>
          <w:sz w:val="18"/>
        </w:rPr>
        <w:t xml:space="preserve">Nicht-Standardtherapie </w:t>
      </w:r>
      <w:r w:rsidR="002A1637">
        <w:rPr>
          <w:rFonts w:ascii="Tahoma" w:hAnsi="Tahoma"/>
          <w:sz w:val="18"/>
        </w:rPr>
        <w:t>für Patienten mit Rifampicinresistenz oder MDR-TB) sollten bei allen Patienten</w:t>
      </w:r>
      <w:r>
        <w:rPr>
          <w:rFonts w:ascii="Tahoma" w:hAnsi="Tahoma"/>
          <w:sz w:val="18"/>
        </w:rPr>
        <w:t>,</w:t>
      </w:r>
      <w:r w:rsidR="002A1637">
        <w:rPr>
          <w:rFonts w:ascii="Tahoma" w:hAnsi="Tahoma"/>
          <w:sz w:val="18"/>
        </w:rPr>
        <w:t xml:space="preserve"> wie in den Standards 2 bis 4 und 8 definiert</w:t>
      </w:r>
      <w:r>
        <w:rPr>
          <w:rFonts w:ascii="Tahoma" w:hAnsi="Tahoma"/>
          <w:sz w:val="18"/>
        </w:rPr>
        <w:t>,</w:t>
      </w:r>
      <w:r w:rsidR="002A1637">
        <w:rPr>
          <w:rFonts w:ascii="Tahoma" w:hAnsi="Tahoma"/>
          <w:sz w:val="18"/>
        </w:rPr>
        <w:t xml:space="preserve"> durchgeführt werden. Darüber hinaus sollte für alle Tuberkulosepatienten umgehend eine Patientenberatung und -schulung begonnen werden, um das Potenzial einer Übertragung zu minimieren. Angemessene Maßnahmen für eine Infektionskontrolle sollten wie im ESTC-Standard 20 (öffentliche Gesundheit) empfohlen Anwendung finden.</w:t>
      </w:r>
    </w:p>
    <w:p w:rsidR="00DA3A70" w:rsidRPr="000D0DB0" w:rsidP="00DB519A" w14:paraId="7DFF2DBB" w14:textId="77777777">
      <w:pPr>
        <w:shd w:val="clear" w:color="auto" w:fill="D9D9D9"/>
        <w:autoSpaceDE w:val="0"/>
        <w:autoSpaceDN w:val="0"/>
        <w:adjustRightInd w:val="0"/>
        <w:spacing w:after="0"/>
        <w:jc w:val="both"/>
        <w:rPr>
          <w:rFonts w:ascii="Tahoma" w:hAnsi="Tahoma" w:cs="Tahoma"/>
          <w:b/>
          <w:bCs/>
          <w:sz w:val="24"/>
          <w:szCs w:val="24"/>
        </w:rPr>
      </w:pPr>
      <w:r>
        <w:rPr>
          <w:rFonts w:ascii="Tahoma" w:hAnsi="Tahoma"/>
          <w:b/>
          <w:sz w:val="24"/>
          <w:shd w:val="clear" w:color="auto" w:fill="D9D9D9"/>
        </w:rPr>
        <w:t xml:space="preserve">Standard 12 </w:t>
      </w:r>
    </w:p>
    <w:p w:rsidR="00DA3A70" w:rsidRPr="000D0DB0" w:rsidP="0028467E" w14:paraId="418A4EE0" w14:textId="7911366B">
      <w:pPr>
        <w:spacing w:after="120"/>
        <w:rPr>
          <w:rFonts w:ascii="Tahoma" w:hAnsi="Tahoma" w:cs="Tahoma"/>
          <w:sz w:val="18"/>
          <w:szCs w:val="18"/>
        </w:rPr>
      </w:pPr>
      <w:r>
        <w:rPr>
          <w:rFonts w:ascii="Tahoma" w:hAnsi="Tahoma"/>
          <w:sz w:val="18"/>
        </w:rPr>
        <w:t>Patienten mit Tuberkulose oder mit hoher Wahrscheinlichkeit für eine Tuberkulose, die von arzneimittelresistenten (insbesondere rifampicinresistenten/multiresistenten/extrem arzneimittelresistenten [XDR]) Organismen verursacht wurde, sollten mit individualisierten Regimen, die</w:t>
      </w:r>
      <w:r w:rsidR="003C083A">
        <w:rPr>
          <w:rFonts w:ascii="Tahoma" w:hAnsi="Tahoma"/>
          <w:sz w:val="18"/>
        </w:rPr>
        <w:t xml:space="preserve"> </w:t>
      </w:r>
      <w:r w:rsidR="005C6532">
        <w:rPr>
          <w:rFonts w:ascii="Tahoma" w:hAnsi="Tahoma"/>
          <w:sz w:val="18"/>
        </w:rPr>
        <w:t>Medikamente der Nicht-Standardtherapie</w:t>
      </w:r>
      <w:r>
        <w:rPr>
          <w:rFonts w:ascii="Tahoma" w:hAnsi="Tahoma"/>
          <w:sz w:val="18"/>
        </w:rPr>
        <w:t xml:space="preserve"> gegen Tuberkulose beinhalten, behandelt werden. Das gewählte Regime sollte auf den bestätigten </w:t>
      </w:r>
      <w:r w:rsidR="000E02F1">
        <w:rPr>
          <w:rFonts w:ascii="Tahoma" w:hAnsi="Tahoma"/>
          <w:sz w:val="18"/>
        </w:rPr>
        <w:t xml:space="preserve">Resistenzmustern </w:t>
      </w:r>
      <w:r>
        <w:rPr>
          <w:rFonts w:ascii="Tahoma" w:hAnsi="Tahoma"/>
          <w:sz w:val="18"/>
        </w:rPr>
        <w:t>beruhen. Empirische Regimes können eine weitere Resistenz hervorrufen und werden nicht empfohlen, außer bei kulturnegativer Tuberkulose.</w:t>
      </w:r>
    </w:p>
    <w:p w:rsidR="00083CEE" w:rsidP="00083CEE" w14:paraId="7200CF99" w14:textId="24618C7A">
      <w:pPr>
        <w:spacing w:after="120"/>
        <w:rPr>
          <w:rFonts w:ascii="Tahoma" w:hAnsi="Tahoma" w:cs="Tahoma"/>
          <w:sz w:val="18"/>
          <w:szCs w:val="18"/>
        </w:rPr>
      </w:pPr>
      <w:r>
        <w:rPr>
          <w:rFonts w:ascii="Tahoma" w:hAnsi="Tahoma"/>
          <w:sz w:val="18"/>
        </w:rPr>
        <w:t xml:space="preserve">Je nach </w:t>
      </w:r>
      <w:r w:rsidR="00252DFE">
        <w:rPr>
          <w:rFonts w:ascii="Tahoma" w:hAnsi="Tahoma"/>
          <w:sz w:val="18"/>
        </w:rPr>
        <w:t xml:space="preserve">Resistenzmuster </w:t>
      </w:r>
      <w:r>
        <w:rPr>
          <w:rFonts w:ascii="Tahoma" w:hAnsi="Tahoma"/>
          <w:sz w:val="18"/>
        </w:rPr>
        <w:t xml:space="preserve">sollte die Behandlung mit mindestens fünf wirksamen Arzneimitteln gegen Tuberkulose über einen Zeitraum von mindestens 20 Monaten erfolgen [5]. Wenn der Patient die Auswahlkriterien für das kürzere Standard-MDR-TB-Regime (9 bis 11 Monate) erfüllt, kann dieses angewendet werden. </w:t>
      </w:r>
    </w:p>
    <w:p w:rsidR="00835340" w:rsidRPr="0069416F" w:rsidP="00835340" w14:paraId="242913D3" w14:textId="77777777">
      <w:pPr>
        <w:pStyle w:val="EC-Title-6"/>
      </w:pPr>
      <w:r>
        <w:t>EU-spezifische Anforderungen</w:t>
      </w:r>
    </w:p>
    <w:p w:rsidR="00DA3A70" w:rsidRPr="000D0DB0" w:rsidP="0028467E" w14:paraId="56EA4737" w14:textId="77777777">
      <w:pPr>
        <w:spacing w:after="120"/>
        <w:rPr>
          <w:rFonts w:ascii="Tahoma" w:hAnsi="Tahoma" w:cs="Tahoma"/>
          <w:sz w:val="18"/>
          <w:szCs w:val="18"/>
        </w:rPr>
      </w:pPr>
      <w:r>
        <w:rPr>
          <w:rFonts w:ascii="Tahoma" w:hAnsi="Tahoma"/>
          <w:sz w:val="18"/>
        </w:rPr>
        <w:t>Da die Behandlung von MDR-/XDR-TB oftmals eine letzte Chance ist, die Heilung und das Überleben eines Patienten sicherzustellen, sind sämtliche auf den Patienten zugeschnittene Maßnahmen, einschließlich Beratung, Beobachtung und Unterstützung der Behandlung, sowie psychosoziale Unterstützung erforderlich, um die Therapietreue zu sichern [5, 23-25]. Dies ist insbesondere angesichts der Tatsache wichtig, dass diese Patienten oft sozial und finanziell benachteiligten Gruppen angehören.</w:t>
      </w:r>
    </w:p>
    <w:p w:rsidR="00DA3A70" w:rsidRPr="000D0DB0" w:rsidP="0096551B" w14:paraId="74BAE058" w14:textId="5C721EFD">
      <w:pPr>
        <w:tabs>
          <w:tab w:val="left" w:pos="4111"/>
        </w:tabs>
        <w:spacing w:after="120"/>
        <w:rPr>
          <w:rFonts w:ascii="Tahoma" w:hAnsi="Tahoma" w:cs="Tahoma"/>
          <w:sz w:val="18"/>
          <w:szCs w:val="18"/>
        </w:rPr>
      </w:pPr>
      <w:r>
        <w:rPr>
          <w:rFonts w:ascii="Tahoma" w:hAnsi="Tahoma"/>
          <w:sz w:val="18"/>
        </w:rPr>
        <w:t>Für die Behandlung von MDR-TB sollte kein Arzneimittel verabreicht werden, gegen das der Patient eine dokumentierte Resistenz (entweder durch molekular</w:t>
      </w:r>
      <w:r w:rsidR="0096551B">
        <w:rPr>
          <w:rFonts w:ascii="Tahoma" w:hAnsi="Tahoma"/>
          <w:sz w:val="18"/>
        </w:rPr>
        <w:t>biologisch</w:t>
      </w:r>
      <w:r>
        <w:rPr>
          <w:rFonts w:ascii="Tahoma" w:hAnsi="Tahoma"/>
          <w:sz w:val="18"/>
        </w:rPr>
        <w:t xml:space="preserve">e oder phänotypische </w:t>
      </w:r>
      <w:r w:rsidR="00252DFE">
        <w:rPr>
          <w:rFonts w:ascii="Tahoma" w:hAnsi="Tahoma"/>
          <w:sz w:val="18"/>
        </w:rPr>
        <w:t>Resistenztestung</w:t>
      </w:r>
      <w:r>
        <w:rPr>
          <w:rFonts w:ascii="Tahoma" w:hAnsi="Tahoma"/>
          <w:sz w:val="18"/>
        </w:rPr>
        <w:t xml:space="preserve">) aufweist. Daher sollte eine zweite </w:t>
      </w:r>
      <w:r w:rsidR="00252DFE">
        <w:rPr>
          <w:rFonts w:ascii="Tahoma" w:hAnsi="Tahoma"/>
          <w:sz w:val="18"/>
        </w:rPr>
        <w:t xml:space="preserve">Resistenztestung </w:t>
      </w:r>
      <w:r>
        <w:rPr>
          <w:rFonts w:ascii="Tahoma" w:hAnsi="Tahoma"/>
          <w:sz w:val="18"/>
        </w:rPr>
        <w:t>durchgeführt werden, um das Resistenzmuster gegenüber Arzneimitteln zu bestätigen und die korrekte Behandlung zu leiten.</w:t>
      </w:r>
    </w:p>
    <w:p w:rsidR="00DA3A70" w:rsidRPr="000D0DB0" w:rsidP="0028467E" w14:paraId="403D883B" w14:textId="3E90CDCF">
      <w:pPr>
        <w:spacing w:after="120"/>
        <w:rPr>
          <w:rFonts w:ascii="Tahoma" w:hAnsi="Tahoma" w:cs="Tahoma"/>
          <w:sz w:val="18"/>
          <w:szCs w:val="18"/>
        </w:rPr>
      </w:pPr>
      <w:r>
        <w:rPr>
          <w:rFonts w:ascii="Tahoma" w:hAnsi="Tahoma"/>
          <w:sz w:val="18"/>
        </w:rPr>
        <w:t xml:space="preserve">In der EU/im EWR wird die </w:t>
      </w:r>
      <w:r w:rsidR="00252DFE">
        <w:rPr>
          <w:rFonts w:ascii="Tahoma" w:hAnsi="Tahoma"/>
          <w:sz w:val="18"/>
        </w:rPr>
        <w:t xml:space="preserve">Resistenztestung </w:t>
      </w:r>
      <w:r>
        <w:rPr>
          <w:rFonts w:ascii="Tahoma" w:hAnsi="Tahoma"/>
          <w:sz w:val="18"/>
        </w:rPr>
        <w:t xml:space="preserve">gegenüber Ethambutol als zuverlässig erachtet, wenn sie in qualitätsgesicherten Laboren durchgeführt wird [26]. Die Testung von Pyrazinamid könnte anhand eines </w:t>
      </w:r>
      <w:r>
        <w:rPr>
          <w:rFonts w:ascii="Tahoma" w:hAnsi="Tahoma"/>
          <w:sz w:val="18"/>
        </w:rPr>
        <w:t xml:space="preserve">genotypischen (Nachweis von </w:t>
      </w:r>
      <w:r>
        <w:rPr>
          <w:rFonts w:ascii="Tahoma" w:hAnsi="Tahoma"/>
          <w:i/>
          <w:sz w:val="18"/>
        </w:rPr>
        <w:t>pncA</w:t>
      </w:r>
      <w:r>
        <w:rPr>
          <w:rFonts w:ascii="Tahoma" w:hAnsi="Tahoma"/>
          <w:sz w:val="18"/>
        </w:rPr>
        <w:t>-Mutationen) oder phänotypischen Tests (d. h.</w:t>
      </w:r>
      <w:r w:rsidR="000E02F1">
        <w:rPr>
          <w:rFonts w:ascii="Tahoma" w:hAnsi="Tahoma"/>
          <w:sz w:val="18"/>
        </w:rPr>
        <w:t xml:space="preserve"> kulturbasierte</w:t>
      </w:r>
      <w:r>
        <w:rPr>
          <w:rFonts w:ascii="Tahoma" w:hAnsi="Tahoma"/>
          <w:sz w:val="18"/>
        </w:rPr>
        <w:t xml:space="preserve"> automatisierte [Flüssig-]Methoden) erfolgen.</w:t>
      </w:r>
    </w:p>
    <w:p w:rsidR="00DA3A70" w:rsidRPr="000D0DB0" w:rsidP="0028467E" w14:paraId="13A00771" w14:textId="4E353525">
      <w:pPr>
        <w:spacing w:after="120"/>
        <w:rPr>
          <w:rFonts w:ascii="Tahoma" w:hAnsi="Tahoma" w:cs="Tahoma"/>
          <w:sz w:val="18"/>
          <w:szCs w:val="18"/>
        </w:rPr>
      </w:pPr>
      <w:r>
        <w:rPr>
          <w:rFonts w:ascii="Tahoma" w:hAnsi="Tahoma"/>
          <w:sz w:val="18"/>
        </w:rPr>
        <w:t xml:space="preserve">Das individualisierte Regime sollte während der </w:t>
      </w:r>
      <w:r w:rsidR="00B73333">
        <w:rPr>
          <w:rFonts w:ascii="Tahoma" w:hAnsi="Tahoma"/>
          <w:sz w:val="18"/>
        </w:rPr>
        <w:t>Intensivphase</w:t>
      </w:r>
      <w:r>
        <w:rPr>
          <w:rFonts w:ascii="Tahoma" w:hAnsi="Tahoma"/>
          <w:sz w:val="18"/>
        </w:rPr>
        <w:t xml:space="preserve"> mindestens fünf gegen Tuberkulose wirksame Arzneimittel beinhalten, einschließlich Pyrazinamid, und vier </w:t>
      </w:r>
      <w:r w:rsidR="00B73333">
        <w:rPr>
          <w:rFonts w:ascii="Tahoma" w:hAnsi="Tahoma"/>
          <w:sz w:val="18"/>
        </w:rPr>
        <w:t>Kernmedikamente der Nicht-Standardtherapie</w:t>
      </w:r>
      <w:r>
        <w:rPr>
          <w:rFonts w:ascii="Tahoma" w:hAnsi="Tahoma"/>
          <w:sz w:val="18"/>
        </w:rPr>
        <w:t xml:space="preserve"> gegen Tuberkulose. Die Arzneimittel sollten wie folgt ausgewählt werden: eines aus der Gruppe A, eines aus der Gruppe B und mindestens zwei aus der Gruppe C (Tabelle). Wenn die Mindestanzahl von fünf wirksamen Arzneimitteln gegen Tuberkulose nicht aus Arzneimitteln der Gruppe A bis C zusammengestellt werden kann, können ein Wirkstoff aus der Gruppe D2 und andere Wirkstoffe aus der Gruppe D3 hinzugefügt werden, um auf eine Gesamtzahl von fünf zu kommen. Wenn Pyrazinamid nicht angewendet werden kann (z. B. aufgrund einer Resistenz oder Toxizität) kann ein zusätzlicher Wirkstoff aus der Gruppe C oder D hinzugefügt werden, um das Regime zu stärken. Die Gesamtdauer der Behandlung beträgt 20 bis 24 Monate, wobei die empfohlene </w:t>
      </w:r>
      <w:r w:rsidR="00B73333">
        <w:rPr>
          <w:rFonts w:ascii="Tahoma" w:hAnsi="Tahoma"/>
          <w:sz w:val="18"/>
        </w:rPr>
        <w:t>Intensivphase</w:t>
      </w:r>
      <w:r>
        <w:rPr>
          <w:rFonts w:ascii="Tahoma" w:hAnsi="Tahoma"/>
          <w:sz w:val="18"/>
        </w:rPr>
        <w:t xml:space="preserve"> 8 Monate beträgt [5]. </w:t>
      </w:r>
    </w:p>
    <w:p w:rsidR="00DA3A70" w:rsidRPr="000D0DB0" w:rsidP="0028467E" w14:paraId="7D4A42E1" w14:textId="665B6D72">
      <w:pPr>
        <w:spacing w:after="120"/>
        <w:rPr>
          <w:rFonts w:ascii="Tahoma" w:hAnsi="Tahoma" w:cs="Tahoma"/>
          <w:sz w:val="18"/>
          <w:szCs w:val="18"/>
          <w:highlight w:val="yellow"/>
        </w:rPr>
      </w:pPr>
      <w:r>
        <w:rPr>
          <w:rFonts w:ascii="Tahoma" w:hAnsi="Tahoma"/>
          <w:sz w:val="18"/>
        </w:rPr>
        <w:t xml:space="preserve">Bei Patienten mit rifampicinresistenter Tuberkulose oder MDR-TB, die zuvor nicht mit </w:t>
      </w:r>
      <w:r w:rsidR="001C6E94">
        <w:rPr>
          <w:rFonts w:ascii="Tahoma" w:hAnsi="Tahoma"/>
          <w:sz w:val="18"/>
        </w:rPr>
        <w:t>Medikamenten der Nicht-Standardtherapie</w:t>
      </w:r>
      <w:r>
        <w:rPr>
          <w:rFonts w:ascii="Tahoma" w:hAnsi="Tahoma"/>
          <w:sz w:val="18"/>
        </w:rPr>
        <w:t xml:space="preserve"> behandelt wurden und bei denen eine Resistenz gegenüber Fluorchinolonen und injizierbaren </w:t>
      </w:r>
      <w:r w:rsidR="00B73333">
        <w:rPr>
          <w:rFonts w:ascii="Tahoma" w:hAnsi="Tahoma"/>
          <w:sz w:val="18"/>
        </w:rPr>
        <w:t xml:space="preserve">Medikamenten der Nicht-Standardtherapie </w:t>
      </w:r>
      <w:r>
        <w:rPr>
          <w:rFonts w:ascii="Tahoma" w:hAnsi="Tahoma"/>
          <w:sz w:val="18"/>
        </w:rPr>
        <w:t xml:space="preserve">ausgeschlossen wurde oder als hochgradig unwahrscheinlich erachtet wird, kann anstatt des konventionellen individualisierten Regimes eine kürzere Dauer der Behandlung gegen die MDR-TB von 9 bis 11 Monaten, wie von der WHO empfohlen, angewendet werden [5, 25, 27]. </w:t>
      </w:r>
    </w:p>
    <w:p w:rsidR="00DA3A70" w:rsidRPr="009C03B7" w:rsidP="0028467E" w14:paraId="24F4A0DC" w14:textId="0AC77449">
      <w:pPr>
        <w:spacing w:after="120"/>
        <w:rPr>
          <w:rFonts w:ascii="Tahoma" w:hAnsi="Tahoma" w:cs="Tahoma"/>
          <w:sz w:val="18"/>
          <w:szCs w:val="18"/>
        </w:rPr>
      </w:pPr>
      <w:r>
        <w:rPr>
          <w:rFonts w:ascii="Tahoma" w:hAnsi="Tahoma"/>
          <w:sz w:val="18"/>
        </w:rPr>
        <w:t>Bei Patienten mit XDR-TB oder Erkrankungen durch Bakterienstämme, die gegenüber Fluorchinolonen oder injizierbaren Medikamenten der Nicht-Standardtherapie resistent sind, ist d</w:t>
      </w:r>
      <w:r w:rsidR="00455819">
        <w:rPr>
          <w:rFonts w:ascii="Tahoma" w:hAnsi="Tahoma"/>
          <w:sz w:val="18"/>
        </w:rPr>
        <w:t>ie Behandlung mit neuen Arzneimitteln, einschließlich Bedaquilin und Delamanid zusammen mit</w:t>
      </w:r>
      <w:r w:rsidR="000E02F1">
        <w:rPr>
          <w:rFonts w:ascii="Tahoma" w:hAnsi="Tahoma"/>
          <w:sz w:val="18"/>
        </w:rPr>
        <w:t xml:space="preserve"> für einen anderen</w:t>
      </w:r>
      <w:r w:rsidR="00455819">
        <w:rPr>
          <w:rFonts w:ascii="Tahoma" w:hAnsi="Tahoma"/>
          <w:sz w:val="18"/>
        </w:rPr>
        <w:t xml:space="preserve"> Zweck </w:t>
      </w:r>
      <w:r w:rsidR="000E02F1">
        <w:rPr>
          <w:rFonts w:ascii="Tahoma" w:hAnsi="Tahoma"/>
          <w:sz w:val="18"/>
        </w:rPr>
        <w:t>wiederverwendete</w:t>
      </w:r>
      <w:r w:rsidR="00455819">
        <w:rPr>
          <w:rFonts w:ascii="Tahoma" w:hAnsi="Tahoma"/>
          <w:sz w:val="18"/>
        </w:rPr>
        <w:t xml:space="preserve"> Arzneimitteln wie Linezolid und Clofazamin sowie </w:t>
      </w:r>
      <w:r>
        <w:rPr>
          <w:rFonts w:ascii="Tahoma" w:hAnsi="Tahoma"/>
          <w:sz w:val="18"/>
        </w:rPr>
        <w:t xml:space="preserve">mit </w:t>
      </w:r>
      <w:r w:rsidR="00455180">
        <w:rPr>
          <w:rFonts w:ascii="Tahoma" w:hAnsi="Tahoma"/>
          <w:sz w:val="18"/>
        </w:rPr>
        <w:t>Medikamente</w:t>
      </w:r>
      <w:r>
        <w:rPr>
          <w:rFonts w:ascii="Tahoma" w:hAnsi="Tahoma"/>
          <w:sz w:val="18"/>
        </w:rPr>
        <w:t>n</w:t>
      </w:r>
      <w:r w:rsidR="00455180">
        <w:rPr>
          <w:rFonts w:ascii="Tahoma" w:hAnsi="Tahoma"/>
          <w:sz w:val="18"/>
        </w:rPr>
        <w:t xml:space="preserve"> der Nicht-Standardtherapie</w:t>
      </w:r>
      <w:r w:rsidR="00455819">
        <w:rPr>
          <w:rFonts w:ascii="Tahoma" w:hAnsi="Tahoma"/>
          <w:sz w:val="18"/>
        </w:rPr>
        <w:t xml:space="preserve">, gegen die der </w:t>
      </w:r>
      <w:r w:rsidR="00455819">
        <w:rPr>
          <w:rFonts w:ascii="Tahoma" w:hAnsi="Tahoma"/>
          <w:i/>
          <w:sz w:val="18"/>
        </w:rPr>
        <w:t>M.-tuberculosis</w:t>
      </w:r>
      <w:r w:rsidR="00455819">
        <w:rPr>
          <w:rFonts w:ascii="Tahoma" w:hAnsi="Tahoma"/>
          <w:sz w:val="18"/>
        </w:rPr>
        <w:t>-Stamm wahrscheinlich empfindlich ist</w:t>
      </w:r>
      <w:r w:rsidR="0084583C">
        <w:rPr>
          <w:rFonts w:ascii="Tahoma" w:hAnsi="Tahoma"/>
          <w:sz w:val="18"/>
        </w:rPr>
        <w:t>,</w:t>
      </w:r>
      <w:r w:rsidR="00455819">
        <w:rPr>
          <w:rFonts w:ascii="Tahoma" w:hAnsi="Tahoma"/>
          <w:sz w:val="18"/>
        </w:rPr>
        <w:t xml:space="preserve"> erforderlich [28, 29]. Bei Patienten mit schweren </w:t>
      </w:r>
      <w:r w:rsidR="00EB6BBA">
        <w:rPr>
          <w:rFonts w:ascii="Tahoma" w:hAnsi="Tahoma"/>
          <w:sz w:val="18"/>
        </w:rPr>
        <w:t xml:space="preserve">unerwünschten Arzneimittelwirkungen </w:t>
      </w:r>
      <w:r w:rsidR="00455819">
        <w:rPr>
          <w:rFonts w:ascii="Tahoma" w:hAnsi="Tahoma"/>
          <w:sz w:val="18"/>
        </w:rPr>
        <w:t xml:space="preserve">gegenüber Fluorchinolonen oder injizierbaren </w:t>
      </w:r>
      <w:r w:rsidR="00455180">
        <w:rPr>
          <w:rFonts w:ascii="Tahoma" w:hAnsi="Tahoma"/>
          <w:sz w:val="18"/>
        </w:rPr>
        <w:t>Medikamenten der Nicht-Standardtherapie</w:t>
      </w:r>
      <w:r w:rsidR="00455819">
        <w:rPr>
          <w:rFonts w:ascii="Tahoma" w:hAnsi="Tahoma"/>
          <w:sz w:val="18"/>
        </w:rPr>
        <w:t xml:space="preserve"> können ebenfalls neue und</w:t>
      </w:r>
      <w:r w:rsidR="000E02F1">
        <w:rPr>
          <w:rFonts w:ascii="Tahoma" w:hAnsi="Tahoma"/>
          <w:sz w:val="18"/>
        </w:rPr>
        <w:t xml:space="preserve"> für einen anderen</w:t>
      </w:r>
      <w:r w:rsidR="00455819">
        <w:rPr>
          <w:rFonts w:ascii="Tahoma" w:hAnsi="Tahoma"/>
          <w:sz w:val="18"/>
        </w:rPr>
        <w:t xml:space="preserve"> Zweck </w:t>
      </w:r>
      <w:r w:rsidR="000E02F1">
        <w:rPr>
          <w:rFonts w:ascii="Tahoma" w:hAnsi="Tahoma"/>
          <w:sz w:val="18"/>
        </w:rPr>
        <w:t>wiederverwendete</w:t>
      </w:r>
      <w:r w:rsidR="00455819">
        <w:rPr>
          <w:rFonts w:ascii="Tahoma" w:hAnsi="Tahoma"/>
          <w:sz w:val="18"/>
        </w:rPr>
        <w:t xml:space="preserve"> Arzneimittel in Betracht gezogen werden.</w:t>
      </w:r>
    </w:p>
    <w:p w:rsidR="00DA3A70" w:rsidRPr="0028467E" w:rsidP="000D0DB0" w14:paraId="57CBD9C8" w14:textId="20C4C11B">
      <w:pPr>
        <w:rPr>
          <w:rFonts w:ascii="Tahoma" w:hAnsi="Tahoma" w:cs="Tahoma"/>
          <w:spacing w:val="-2"/>
          <w:sz w:val="18"/>
          <w:szCs w:val="18"/>
        </w:rPr>
      </w:pPr>
      <w:r>
        <w:rPr>
          <w:rFonts w:ascii="Tahoma" w:hAnsi="Tahoma"/>
          <w:spacing w:val="-2"/>
          <w:sz w:val="18"/>
        </w:rPr>
        <w:t xml:space="preserve">Unerwünschte Arzneimittelwirkungen </w:t>
      </w:r>
      <w:r w:rsidR="002A1637">
        <w:rPr>
          <w:rFonts w:ascii="Tahoma" w:hAnsi="Tahoma"/>
          <w:spacing w:val="-2"/>
          <w:sz w:val="18"/>
        </w:rPr>
        <w:t xml:space="preserve">nach Verschreibung von </w:t>
      </w:r>
      <w:r w:rsidR="0084583C">
        <w:rPr>
          <w:rFonts w:ascii="Tahoma" w:hAnsi="Tahoma"/>
          <w:spacing w:val="-2"/>
          <w:sz w:val="18"/>
        </w:rPr>
        <w:t xml:space="preserve">Arzneimitteln </w:t>
      </w:r>
      <w:r w:rsidR="00455180">
        <w:rPr>
          <w:rFonts w:ascii="Tahoma" w:hAnsi="Tahoma"/>
          <w:spacing w:val="-2"/>
          <w:sz w:val="18"/>
        </w:rPr>
        <w:t xml:space="preserve">der Nicht-Standardtherapie </w:t>
      </w:r>
      <w:r w:rsidR="002A1637">
        <w:rPr>
          <w:rFonts w:ascii="Tahoma" w:hAnsi="Tahoma"/>
          <w:spacing w:val="-2"/>
          <w:sz w:val="18"/>
        </w:rPr>
        <w:t xml:space="preserve">sollten gemäß den internationalen Empfehlungen mit dem Ziel der Begrenzung eines </w:t>
      </w:r>
      <w:r w:rsidR="00455180">
        <w:rPr>
          <w:rFonts w:ascii="Tahoma" w:hAnsi="Tahoma"/>
          <w:spacing w:val="-2"/>
          <w:sz w:val="18"/>
        </w:rPr>
        <w:t xml:space="preserve">möglichen </w:t>
      </w:r>
      <w:r w:rsidR="002A1637">
        <w:rPr>
          <w:rFonts w:ascii="Tahoma" w:hAnsi="Tahoma"/>
          <w:spacing w:val="-2"/>
          <w:sz w:val="18"/>
        </w:rPr>
        <w:t>Verlusts eines wirksamen Arzneimittels aufgrund solcher Nebenwirkungen behandelt werden [2].</w:t>
      </w:r>
    </w:p>
    <w:p w:rsidR="00DA3A70" w:rsidRPr="000D0DB0" w:rsidP="0028467E" w14:paraId="426EC0E5" w14:textId="5FFA54AF">
      <w:pPr>
        <w:spacing w:after="120"/>
        <w:rPr>
          <w:rFonts w:ascii="Tahoma" w:hAnsi="Tahoma" w:cs="Tahoma"/>
          <w:sz w:val="18"/>
          <w:szCs w:val="18"/>
        </w:rPr>
      </w:pPr>
      <w:r>
        <w:rPr>
          <w:rFonts w:ascii="Tahoma" w:hAnsi="Tahoma"/>
          <w:spacing w:val="-2"/>
          <w:sz w:val="18"/>
        </w:rPr>
        <w:t>Unerwünschte Arzneimittelwirkungen</w:t>
      </w:r>
      <w:r w:rsidR="00455819">
        <w:rPr>
          <w:rFonts w:ascii="Tahoma" w:hAnsi="Tahoma"/>
          <w:sz w:val="18"/>
        </w:rPr>
        <w:t xml:space="preserve"> sowie die Entscheidung, ein </w:t>
      </w:r>
      <w:r w:rsidR="00455180">
        <w:rPr>
          <w:rFonts w:ascii="Tahoma" w:hAnsi="Tahoma"/>
          <w:sz w:val="18"/>
        </w:rPr>
        <w:t xml:space="preserve">Nicht-Standardregime </w:t>
      </w:r>
      <w:r w:rsidR="00455819">
        <w:rPr>
          <w:rFonts w:ascii="Tahoma" w:hAnsi="Tahoma"/>
          <w:sz w:val="18"/>
        </w:rPr>
        <w:t xml:space="preserve">zu beginnen, zu verändern oder zu unterbrechen, sollten von </w:t>
      </w:r>
      <w:r w:rsidR="000E02F1">
        <w:rPr>
          <w:rFonts w:ascii="Tahoma" w:hAnsi="Tahoma"/>
          <w:sz w:val="18"/>
        </w:rPr>
        <w:t>einer Expertengruppe</w:t>
      </w:r>
      <w:r w:rsidR="00455819">
        <w:rPr>
          <w:rFonts w:ascii="Tahoma" w:hAnsi="Tahoma"/>
          <w:sz w:val="18"/>
        </w:rPr>
        <w:t xml:space="preserve"> (z. B. „TB </w:t>
      </w:r>
      <w:r>
        <w:rPr>
          <w:rFonts w:ascii="Tahoma" w:hAnsi="Tahoma"/>
          <w:sz w:val="18"/>
        </w:rPr>
        <w:t>K</w:t>
      </w:r>
      <w:r w:rsidR="00455819">
        <w:rPr>
          <w:rFonts w:ascii="Tahoma" w:hAnsi="Tahoma"/>
          <w:sz w:val="18"/>
        </w:rPr>
        <w:t xml:space="preserve">onsilium“ oder Ähnliches) und nicht von einzelnen Ärzten übernommen werden, um Fehler zu minimieren und die Verantwortung aufzuteilen sowie Erfahrungen und Expertise auszutauschen [28, 30, 31]. Es sollten alle </w:t>
      </w:r>
      <w:r>
        <w:rPr>
          <w:rFonts w:ascii="Tahoma" w:hAnsi="Tahoma"/>
          <w:sz w:val="18"/>
        </w:rPr>
        <w:t xml:space="preserve">Anstrengungen </w:t>
      </w:r>
      <w:r w:rsidR="00455819">
        <w:rPr>
          <w:rFonts w:ascii="Tahoma" w:hAnsi="Tahoma"/>
          <w:sz w:val="18"/>
        </w:rPr>
        <w:t>unternommen werden, um die Entwicklung einer weiteren Arzneimittelresistenz zu verhindern.</w:t>
      </w:r>
    </w:p>
    <w:p w:rsidR="00DA3A70" w:rsidRPr="000D0DB0" w:rsidP="0028467E" w14:paraId="2DEAF8F8" w14:textId="218FB1F1">
      <w:pPr>
        <w:spacing w:after="120"/>
        <w:rPr>
          <w:rFonts w:ascii="Tahoma" w:hAnsi="Tahoma" w:cs="Tahoma"/>
          <w:sz w:val="18"/>
          <w:szCs w:val="18"/>
        </w:rPr>
      </w:pPr>
      <w:r>
        <w:rPr>
          <w:rFonts w:ascii="Tahoma" w:hAnsi="Tahoma"/>
          <w:sz w:val="18"/>
        </w:rPr>
        <w:t>Die WHO schlägt in ausgewählten Fällen mit pulmonaler Tuberkulose</w:t>
      </w:r>
      <w:r w:rsidRPr="001C6E94" w:rsidR="001C6E94">
        <w:rPr>
          <w:rFonts w:ascii="Tahoma" w:hAnsi="Tahoma"/>
          <w:sz w:val="18"/>
        </w:rPr>
        <w:t xml:space="preserve"> </w:t>
      </w:r>
      <w:r w:rsidR="001C6E94">
        <w:rPr>
          <w:rFonts w:ascii="Tahoma" w:hAnsi="Tahoma"/>
          <w:sz w:val="18"/>
        </w:rPr>
        <w:t>vor,</w:t>
      </w:r>
      <w:r>
        <w:rPr>
          <w:rFonts w:ascii="Tahoma" w:hAnsi="Tahoma"/>
          <w:sz w:val="18"/>
        </w:rPr>
        <w:t xml:space="preserve"> zusätzlich zur </w:t>
      </w:r>
      <w:r w:rsidR="00EB6BBA">
        <w:rPr>
          <w:rFonts w:ascii="Tahoma" w:hAnsi="Tahoma"/>
          <w:sz w:val="18"/>
        </w:rPr>
        <w:t xml:space="preserve">medikamentösen Behandlung </w:t>
      </w:r>
      <w:r>
        <w:rPr>
          <w:rFonts w:ascii="Tahoma" w:hAnsi="Tahoma"/>
          <w:sz w:val="18"/>
        </w:rPr>
        <w:t>einen operativen Eingriff vorzunehmen, z. B. bei jenen mit</w:t>
      </w:r>
      <w:r w:rsidR="00455180">
        <w:rPr>
          <w:rFonts w:ascii="Tahoma" w:hAnsi="Tahoma"/>
          <w:sz w:val="18"/>
        </w:rPr>
        <w:t xml:space="preserve"> auf einen Lappen beschränkten,</w:t>
      </w:r>
      <w:r>
        <w:rPr>
          <w:rFonts w:ascii="Tahoma" w:hAnsi="Tahoma"/>
          <w:sz w:val="18"/>
        </w:rPr>
        <w:t xml:space="preserve"> großen Hohlräumen</w:t>
      </w:r>
      <w:r w:rsidR="00AA7E97">
        <w:rPr>
          <w:rFonts w:ascii="Tahoma" w:hAnsi="Tahoma"/>
          <w:sz w:val="18"/>
        </w:rPr>
        <w:t xml:space="preserve"> </w:t>
      </w:r>
      <w:r>
        <w:rPr>
          <w:rFonts w:ascii="Tahoma" w:hAnsi="Tahoma"/>
          <w:sz w:val="18"/>
        </w:rPr>
        <w:t>[23]. Weitere Forschung in diese Richtung ist erforderlich.</w:t>
      </w:r>
    </w:p>
    <w:p w:rsidR="00835340" w14:paraId="2A5E0B86" w14:textId="77777777">
      <w:pPr>
        <w:spacing w:after="160" w:line="259" w:lineRule="auto"/>
        <w:rPr>
          <w:b/>
        </w:rPr>
      </w:pPr>
      <w:r>
        <w:br w:type="page"/>
      </w:r>
    </w:p>
    <w:p w:rsidR="00DA3A70" w:rsidRPr="008B3297" w:rsidP="0028467E" w14:paraId="74ECEDD1" w14:textId="77777777">
      <w:pPr>
        <w:spacing w:after="120"/>
        <w:rPr>
          <w:rFonts w:ascii="Tahoma" w:hAnsi="Tahoma" w:cs="Tahoma"/>
          <w:b/>
          <w:sz w:val="18"/>
          <w:szCs w:val="18"/>
        </w:rPr>
      </w:pPr>
      <w:r>
        <w:rPr>
          <w:rFonts w:ascii="Tahoma" w:hAnsi="Tahoma"/>
          <w:b/>
          <w:sz w:val="18"/>
        </w:rPr>
        <w:t>Die Klassifikation der Weltgesundheitsorganisation für Arzneimittel gegen Tuberkulose [23]</w:t>
      </w:r>
    </w:p>
    <w:tbl>
      <w:tblPr>
        <w:tblW w:w="9069"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tblPr>
      <w:tblGrid>
        <w:gridCol w:w="3031"/>
        <w:gridCol w:w="675"/>
        <w:gridCol w:w="2528"/>
        <w:gridCol w:w="2835"/>
      </w:tblGrid>
      <w:tr w14:paraId="4B82EC89" w14:textId="77777777" w:rsidTr="0028467E">
        <w:tblPrEx>
          <w:tblW w:w="9069"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tblPrEx>
        <w:tc>
          <w:tcPr>
            <w:tcW w:w="3031" w:type="dxa"/>
            <w:shd w:val="clear" w:color="auto" w:fill="69AF23"/>
          </w:tcPr>
          <w:p w:rsidR="00DA3A70" w:rsidRPr="0028467E" w:rsidP="0028467E" w14:paraId="406C5879" w14:textId="77777777">
            <w:pPr>
              <w:autoSpaceDE w:val="0"/>
              <w:autoSpaceDN w:val="0"/>
              <w:adjustRightInd w:val="0"/>
              <w:spacing w:before="120" w:after="120" w:line="240" w:lineRule="auto"/>
              <w:ind w:left="720"/>
              <w:jc w:val="both"/>
              <w:rPr>
                <w:rFonts w:ascii="Tahoma" w:hAnsi="Tahoma" w:cs="Tahoma"/>
                <w:b/>
                <w:color w:val="FFFFFF" w:themeColor="background1"/>
                <w:sz w:val="18"/>
                <w:szCs w:val="18"/>
              </w:rPr>
            </w:pPr>
            <w:r>
              <w:rPr>
                <w:rFonts w:ascii="Tahoma" w:hAnsi="Tahoma"/>
                <w:b/>
                <w:color w:val="FFFFFF" w:themeColor="background1"/>
                <w:sz w:val="18"/>
              </w:rPr>
              <w:t>Gruppe</w:t>
            </w:r>
          </w:p>
        </w:tc>
        <w:tc>
          <w:tcPr>
            <w:tcW w:w="3203" w:type="dxa"/>
            <w:gridSpan w:val="2"/>
            <w:shd w:val="clear" w:color="auto" w:fill="69AF23"/>
          </w:tcPr>
          <w:p w:rsidR="00DA3A70" w:rsidRPr="0028467E" w:rsidP="0028467E" w14:paraId="178AE304" w14:textId="77777777">
            <w:pPr>
              <w:autoSpaceDE w:val="0"/>
              <w:autoSpaceDN w:val="0"/>
              <w:adjustRightInd w:val="0"/>
              <w:spacing w:before="120" w:after="120" w:line="240" w:lineRule="auto"/>
              <w:jc w:val="both"/>
              <w:rPr>
                <w:rFonts w:ascii="Tahoma" w:hAnsi="Tahoma" w:cs="Tahoma"/>
                <w:b/>
                <w:color w:val="FFFFFF" w:themeColor="background1"/>
                <w:sz w:val="18"/>
                <w:szCs w:val="18"/>
              </w:rPr>
            </w:pPr>
            <w:r>
              <w:rPr>
                <w:rFonts w:ascii="Tahoma" w:hAnsi="Tahoma"/>
                <w:b/>
                <w:color w:val="FFFFFF" w:themeColor="background1"/>
                <w:sz w:val="18"/>
              </w:rPr>
              <w:t>Arzneimittel</w:t>
            </w:r>
          </w:p>
        </w:tc>
        <w:tc>
          <w:tcPr>
            <w:tcW w:w="2835" w:type="dxa"/>
            <w:shd w:val="clear" w:color="auto" w:fill="69AF23"/>
          </w:tcPr>
          <w:p w:rsidR="00DA3A70" w:rsidRPr="0028467E" w:rsidP="0028467E" w14:paraId="4633C7C0" w14:textId="77777777">
            <w:pPr>
              <w:autoSpaceDE w:val="0"/>
              <w:autoSpaceDN w:val="0"/>
              <w:adjustRightInd w:val="0"/>
              <w:spacing w:before="120" w:after="120" w:line="240" w:lineRule="auto"/>
              <w:jc w:val="both"/>
              <w:rPr>
                <w:rFonts w:ascii="Tahoma" w:hAnsi="Tahoma" w:cs="Tahoma"/>
                <w:b/>
                <w:color w:val="FFFFFF" w:themeColor="background1"/>
                <w:sz w:val="18"/>
                <w:szCs w:val="18"/>
              </w:rPr>
            </w:pPr>
            <w:r>
              <w:rPr>
                <w:rFonts w:ascii="Tahoma" w:hAnsi="Tahoma"/>
                <w:b/>
                <w:color w:val="FFFFFF" w:themeColor="background1"/>
                <w:sz w:val="18"/>
              </w:rPr>
              <w:t>Abkürzung</w:t>
            </w:r>
          </w:p>
        </w:tc>
      </w:tr>
      <w:tr w14:paraId="01480648" w14:textId="77777777" w:rsidTr="0028467E">
        <w:tblPrEx>
          <w:tblW w:w="9069" w:type="dxa"/>
          <w:tblLook w:val="04A0"/>
        </w:tblPrEx>
        <w:tc>
          <w:tcPr>
            <w:tcW w:w="3031" w:type="dxa"/>
            <w:shd w:val="clear" w:color="auto" w:fill="auto"/>
          </w:tcPr>
          <w:p w:rsidR="00DA3A70" w:rsidRPr="00D40AC5" w:rsidP="00D40AC5" w14:paraId="78B93129" w14:textId="77777777">
            <w:pPr>
              <w:pStyle w:val="ListParagraph"/>
              <w:numPr>
                <w:ilvl w:val="0"/>
                <w:numId w:val="32"/>
              </w:numPr>
              <w:autoSpaceDE w:val="0"/>
              <w:autoSpaceDN w:val="0"/>
              <w:adjustRightInd w:val="0"/>
              <w:spacing w:after="0" w:line="240" w:lineRule="auto"/>
              <w:rPr>
                <w:rFonts w:ascii="Tahoma" w:hAnsi="Tahoma" w:cs="Tahoma"/>
                <w:sz w:val="18"/>
                <w:szCs w:val="18"/>
              </w:rPr>
            </w:pPr>
            <w:r>
              <w:rPr>
                <w:rFonts w:ascii="Tahoma" w:hAnsi="Tahoma"/>
                <w:sz w:val="18"/>
              </w:rPr>
              <w:t>Fluorchinolone</w:t>
            </w:r>
          </w:p>
        </w:tc>
        <w:tc>
          <w:tcPr>
            <w:tcW w:w="3203" w:type="dxa"/>
            <w:gridSpan w:val="2"/>
            <w:shd w:val="clear" w:color="auto" w:fill="auto"/>
          </w:tcPr>
          <w:p w:rsidR="00DA3A70" w:rsidRPr="0028467E" w:rsidP="000D0DB0" w14:paraId="739FF996" w14:textId="77777777">
            <w:pPr>
              <w:autoSpaceDE w:val="0"/>
              <w:autoSpaceDN w:val="0"/>
              <w:adjustRightInd w:val="0"/>
              <w:spacing w:after="0" w:line="240" w:lineRule="auto"/>
              <w:rPr>
                <w:rFonts w:ascii="Tahoma" w:hAnsi="Tahoma" w:cs="Tahoma"/>
                <w:sz w:val="18"/>
                <w:szCs w:val="18"/>
              </w:rPr>
            </w:pPr>
            <w:r>
              <w:rPr>
                <w:rFonts w:ascii="Tahoma" w:hAnsi="Tahoma"/>
                <w:sz w:val="18"/>
              </w:rPr>
              <w:t>Levofloxacin</w:t>
            </w:r>
          </w:p>
          <w:p w:rsidR="00DA3A70" w:rsidRPr="0028467E" w:rsidP="000D0DB0" w14:paraId="5B36EDE5" w14:textId="77777777">
            <w:pPr>
              <w:autoSpaceDE w:val="0"/>
              <w:autoSpaceDN w:val="0"/>
              <w:adjustRightInd w:val="0"/>
              <w:spacing w:after="0" w:line="240" w:lineRule="auto"/>
              <w:rPr>
                <w:rFonts w:ascii="Tahoma" w:hAnsi="Tahoma" w:cs="Tahoma"/>
                <w:sz w:val="18"/>
                <w:szCs w:val="18"/>
              </w:rPr>
            </w:pPr>
            <w:r>
              <w:rPr>
                <w:rFonts w:ascii="Tahoma" w:hAnsi="Tahoma"/>
                <w:sz w:val="18"/>
              </w:rPr>
              <w:t>Moxifloxacin</w:t>
            </w:r>
          </w:p>
          <w:p w:rsidR="00DA3A70" w:rsidRPr="0028467E" w:rsidP="000D0DB0" w14:paraId="65515483" w14:textId="77777777">
            <w:pPr>
              <w:autoSpaceDE w:val="0"/>
              <w:autoSpaceDN w:val="0"/>
              <w:adjustRightInd w:val="0"/>
              <w:spacing w:after="0" w:line="240" w:lineRule="auto"/>
              <w:rPr>
                <w:rFonts w:ascii="Tahoma" w:hAnsi="Tahoma" w:cs="Tahoma"/>
                <w:sz w:val="18"/>
                <w:szCs w:val="18"/>
              </w:rPr>
            </w:pPr>
            <w:r>
              <w:rPr>
                <w:rFonts w:ascii="Tahoma" w:hAnsi="Tahoma"/>
                <w:sz w:val="18"/>
              </w:rPr>
              <w:t>Gatifloxacin</w:t>
            </w:r>
          </w:p>
        </w:tc>
        <w:tc>
          <w:tcPr>
            <w:tcW w:w="2835" w:type="dxa"/>
            <w:shd w:val="clear" w:color="auto" w:fill="auto"/>
          </w:tcPr>
          <w:p w:rsidR="00DA3A70" w:rsidRPr="0028467E" w:rsidP="000D0DB0" w14:paraId="7C241C20" w14:textId="77777777">
            <w:pPr>
              <w:autoSpaceDE w:val="0"/>
              <w:autoSpaceDN w:val="0"/>
              <w:adjustRightInd w:val="0"/>
              <w:spacing w:after="0" w:line="240" w:lineRule="auto"/>
              <w:rPr>
                <w:rFonts w:ascii="Tahoma" w:hAnsi="Tahoma" w:cs="Tahoma"/>
                <w:sz w:val="18"/>
                <w:szCs w:val="18"/>
              </w:rPr>
            </w:pPr>
            <w:r>
              <w:rPr>
                <w:rFonts w:ascii="Tahoma" w:hAnsi="Tahoma"/>
                <w:sz w:val="18"/>
              </w:rPr>
              <w:t>Lfx</w:t>
            </w:r>
          </w:p>
          <w:p w:rsidR="00DA3A70" w:rsidRPr="0028467E" w:rsidP="000D0DB0" w14:paraId="1057DF1B" w14:textId="77777777">
            <w:pPr>
              <w:autoSpaceDE w:val="0"/>
              <w:autoSpaceDN w:val="0"/>
              <w:adjustRightInd w:val="0"/>
              <w:spacing w:after="0" w:line="240" w:lineRule="auto"/>
              <w:rPr>
                <w:rFonts w:ascii="Tahoma" w:hAnsi="Tahoma" w:cs="Tahoma"/>
                <w:sz w:val="18"/>
                <w:szCs w:val="18"/>
              </w:rPr>
            </w:pPr>
            <w:r>
              <w:rPr>
                <w:rFonts w:ascii="Tahoma" w:hAnsi="Tahoma"/>
                <w:sz w:val="18"/>
              </w:rPr>
              <w:t>Mfx</w:t>
            </w:r>
          </w:p>
          <w:p w:rsidR="00DA3A70" w:rsidRPr="0028467E" w:rsidP="000D0DB0" w14:paraId="1616BC71" w14:textId="77777777">
            <w:pPr>
              <w:autoSpaceDE w:val="0"/>
              <w:autoSpaceDN w:val="0"/>
              <w:adjustRightInd w:val="0"/>
              <w:spacing w:after="0" w:line="240" w:lineRule="auto"/>
              <w:rPr>
                <w:rFonts w:ascii="Tahoma" w:hAnsi="Tahoma" w:cs="Tahoma"/>
                <w:sz w:val="18"/>
                <w:szCs w:val="18"/>
              </w:rPr>
            </w:pPr>
            <w:r>
              <w:rPr>
                <w:rFonts w:ascii="Tahoma" w:hAnsi="Tahoma"/>
                <w:sz w:val="18"/>
              </w:rPr>
              <w:t>Gfx</w:t>
            </w:r>
          </w:p>
        </w:tc>
      </w:tr>
      <w:tr w14:paraId="32ACB543" w14:textId="77777777" w:rsidTr="0028467E">
        <w:tblPrEx>
          <w:tblW w:w="9069" w:type="dxa"/>
          <w:tblLook w:val="04A0"/>
        </w:tblPrEx>
        <w:tc>
          <w:tcPr>
            <w:tcW w:w="3031" w:type="dxa"/>
            <w:shd w:val="clear" w:color="auto" w:fill="auto"/>
          </w:tcPr>
          <w:p w:rsidR="00DA3A70" w:rsidRPr="0028467E" w:rsidP="00455180" w14:paraId="4325B9B8" w14:textId="1D9593D0">
            <w:pPr>
              <w:pStyle w:val="ListParagraph"/>
              <w:numPr>
                <w:ilvl w:val="0"/>
                <w:numId w:val="32"/>
              </w:numPr>
              <w:autoSpaceDE w:val="0"/>
              <w:autoSpaceDN w:val="0"/>
              <w:adjustRightInd w:val="0"/>
              <w:spacing w:after="0" w:line="240" w:lineRule="auto"/>
              <w:rPr>
                <w:rFonts w:ascii="Tahoma" w:hAnsi="Tahoma" w:cs="Tahoma"/>
                <w:sz w:val="18"/>
                <w:szCs w:val="18"/>
              </w:rPr>
            </w:pPr>
            <w:r>
              <w:rPr>
                <w:rFonts w:ascii="Tahoma" w:hAnsi="Tahoma"/>
                <w:sz w:val="18"/>
              </w:rPr>
              <w:t xml:space="preserve">Injizierbare </w:t>
            </w:r>
            <w:r w:rsidR="00455180">
              <w:rPr>
                <w:rFonts w:ascii="Tahoma" w:hAnsi="Tahoma"/>
                <w:sz w:val="18"/>
              </w:rPr>
              <w:t>Medikamente der Nicht-Standardtherapie</w:t>
            </w:r>
          </w:p>
        </w:tc>
        <w:tc>
          <w:tcPr>
            <w:tcW w:w="3203" w:type="dxa"/>
            <w:gridSpan w:val="2"/>
            <w:shd w:val="clear" w:color="auto" w:fill="auto"/>
          </w:tcPr>
          <w:p w:rsidR="00DA3A70" w:rsidRPr="0028467E" w:rsidP="006F6381" w14:paraId="19529F37" w14:textId="77777777">
            <w:pPr>
              <w:autoSpaceDE w:val="0"/>
              <w:autoSpaceDN w:val="0"/>
              <w:adjustRightInd w:val="0"/>
              <w:spacing w:after="0" w:line="240" w:lineRule="auto"/>
              <w:jc w:val="both"/>
              <w:rPr>
                <w:rFonts w:ascii="Tahoma" w:hAnsi="Tahoma" w:cs="Tahoma"/>
                <w:sz w:val="18"/>
                <w:szCs w:val="18"/>
              </w:rPr>
            </w:pPr>
            <w:r>
              <w:rPr>
                <w:rFonts w:ascii="Tahoma" w:hAnsi="Tahoma"/>
                <w:sz w:val="18"/>
              </w:rPr>
              <w:t>Amikacin</w:t>
            </w:r>
          </w:p>
          <w:p w:rsidR="00DA3A70" w:rsidRPr="0028467E" w:rsidP="006F6381" w14:paraId="11B2B7FB" w14:textId="77777777">
            <w:pPr>
              <w:autoSpaceDE w:val="0"/>
              <w:autoSpaceDN w:val="0"/>
              <w:adjustRightInd w:val="0"/>
              <w:spacing w:after="0" w:line="240" w:lineRule="auto"/>
              <w:jc w:val="both"/>
              <w:rPr>
                <w:rFonts w:ascii="Tahoma" w:hAnsi="Tahoma" w:cs="Tahoma"/>
                <w:sz w:val="18"/>
                <w:szCs w:val="18"/>
              </w:rPr>
            </w:pPr>
            <w:r>
              <w:rPr>
                <w:rFonts w:ascii="Tahoma" w:hAnsi="Tahoma"/>
                <w:sz w:val="18"/>
              </w:rPr>
              <w:t>Capreomycin</w:t>
            </w:r>
          </w:p>
          <w:p w:rsidR="00DA3A70" w:rsidRPr="0028467E" w:rsidP="006F6381" w14:paraId="1048D81A" w14:textId="77777777">
            <w:pPr>
              <w:autoSpaceDE w:val="0"/>
              <w:autoSpaceDN w:val="0"/>
              <w:adjustRightInd w:val="0"/>
              <w:spacing w:after="0" w:line="240" w:lineRule="auto"/>
              <w:jc w:val="both"/>
              <w:rPr>
                <w:rFonts w:ascii="Tahoma" w:hAnsi="Tahoma" w:cs="Tahoma"/>
                <w:sz w:val="18"/>
                <w:szCs w:val="18"/>
              </w:rPr>
            </w:pPr>
            <w:r>
              <w:rPr>
                <w:rFonts w:ascii="Tahoma" w:hAnsi="Tahoma"/>
                <w:sz w:val="18"/>
              </w:rPr>
              <w:t>Kanamycin</w:t>
            </w:r>
          </w:p>
          <w:p w:rsidR="00DA3A70" w:rsidRPr="0028467E" w:rsidP="006F6381" w14:paraId="55970E99" w14:textId="77777777">
            <w:pPr>
              <w:autoSpaceDE w:val="0"/>
              <w:autoSpaceDN w:val="0"/>
              <w:adjustRightInd w:val="0"/>
              <w:spacing w:after="0" w:line="240" w:lineRule="auto"/>
              <w:jc w:val="both"/>
              <w:rPr>
                <w:rFonts w:ascii="Tahoma" w:hAnsi="Tahoma" w:cs="Tahoma"/>
                <w:sz w:val="18"/>
                <w:szCs w:val="18"/>
              </w:rPr>
            </w:pPr>
            <w:r>
              <w:rPr>
                <w:rFonts w:ascii="Tahoma" w:hAnsi="Tahoma"/>
                <w:sz w:val="18"/>
              </w:rPr>
              <w:t>(Streptomycin)</w:t>
            </w:r>
          </w:p>
        </w:tc>
        <w:tc>
          <w:tcPr>
            <w:tcW w:w="2835" w:type="dxa"/>
            <w:shd w:val="clear" w:color="auto" w:fill="auto"/>
          </w:tcPr>
          <w:p w:rsidR="00DA3A70" w:rsidRPr="0028467E" w:rsidP="006F6381" w14:paraId="1F17E36B" w14:textId="77777777">
            <w:pPr>
              <w:autoSpaceDE w:val="0"/>
              <w:autoSpaceDN w:val="0"/>
              <w:adjustRightInd w:val="0"/>
              <w:spacing w:after="0" w:line="240" w:lineRule="auto"/>
              <w:jc w:val="both"/>
              <w:rPr>
                <w:rFonts w:ascii="Tahoma" w:hAnsi="Tahoma" w:cs="Tahoma"/>
                <w:sz w:val="18"/>
                <w:szCs w:val="18"/>
              </w:rPr>
            </w:pPr>
            <w:r>
              <w:rPr>
                <w:rFonts w:ascii="Tahoma" w:hAnsi="Tahoma"/>
                <w:sz w:val="18"/>
              </w:rPr>
              <w:t>Am</w:t>
            </w:r>
          </w:p>
          <w:p w:rsidR="00DA3A70" w:rsidRPr="000D0DB0" w:rsidP="006F6381" w14:paraId="727C3F8F" w14:textId="77777777">
            <w:pPr>
              <w:autoSpaceDE w:val="0"/>
              <w:autoSpaceDN w:val="0"/>
              <w:adjustRightInd w:val="0"/>
              <w:spacing w:after="0" w:line="240" w:lineRule="auto"/>
              <w:jc w:val="both"/>
              <w:rPr>
                <w:rFonts w:ascii="Tahoma" w:hAnsi="Tahoma" w:cs="Tahoma"/>
                <w:sz w:val="18"/>
                <w:szCs w:val="18"/>
              </w:rPr>
            </w:pPr>
            <w:r>
              <w:rPr>
                <w:rFonts w:ascii="Tahoma" w:hAnsi="Tahoma"/>
                <w:sz w:val="18"/>
              </w:rPr>
              <w:t>Cm</w:t>
            </w:r>
          </w:p>
          <w:p w:rsidR="00DA3A70" w:rsidRPr="000D0DB0" w:rsidP="006F6381" w14:paraId="239F39ED" w14:textId="77777777">
            <w:pPr>
              <w:autoSpaceDE w:val="0"/>
              <w:autoSpaceDN w:val="0"/>
              <w:adjustRightInd w:val="0"/>
              <w:spacing w:after="0" w:line="240" w:lineRule="auto"/>
              <w:jc w:val="both"/>
              <w:rPr>
                <w:rFonts w:ascii="Tahoma" w:hAnsi="Tahoma" w:cs="Tahoma"/>
                <w:sz w:val="18"/>
                <w:szCs w:val="18"/>
              </w:rPr>
            </w:pPr>
            <w:r>
              <w:rPr>
                <w:rFonts w:ascii="Tahoma" w:hAnsi="Tahoma"/>
                <w:sz w:val="18"/>
              </w:rPr>
              <w:t>Km</w:t>
            </w:r>
          </w:p>
          <w:p w:rsidR="00DA3A70" w:rsidRPr="000D0DB0" w:rsidP="006F6381" w14:paraId="2E7DFF02" w14:textId="77777777">
            <w:pPr>
              <w:autoSpaceDE w:val="0"/>
              <w:autoSpaceDN w:val="0"/>
              <w:adjustRightInd w:val="0"/>
              <w:spacing w:after="0" w:line="240" w:lineRule="auto"/>
              <w:jc w:val="both"/>
              <w:rPr>
                <w:rFonts w:ascii="Tahoma" w:hAnsi="Tahoma" w:cs="Tahoma"/>
                <w:sz w:val="18"/>
                <w:szCs w:val="18"/>
              </w:rPr>
            </w:pPr>
            <w:r>
              <w:rPr>
                <w:rFonts w:ascii="Tahoma" w:hAnsi="Tahoma"/>
                <w:sz w:val="18"/>
              </w:rPr>
              <w:t>(S)</w:t>
            </w:r>
          </w:p>
        </w:tc>
      </w:tr>
      <w:tr w14:paraId="6CD9CB88" w14:textId="77777777" w:rsidTr="0028467E">
        <w:tblPrEx>
          <w:tblW w:w="9069" w:type="dxa"/>
          <w:tblLook w:val="04A0"/>
        </w:tblPrEx>
        <w:tc>
          <w:tcPr>
            <w:tcW w:w="3031" w:type="dxa"/>
            <w:shd w:val="clear" w:color="auto" w:fill="auto"/>
          </w:tcPr>
          <w:p w:rsidR="00DA3A70" w:rsidRPr="000D0DB0" w:rsidP="00455180" w14:paraId="26B29466" w14:textId="0E54674F">
            <w:pPr>
              <w:pStyle w:val="ListParagraph"/>
              <w:numPr>
                <w:ilvl w:val="0"/>
                <w:numId w:val="32"/>
              </w:numPr>
              <w:autoSpaceDE w:val="0"/>
              <w:autoSpaceDN w:val="0"/>
              <w:adjustRightInd w:val="0"/>
              <w:spacing w:after="0" w:line="240" w:lineRule="auto"/>
              <w:rPr>
                <w:rFonts w:ascii="Tahoma" w:hAnsi="Tahoma" w:cs="Tahoma"/>
                <w:sz w:val="18"/>
                <w:szCs w:val="18"/>
              </w:rPr>
            </w:pPr>
            <w:r>
              <w:rPr>
                <w:rFonts w:ascii="Tahoma" w:hAnsi="Tahoma"/>
                <w:sz w:val="18"/>
              </w:rPr>
              <w:t xml:space="preserve">Andere </w:t>
            </w:r>
            <w:r w:rsidR="00455180">
              <w:rPr>
                <w:rFonts w:ascii="Tahoma" w:hAnsi="Tahoma"/>
                <w:sz w:val="18"/>
              </w:rPr>
              <w:t>Kernmedikamente der Nicht-Standardtherapie</w:t>
            </w:r>
          </w:p>
        </w:tc>
        <w:tc>
          <w:tcPr>
            <w:tcW w:w="3203" w:type="dxa"/>
            <w:gridSpan w:val="2"/>
            <w:shd w:val="clear" w:color="auto" w:fill="auto"/>
          </w:tcPr>
          <w:p w:rsidR="00DA3A70" w:rsidRPr="000654B5" w:rsidP="006F6381" w14:paraId="2BF3C45A" w14:textId="77777777">
            <w:pPr>
              <w:autoSpaceDE w:val="0"/>
              <w:autoSpaceDN w:val="0"/>
              <w:adjustRightInd w:val="0"/>
              <w:spacing w:after="0" w:line="240" w:lineRule="auto"/>
              <w:jc w:val="both"/>
              <w:rPr>
                <w:rFonts w:ascii="Tahoma" w:hAnsi="Tahoma" w:cs="Tahoma"/>
                <w:sz w:val="18"/>
                <w:szCs w:val="18"/>
                <w:lang w:val="en-US"/>
              </w:rPr>
            </w:pPr>
            <w:r w:rsidRPr="006659AF">
              <w:rPr>
                <w:rFonts w:ascii="Tahoma" w:hAnsi="Tahoma"/>
                <w:sz w:val="18"/>
                <w:lang w:val="en-US"/>
              </w:rPr>
              <w:t>Ethionamid/Prothionamid</w:t>
            </w:r>
          </w:p>
          <w:p w:rsidR="00DA3A70" w:rsidRPr="000654B5" w:rsidP="006F6381" w14:paraId="41C08C7C" w14:textId="77777777">
            <w:pPr>
              <w:autoSpaceDE w:val="0"/>
              <w:autoSpaceDN w:val="0"/>
              <w:adjustRightInd w:val="0"/>
              <w:spacing w:after="0" w:line="240" w:lineRule="auto"/>
              <w:jc w:val="both"/>
              <w:rPr>
                <w:rFonts w:ascii="Tahoma" w:hAnsi="Tahoma" w:cs="Tahoma"/>
                <w:sz w:val="18"/>
                <w:szCs w:val="18"/>
                <w:lang w:val="en-US"/>
              </w:rPr>
            </w:pPr>
            <w:r w:rsidRPr="006659AF">
              <w:rPr>
                <w:rFonts w:ascii="Tahoma" w:hAnsi="Tahoma"/>
                <w:sz w:val="18"/>
                <w:lang w:val="en-US"/>
              </w:rPr>
              <w:t>Cycloserin/Terizidon</w:t>
            </w:r>
          </w:p>
          <w:p w:rsidR="00DA3A70" w:rsidRPr="000654B5" w:rsidP="006F6381" w14:paraId="12DA3815" w14:textId="77777777">
            <w:pPr>
              <w:autoSpaceDE w:val="0"/>
              <w:autoSpaceDN w:val="0"/>
              <w:adjustRightInd w:val="0"/>
              <w:spacing w:after="0" w:line="240" w:lineRule="auto"/>
              <w:jc w:val="both"/>
              <w:rPr>
                <w:rFonts w:ascii="Tahoma" w:hAnsi="Tahoma" w:cs="Tahoma"/>
                <w:sz w:val="18"/>
                <w:szCs w:val="18"/>
                <w:lang w:val="en-US"/>
              </w:rPr>
            </w:pPr>
            <w:r w:rsidRPr="006659AF">
              <w:rPr>
                <w:rFonts w:ascii="Tahoma" w:hAnsi="Tahoma"/>
                <w:sz w:val="18"/>
                <w:lang w:val="en-US"/>
              </w:rPr>
              <w:t>Linezolid</w:t>
            </w:r>
          </w:p>
          <w:p w:rsidR="00DA3A70" w:rsidRPr="000654B5" w:rsidP="00BD3F81" w14:paraId="58A63899" w14:textId="77777777">
            <w:pPr>
              <w:autoSpaceDE w:val="0"/>
              <w:autoSpaceDN w:val="0"/>
              <w:adjustRightInd w:val="0"/>
              <w:spacing w:after="0" w:line="240" w:lineRule="auto"/>
              <w:jc w:val="both"/>
              <w:rPr>
                <w:rFonts w:ascii="Tahoma" w:hAnsi="Tahoma" w:cs="Tahoma"/>
                <w:sz w:val="18"/>
                <w:szCs w:val="18"/>
                <w:lang w:val="en-US"/>
              </w:rPr>
            </w:pPr>
            <w:r w:rsidRPr="006659AF">
              <w:rPr>
                <w:rFonts w:ascii="Tahoma" w:hAnsi="Tahoma"/>
                <w:sz w:val="18"/>
                <w:lang w:val="en-US"/>
              </w:rPr>
              <w:t>Clofazimin</w:t>
            </w:r>
          </w:p>
        </w:tc>
        <w:tc>
          <w:tcPr>
            <w:tcW w:w="2835" w:type="dxa"/>
            <w:shd w:val="clear" w:color="auto" w:fill="auto"/>
          </w:tcPr>
          <w:p w:rsidR="00DA3A70" w:rsidRPr="000654B5" w:rsidP="006F6381" w14:paraId="7BD61D8B" w14:textId="77777777">
            <w:pPr>
              <w:autoSpaceDE w:val="0"/>
              <w:autoSpaceDN w:val="0"/>
              <w:adjustRightInd w:val="0"/>
              <w:spacing w:after="0" w:line="240" w:lineRule="auto"/>
              <w:jc w:val="both"/>
              <w:rPr>
                <w:rFonts w:ascii="Tahoma" w:hAnsi="Tahoma" w:cs="Tahoma"/>
                <w:sz w:val="18"/>
                <w:szCs w:val="18"/>
                <w:lang w:val="en-US"/>
              </w:rPr>
            </w:pPr>
            <w:r w:rsidRPr="006659AF">
              <w:rPr>
                <w:rFonts w:ascii="Tahoma" w:hAnsi="Tahoma"/>
                <w:sz w:val="18"/>
                <w:lang w:val="en-US"/>
              </w:rPr>
              <w:t>Eto/Pto</w:t>
            </w:r>
          </w:p>
          <w:p w:rsidR="00DA3A70" w:rsidRPr="000654B5" w:rsidP="006F6381" w14:paraId="60386723" w14:textId="77777777">
            <w:pPr>
              <w:autoSpaceDE w:val="0"/>
              <w:autoSpaceDN w:val="0"/>
              <w:adjustRightInd w:val="0"/>
              <w:spacing w:after="0" w:line="240" w:lineRule="auto"/>
              <w:jc w:val="both"/>
              <w:rPr>
                <w:rFonts w:ascii="Tahoma" w:hAnsi="Tahoma" w:cs="Tahoma"/>
                <w:sz w:val="18"/>
                <w:szCs w:val="18"/>
                <w:lang w:val="en-US"/>
              </w:rPr>
            </w:pPr>
            <w:r w:rsidRPr="006659AF">
              <w:rPr>
                <w:rFonts w:ascii="Tahoma" w:hAnsi="Tahoma"/>
                <w:sz w:val="18"/>
                <w:lang w:val="en-US"/>
              </w:rPr>
              <w:t>Cs/Trd</w:t>
            </w:r>
          </w:p>
          <w:p w:rsidR="00DA3A70" w:rsidRPr="000654B5" w:rsidP="006F6381" w14:paraId="6ED99D7A" w14:textId="77777777">
            <w:pPr>
              <w:autoSpaceDE w:val="0"/>
              <w:autoSpaceDN w:val="0"/>
              <w:adjustRightInd w:val="0"/>
              <w:spacing w:after="0" w:line="240" w:lineRule="auto"/>
              <w:jc w:val="both"/>
              <w:rPr>
                <w:rFonts w:ascii="Tahoma" w:hAnsi="Tahoma" w:cs="Tahoma"/>
                <w:sz w:val="18"/>
                <w:szCs w:val="18"/>
                <w:lang w:val="en-US"/>
              </w:rPr>
            </w:pPr>
            <w:r w:rsidRPr="006659AF">
              <w:rPr>
                <w:rFonts w:ascii="Tahoma" w:hAnsi="Tahoma"/>
                <w:sz w:val="18"/>
                <w:lang w:val="en-US"/>
              </w:rPr>
              <w:t>Lzd</w:t>
            </w:r>
          </w:p>
          <w:p w:rsidR="00DA3A70" w:rsidRPr="000654B5" w:rsidP="006F6381" w14:paraId="2D7B4383" w14:textId="77777777">
            <w:pPr>
              <w:autoSpaceDE w:val="0"/>
              <w:autoSpaceDN w:val="0"/>
              <w:adjustRightInd w:val="0"/>
              <w:spacing w:after="0" w:line="240" w:lineRule="auto"/>
              <w:jc w:val="both"/>
              <w:rPr>
                <w:rFonts w:ascii="Tahoma" w:hAnsi="Tahoma" w:cs="Tahoma"/>
                <w:sz w:val="18"/>
                <w:szCs w:val="18"/>
                <w:lang w:val="en-US"/>
              </w:rPr>
            </w:pPr>
            <w:r w:rsidRPr="006659AF">
              <w:rPr>
                <w:rFonts w:ascii="Tahoma" w:hAnsi="Tahoma"/>
                <w:sz w:val="18"/>
                <w:lang w:val="en-US"/>
              </w:rPr>
              <w:t>Cfz</w:t>
            </w:r>
          </w:p>
        </w:tc>
      </w:tr>
      <w:tr w14:paraId="474BA77B" w14:textId="77777777" w:rsidTr="0028467E">
        <w:tblPrEx>
          <w:tblW w:w="9069" w:type="dxa"/>
          <w:tblLook w:val="04A0"/>
        </w:tblPrEx>
        <w:tc>
          <w:tcPr>
            <w:tcW w:w="3031" w:type="dxa"/>
            <w:vMerge w:val="restart"/>
            <w:shd w:val="clear" w:color="auto" w:fill="auto"/>
          </w:tcPr>
          <w:p w:rsidR="00554AB0" w:rsidP="00D40AC5" w14:paraId="7A622387" w14:textId="4A21670A">
            <w:pPr>
              <w:pStyle w:val="ListParagraph"/>
              <w:numPr>
                <w:ilvl w:val="0"/>
                <w:numId w:val="32"/>
              </w:numPr>
              <w:autoSpaceDE w:val="0"/>
              <w:autoSpaceDN w:val="0"/>
              <w:adjustRightInd w:val="0"/>
              <w:spacing w:after="0" w:line="240" w:lineRule="auto"/>
              <w:rPr>
                <w:rFonts w:ascii="Tahoma" w:hAnsi="Tahoma" w:cs="Tahoma"/>
                <w:sz w:val="18"/>
                <w:szCs w:val="18"/>
              </w:rPr>
            </w:pPr>
            <w:r>
              <w:rPr>
                <w:rFonts w:ascii="Tahoma" w:hAnsi="Tahoma"/>
                <w:sz w:val="18"/>
              </w:rPr>
              <w:t xml:space="preserve">Zusätzliche </w:t>
            </w:r>
            <w:r w:rsidR="00455180">
              <w:rPr>
                <w:rFonts w:ascii="Tahoma" w:hAnsi="Tahoma"/>
                <w:sz w:val="18"/>
              </w:rPr>
              <w:t xml:space="preserve">Medikamente </w:t>
            </w:r>
          </w:p>
          <w:p w:rsidR="00DA3A70" w:rsidRPr="000D0DB0" w:rsidP="00AA7E97" w14:paraId="21F9ED74" w14:textId="77777777">
            <w:pPr>
              <w:pStyle w:val="ListParagraph"/>
              <w:autoSpaceDE w:val="0"/>
              <w:autoSpaceDN w:val="0"/>
              <w:adjustRightInd w:val="0"/>
              <w:spacing w:after="0" w:line="240" w:lineRule="auto"/>
              <w:ind w:left="0"/>
              <w:rPr>
                <w:rFonts w:ascii="Tahoma" w:hAnsi="Tahoma" w:cs="Tahoma"/>
                <w:sz w:val="18"/>
                <w:szCs w:val="18"/>
              </w:rPr>
            </w:pPr>
            <w:r>
              <w:rPr>
                <w:rFonts w:ascii="Tahoma" w:hAnsi="Tahoma"/>
                <w:sz w:val="18"/>
              </w:rPr>
              <w:t>(nicht Teil des MDR-TB-Hauptregimes)</w:t>
            </w:r>
          </w:p>
        </w:tc>
        <w:tc>
          <w:tcPr>
            <w:tcW w:w="675" w:type="dxa"/>
            <w:shd w:val="clear" w:color="auto" w:fill="auto"/>
          </w:tcPr>
          <w:p w:rsidR="00DA3A70" w:rsidRPr="000D0DB0" w:rsidP="006F6381" w14:paraId="0C1734EA" w14:textId="77777777">
            <w:pPr>
              <w:autoSpaceDE w:val="0"/>
              <w:autoSpaceDN w:val="0"/>
              <w:adjustRightInd w:val="0"/>
              <w:spacing w:after="0" w:line="240" w:lineRule="auto"/>
              <w:jc w:val="both"/>
              <w:rPr>
                <w:rFonts w:ascii="Tahoma" w:hAnsi="Tahoma" w:cs="Tahoma"/>
                <w:sz w:val="18"/>
                <w:szCs w:val="18"/>
              </w:rPr>
            </w:pPr>
            <w:r>
              <w:rPr>
                <w:rFonts w:ascii="Tahoma" w:hAnsi="Tahoma"/>
                <w:sz w:val="18"/>
              </w:rPr>
              <w:t>D1</w:t>
            </w:r>
          </w:p>
        </w:tc>
        <w:tc>
          <w:tcPr>
            <w:tcW w:w="2528" w:type="dxa"/>
            <w:shd w:val="clear" w:color="auto" w:fill="auto"/>
          </w:tcPr>
          <w:p w:rsidR="00DA3A70" w:rsidRPr="000D0DB0" w:rsidP="006F6381" w14:paraId="7155AA34" w14:textId="77777777">
            <w:pPr>
              <w:autoSpaceDE w:val="0"/>
              <w:autoSpaceDN w:val="0"/>
              <w:adjustRightInd w:val="0"/>
              <w:spacing w:after="0" w:line="240" w:lineRule="auto"/>
              <w:jc w:val="both"/>
              <w:rPr>
                <w:rFonts w:ascii="Tahoma" w:hAnsi="Tahoma" w:cs="Tahoma"/>
                <w:sz w:val="18"/>
                <w:szCs w:val="18"/>
              </w:rPr>
            </w:pPr>
            <w:r>
              <w:rPr>
                <w:rFonts w:ascii="Tahoma" w:hAnsi="Tahoma"/>
                <w:sz w:val="18"/>
              </w:rPr>
              <w:t>Pyrazinamid</w:t>
            </w:r>
          </w:p>
          <w:p w:rsidR="00DA3A70" w:rsidRPr="000D0DB0" w:rsidP="006F6381" w14:paraId="7E6F8BBE" w14:textId="77777777">
            <w:pPr>
              <w:autoSpaceDE w:val="0"/>
              <w:autoSpaceDN w:val="0"/>
              <w:adjustRightInd w:val="0"/>
              <w:spacing w:after="0" w:line="240" w:lineRule="auto"/>
              <w:jc w:val="both"/>
              <w:rPr>
                <w:rFonts w:ascii="Tahoma" w:hAnsi="Tahoma" w:cs="Tahoma"/>
                <w:sz w:val="18"/>
                <w:szCs w:val="18"/>
              </w:rPr>
            </w:pPr>
            <w:r>
              <w:rPr>
                <w:rFonts w:ascii="Tahoma" w:hAnsi="Tahoma"/>
                <w:sz w:val="18"/>
              </w:rPr>
              <w:t>Ethambutol</w:t>
            </w:r>
          </w:p>
          <w:p w:rsidR="00DA3A70" w:rsidRPr="000D0DB0" w:rsidP="006F6381" w14:paraId="1850E5CC" w14:textId="77777777">
            <w:pPr>
              <w:autoSpaceDE w:val="0"/>
              <w:autoSpaceDN w:val="0"/>
              <w:adjustRightInd w:val="0"/>
              <w:spacing w:after="0" w:line="240" w:lineRule="auto"/>
              <w:jc w:val="both"/>
              <w:rPr>
                <w:rFonts w:ascii="Tahoma" w:hAnsi="Tahoma" w:cs="Tahoma"/>
                <w:sz w:val="18"/>
                <w:szCs w:val="18"/>
              </w:rPr>
            </w:pPr>
            <w:r>
              <w:rPr>
                <w:rFonts w:ascii="Tahoma" w:hAnsi="Tahoma"/>
                <w:sz w:val="18"/>
              </w:rPr>
              <w:t>Hochdosiertes Isoniazid</w:t>
            </w:r>
          </w:p>
        </w:tc>
        <w:tc>
          <w:tcPr>
            <w:tcW w:w="2835" w:type="dxa"/>
            <w:shd w:val="clear" w:color="auto" w:fill="auto"/>
          </w:tcPr>
          <w:p w:rsidR="00DA3A70" w:rsidRPr="000D0DB0" w:rsidP="006F6381" w14:paraId="728C7AA1" w14:textId="77777777">
            <w:pPr>
              <w:autoSpaceDE w:val="0"/>
              <w:autoSpaceDN w:val="0"/>
              <w:adjustRightInd w:val="0"/>
              <w:spacing w:after="0" w:line="240" w:lineRule="auto"/>
              <w:jc w:val="both"/>
              <w:rPr>
                <w:rFonts w:ascii="Tahoma" w:hAnsi="Tahoma" w:cs="Tahoma"/>
                <w:sz w:val="18"/>
                <w:szCs w:val="18"/>
              </w:rPr>
            </w:pPr>
            <w:r>
              <w:rPr>
                <w:rFonts w:ascii="Tahoma" w:hAnsi="Tahoma"/>
                <w:sz w:val="18"/>
              </w:rPr>
              <w:t>Z</w:t>
            </w:r>
          </w:p>
          <w:p w:rsidR="00DA3A70" w:rsidRPr="000D0DB0" w:rsidP="006F6381" w14:paraId="1249632F" w14:textId="77777777">
            <w:pPr>
              <w:autoSpaceDE w:val="0"/>
              <w:autoSpaceDN w:val="0"/>
              <w:adjustRightInd w:val="0"/>
              <w:spacing w:after="0" w:line="240" w:lineRule="auto"/>
              <w:jc w:val="both"/>
              <w:rPr>
                <w:rFonts w:ascii="Tahoma" w:hAnsi="Tahoma" w:cs="Tahoma"/>
                <w:sz w:val="18"/>
                <w:szCs w:val="18"/>
              </w:rPr>
            </w:pPr>
            <w:r>
              <w:rPr>
                <w:rFonts w:ascii="Tahoma" w:hAnsi="Tahoma"/>
                <w:sz w:val="18"/>
              </w:rPr>
              <w:t>E</w:t>
            </w:r>
          </w:p>
          <w:p w:rsidR="00DA3A70" w:rsidRPr="000D0DB0" w:rsidP="006F6381" w14:paraId="246EBCBF" w14:textId="77777777">
            <w:pPr>
              <w:autoSpaceDE w:val="0"/>
              <w:autoSpaceDN w:val="0"/>
              <w:adjustRightInd w:val="0"/>
              <w:spacing w:after="0" w:line="240" w:lineRule="auto"/>
              <w:jc w:val="both"/>
              <w:rPr>
                <w:rFonts w:ascii="Tahoma" w:hAnsi="Tahoma" w:cs="Tahoma"/>
                <w:sz w:val="18"/>
                <w:szCs w:val="18"/>
                <w:vertAlign w:val="superscript"/>
              </w:rPr>
            </w:pPr>
            <w:r>
              <w:rPr>
                <w:rFonts w:ascii="Tahoma" w:hAnsi="Tahoma"/>
                <w:sz w:val="18"/>
              </w:rPr>
              <w:t xml:space="preserve">H </w:t>
            </w:r>
            <w:r>
              <w:rPr>
                <w:rFonts w:ascii="Tahoma" w:hAnsi="Tahoma"/>
                <w:b/>
                <w:sz w:val="18"/>
                <w:vertAlign w:val="subscript"/>
              </w:rPr>
              <w:t>(hochdosiert)</w:t>
            </w:r>
          </w:p>
        </w:tc>
      </w:tr>
      <w:tr w14:paraId="14B516B2" w14:textId="77777777" w:rsidTr="0028467E">
        <w:tblPrEx>
          <w:tblW w:w="9069" w:type="dxa"/>
          <w:tblLook w:val="04A0"/>
        </w:tblPrEx>
        <w:tc>
          <w:tcPr>
            <w:tcW w:w="3031" w:type="dxa"/>
            <w:vMerge/>
            <w:shd w:val="clear" w:color="auto" w:fill="auto"/>
          </w:tcPr>
          <w:p w:rsidR="00DA3A70" w:rsidRPr="000D0DB0" w:rsidP="006F6381" w14:paraId="3C64E716" w14:textId="77777777">
            <w:pPr>
              <w:autoSpaceDE w:val="0"/>
              <w:autoSpaceDN w:val="0"/>
              <w:adjustRightInd w:val="0"/>
              <w:spacing w:after="0" w:line="240" w:lineRule="auto"/>
              <w:jc w:val="both"/>
              <w:rPr>
                <w:rFonts w:ascii="Tahoma" w:hAnsi="Tahoma" w:cs="Tahoma"/>
                <w:sz w:val="18"/>
                <w:szCs w:val="18"/>
              </w:rPr>
            </w:pPr>
          </w:p>
        </w:tc>
        <w:tc>
          <w:tcPr>
            <w:tcW w:w="675" w:type="dxa"/>
            <w:shd w:val="clear" w:color="auto" w:fill="auto"/>
          </w:tcPr>
          <w:p w:rsidR="00DA3A70" w:rsidRPr="000D0DB0" w:rsidP="006F6381" w14:paraId="060202D3" w14:textId="77777777">
            <w:pPr>
              <w:autoSpaceDE w:val="0"/>
              <w:autoSpaceDN w:val="0"/>
              <w:adjustRightInd w:val="0"/>
              <w:spacing w:after="0" w:line="240" w:lineRule="auto"/>
              <w:jc w:val="both"/>
              <w:rPr>
                <w:rFonts w:ascii="Tahoma" w:hAnsi="Tahoma" w:cs="Tahoma"/>
                <w:sz w:val="18"/>
                <w:szCs w:val="18"/>
              </w:rPr>
            </w:pPr>
            <w:r>
              <w:rPr>
                <w:rFonts w:ascii="Tahoma" w:hAnsi="Tahoma"/>
                <w:sz w:val="18"/>
              </w:rPr>
              <w:t>D2</w:t>
            </w:r>
          </w:p>
        </w:tc>
        <w:tc>
          <w:tcPr>
            <w:tcW w:w="2528" w:type="dxa"/>
            <w:shd w:val="clear" w:color="auto" w:fill="auto"/>
          </w:tcPr>
          <w:p w:rsidR="00DA3A70" w:rsidRPr="000D0DB0" w:rsidP="006F6381" w14:paraId="1633053D" w14:textId="77777777">
            <w:pPr>
              <w:autoSpaceDE w:val="0"/>
              <w:autoSpaceDN w:val="0"/>
              <w:adjustRightInd w:val="0"/>
              <w:spacing w:after="0" w:line="240" w:lineRule="auto"/>
              <w:jc w:val="both"/>
              <w:rPr>
                <w:rFonts w:ascii="Tahoma" w:hAnsi="Tahoma" w:cs="Tahoma"/>
                <w:sz w:val="18"/>
                <w:szCs w:val="18"/>
              </w:rPr>
            </w:pPr>
            <w:r>
              <w:rPr>
                <w:rFonts w:ascii="Tahoma" w:hAnsi="Tahoma"/>
                <w:sz w:val="18"/>
              </w:rPr>
              <w:t>Bedaquilin</w:t>
            </w:r>
          </w:p>
          <w:p w:rsidR="00DA3A70" w:rsidRPr="000D0DB0" w:rsidP="006F6381" w14:paraId="3E5CAB8F" w14:textId="77777777">
            <w:pPr>
              <w:autoSpaceDE w:val="0"/>
              <w:autoSpaceDN w:val="0"/>
              <w:adjustRightInd w:val="0"/>
              <w:spacing w:after="0" w:line="240" w:lineRule="auto"/>
              <w:jc w:val="both"/>
              <w:rPr>
                <w:rFonts w:ascii="Tahoma" w:hAnsi="Tahoma" w:cs="Tahoma"/>
                <w:sz w:val="18"/>
                <w:szCs w:val="18"/>
              </w:rPr>
            </w:pPr>
            <w:r>
              <w:rPr>
                <w:rFonts w:ascii="Tahoma" w:hAnsi="Tahoma"/>
                <w:sz w:val="18"/>
              </w:rPr>
              <w:t>Delamamid</w:t>
            </w:r>
          </w:p>
        </w:tc>
        <w:tc>
          <w:tcPr>
            <w:tcW w:w="2835" w:type="dxa"/>
            <w:shd w:val="clear" w:color="auto" w:fill="auto"/>
          </w:tcPr>
          <w:p w:rsidR="00DA3A70" w:rsidRPr="000D0DB0" w:rsidP="006F6381" w14:paraId="042E61D9" w14:textId="77777777">
            <w:pPr>
              <w:autoSpaceDE w:val="0"/>
              <w:autoSpaceDN w:val="0"/>
              <w:adjustRightInd w:val="0"/>
              <w:spacing w:after="0" w:line="240" w:lineRule="auto"/>
              <w:jc w:val="both"/>
              <w:rPr>
                <w:rFonts w:ascii="Tahoma" w:hAnsi="Tahoma" w:cs="Tahoma"/>
                <w:sz w:val="18"/>
                <w:szCs w:val="18"/>
              </w:rPr>
            </w:pPr>
            <w:r>
              <w:rPr>
                <w:rFonts w:ascii="Tahoma" w:hAnsi="Tahoma"/>
                <w:sz w:val="18"/>
              </w:rPr>
              <w:t>Bdq</w:t>
            </w:r>
          </w:p>
          <w:p w:rsidR="00DA3A70" w:rsidRPr="000D0DB0" w:rsidP="006F6381" w14:paraId="026C6D98" w14:textId="77777777">
            <w:pPr>
              <w:autoSpaceDE w:val="0"/>
              <w:autoSpaceDN w:val="0"/>
              <w:adjustRightInd w:val="0"/>
              <w:spacing w:after="0" w:line="240" w:lineRule="auto"/>
              <w:jc w:val="both"/>
              <w:rPr>
                <w:rFonts w:ascii="Tahoma" w:hAnsi="Tahoma" w:cs="Tahoma"/>
                <w:sz w:val="18"/>
                <w:szCs w:val="18"/>
              </w:rPr>
            </w:pPr>
            <w:r>
              <w:rPr>
                <w:rFonts w:ascii="Tahoma" w:hAnsi="Tahoma"/>
                <w:sz w:val="18"/>
              </w:rPr>
              <w:t>Dlm</w:t>
            </w:r>
          </w:p>
        </w:tc>
      </w:tr>
      <w:tr w14:paraId="3DC10F14" w14:textId="77777777" w:rsidTr="0028467E">
        <w:tblPrEx>
          <w:tblW w:w="9069" w:type="dxa"/>
          <w:tblLook w:val="04A0"/>
        </w:tblPrEx>
        <w:tc>
          <w:tcPr>
            <w:tcW w:w="3031" w:type="dxa"/>
            <w:vMerge/>
            <w:shd w:val="clear" w:color="auto" w:fill="auto"/>
          </w:tcPr>
          <w:p w:rsidR="00DA3A70" w:rsidRPr="000D0DB0" w:rsidP="006F6381" w14:paraId="0234602B" w14:textId="77777777">
            <w:pPr>
              <w:autoSpaceDE w:val="0"/>
              <w:autoSpaceDN w:val="0"/>
              <w:adjustRightInd w:val="0"/>
              <w:spacing w:after="0" w:line="240" w:lineRule="auto"/>
              <w:jc w:val="both"/>
              <w:rPr>
                <w:rFonts w:ascii="Tahoma" w:hAnsi="Tahoma" w:cs="Tahoma"/>
                <w:sz w:val="18"/>
                <w:szCs w:val="18"/>
              </w:rPr>
            </w:pPr>
          </w:p>
        </w:tc>
        <w:tc>
          <w:tcPr>
            <w:tcW w:w="675" w:type="dxa"/>
            <w:shd w:val="clear" w:color="auto" w:fill="auto"/>
          </w:tcPr>
          <w:p w:rsidR="00DA3A70" w:rsidRPr="000D0DB0" w:rsidP="006F6381" w14:paraId="2E5A1043" w14:textId="77777777">
            <w:pPr>
              <w:autoSpaceDE w:val="0"/>
              <w:autoSpaceDN w:val="0"/>
              <w:adjustRightInd w:val="0"/>
              <w:spacing w:after="0" w:line="240" w:lineRule="auto"/>
              <w:jc w:val="both"/>
              <w:rPr>
                <w:rFonts w:ascii="Tahoma" w:hAnsi="Tahoma" w:cs="Tahoma"/>
                <w:sz w:val="18"/>
                <w:szCs w:val="18"/>
              </w:rPr>
            </w:pPr>
            <w:r>
              <w:rPr>
                <w:rFonts w:ascii="Tahoma" w:hAnsi="Tahoma"/>
                <w:sz w:val="18"/>
              </w:rPr>
              <w:t>D3</w:t>
            </w:r>
          </w:p>
        </w:tc>
        <w:tc>
          <w:tcPr>
            <w:tcW w:w="2528" w:type="dxa"/>
            <w:shd w:val="clear" w:color="auto" w:fill="auto"/>
          </w:tcPr>
          <w:p w:rsidR="00DA3A70" w:rsidRPr="000654B5" w:rsidP="006F6381" w14:paraId="502EAE7C" w14:textId="77777777">
            <w:pPr>
              <w:autoSpaceDE w:val="0"/>
              <w:autoSpaceDN w:val="0"/>
              <w:adjustRightInd w:val="0"/>
              <w:spacing w:after="0" w:line="240" w:lineRule="auto"/>
              <w:jc w:val="both"/>
              <w:rPr>
                <w:rFonts w:ascii="Tahoma" w:hAnsi="Tahoma" w:cs="Tahoma"/>
                <w:sz w:val="18"/>
                <w:szCs w:val="18"/>
                <w:lang w:val="en-US"/>
              </w:rPr>
            </w:pPr>
            <w:r w:rsidRPr="006659AF">
              <w:rPr>
                <w:rFonts w:ascii="Tahoma" w:hAnsi="Tahoma"/>
                <w:sz w:val="18"/>
                <w:lang w:val="en-US"/>
              </w:rPr>
              <w:t>p-Aminosalicylsäure</w:t>
            </w:r>
          </w:p>
          <w:p w:rsidR="00DA3A70" w:rsidRPr="000654B5" w:rsidP="006F6381" w14:paraId="29E8BB37" w14:textId="77777777">
            <w:pPr>
              <w:autoSpaceDE w:val="0"/>
              <w:autoSpaceDN w:val="0"/>
              <w:adjustRightInd w:val="0"/>
              <w:spacing w:after="0" w:line="240" w:lineRule="auto"/>
              <w:jc w:val="both"/>
              <w:rPr>
                <w:rFonts w:ascii="Tahoma" w:hAnsi="Tahoma" w:cs="Tahoma"/>
                <w:sz w:val="18"/>
                <w:szCs w:val="18"/>
                <w:lang w:val="en-US"/>
              </w:rPr>
            </w:pPr>
            <w:r w:rsidRPr="006659AF">
              <w:rPr>
                <w:rFonts w:ascii="Tahoma" w:hAnsi="Tahoma"/>
                <w:sz w:val="18"/>
                <w:lang w:val="en-US"/>
              </w:rPr>
              <w:t>Imipenem-Cilastatin</w:t>
            </w:r>
          </w:p>
          <w:p w:rsidR="00DA3A70" w:rsidRPr="000654B5" w:rsidP="006F6381" w14:paraId="60630399" w14:textId="77777777">
            <w:pPr>
              <w:autoSpaceDE w:val="0"/>
              <w:autoSpaceDN w:val="0"/>
              <w:adjustRightInd w:val="0"/>
              <w:spacing w:after="0" w:line="240" w:lineRule="auto"/>
              <w:jc w:val="both"/>
              <w:rPr>
                <w:rFonts w:ascii="Tahoma" w:hAnsi="Tahoma" w:cs="Tahoma"/>
                <w:sz w:val="18"/>
                <w:szCs w:val="18"/>
                <w:lang w:val="en-US"/>
              </w:rPr>
            </w:pPr>
            <w:r w:rsidRPr="006659AF">
              <w:rPr>
                <w:rFonts w:ascii="Tahoma" w:hAnsi="Tahoma"/>
                <w:sz w:val="18"/>
                <w:lang w:val="en-US"/>
              </w:rPr>
              <w:t>Meropenem</w:t>
            </w:r>
          </w:p>
          <w:p w:rsidR="00DA3A70" w:rsidRPr="000654B5" w:rsidP="006F6381" w14:paraId="518DDD85" w14:textId="77777777">
            <w:pPr>
              <w:autoSpaceDE w:val="0"/>
              <w:autoSpaceDN w:val="0"/>
              <w:adjustRightInd w:val="0"/>
              <w:spacing w:after="0" w:line="240" w:lineRule="auto"/>
              <w:jc w:val="both"/>
              <w:rPr>
                <w:rFonts w:ascii="Tahoma" w:hAnsi="Tahoma" w:cs="Tahoma"/>
                <w:sz w:val="18"/>
                <w:szCs w:val="18"/>
                <w:lang w:val="en-US"/>
              </w:rPr>
            </w:pPr>
            <w:r w:rsidRPr="006659AF">
              <w:rPr>
                <w:rFonts w:ascii="Tahoma" w:hAnsi="Tahoma"/>
                <w:sz w:val="18"/>
                <w:lang w:val="en-US"/>
              </w:rPr>
              <w:t>Amoxicillin-Clavulansäure</w:t>
            </w:r>
          </w:p>
          <w:p w:rsidR="00DA3A70" w:rsidRPr="000D0DB0" w:rsidP="006F6381" w14:paraId="4A782875" w14:textId="77777777">
            <w:pPr>
              <w:autoSpaceDE w:val="0"/>
              <w:autoSpaceDN w:val="0"/>
              <w:adjustRightInd w:val="0"/>
              <w:spacing w:after="0" w:line="240" w:lineRule="auto"/>
              <w:jc w:val="both"/>
              <w:rPr>
                <w:rFonts w:ascii="Tahoma" w:hAnsi="Tahoma" w:cs="Tahoma"/>
                <w:sz w:val="18"/>
                <w:szCs w:val="18"/>
              </w:rPr>
            </w:pPr>
            <w:r>
              <w:rPr>
                <w:rFonts w:ascii="Tahoma" w:hAnsi="Tahoma"/>
                <w:sz w:val="18"/>
              </w:rPr>
              <w:t>(Thioacetazon)</w:t>
            </w:r>
          </w:p>
        </w:tc>
        <w:tc>
          <w:tcPr>
            <w:tcW w:w="2835" w:type="dxa"/>
            <w:shd w:val="clear" w:color="auto" w:fill="auto"/>
          </w:tcPr>
          <w:p w:rsidR="00DA3A70" w:rsidRPr="000D0DB0" w:rsidP="006F6381" w14:paraId="7EB4F4FB" w14:textId="77777777">
            <w:pPr>
              <w:autoSpaceDE w:val="0"/>
              <w:autoSpaceDN w:val="0"/>
              <w:adjustRightInd w:val="0"/>
              <w:spacing w:after="0" w:line="240" w:lineRule="auto"/>
              <w:jc w:val="both"/>
              <w:rPr>
                <w:rFonts w:ascii="Tahoma" w:hAnsi="Tahoma" w:cs="Tahoma"/>
                <w:sz w:val="18"/>
                <w:szCs w:val="18"/>
              </w:rPr>
            </w:pPr>
            <w:r>
              <w:rPr>
                <w:rFonts w:ascii="Tahoma" w:hAnsi="Tahoma"/>
                <w:sz w:val="18"/>
              </w:rPr>
              <w:t>PAS</w:t>
            </w:r>
          </w:p>
          <w:p w:rsidR="00DA3A70" w:rsidRPr="000D0DB0" w:rsidP="006F6381" w14:paraId="7F273146" w14:textId="77777777">
            <w:pPr>
              <w:autoSpaceDE w:val="0"/>
              <w:autoSpaceDN w:val="0"/>
              <w:adjustRightInd w:val="0"/>
              <w:spacing w:after="0" w:line="240" w:lineRule="auto"/>
              <w:jc w:val="both"/>
              <w:rPr>
                <w:rFonts w:ascii="Tahoma" w:hAnsi="Tahoma" w:cs="Tahoma"/>
                <w:sz w:val="18"/>
                <w:szCs w:val="18"/>
              </w:rPr>
            </w:pPr>
            <w:r>
              <w:rPr>
                <w:rFonts w:ascii="Tahoma" w:hAnsi="Tahoma"/>
                <w:sz w:val="18"/>
              </w:rPr>
              <w:t>Ipm</w:t>
            </w:r>
          </w:p>
          <w:p w:rsidR="00DA3A70" w:rsidRPr="000D0DB0" w:rsidP="006F6381" w14:paraId="1D9A4072" w14:textId="77777777">
            <w:pPr>
              <w:autoSpaceDE w:val="0"/>
              <w:autoSpaceDN w:val="0"/>
              <w:adjustRightInd w:val="0"/>
              <w:spacing w:after="0" w:line="240" w:lineRule="auto"/>
              <w:jc w:val="both"/>
              <w:rPr>
                <w:rFonts w:ascii="Tahoma" w:hAnsi="Tahoma" w:cs="Tahoma"/>
                <w:sz w:val="18"/>
                <w:szCs w:val="18"/>
              </w:rPr>
            </w:pPr>
            <w:r>
              <w:rPr>
                <w:rFonts w:ascii="Tahoma" w:hAnsi="Tahoma"/>
                <w:sz w:val="18"/>
              </w:rPr>
              <w:t>Mpm</w:t>
            </w:r>
          </w:p>
          <w:p w:rsidR="00DA3A70" w:rsidRPr="000D0DB0" w:rsidP="006F6381" w14:paraId="41A70C30" w14:textId="77777777">
            <w:pPr>
              <w:autoSpaceDE w:val="0"/>
              <w:autoSpaceDN w:val="0"/>
              <w:adjustRightInd w:val="0"/>
              <w:spacing w:after="0" w:line="240" w:lineRule="auto"/>
              <w:jc w:val="both"/>
              <w:rPr>
                <w:rFonts w:ascii="Tahoma" w:hAnsi="Tahoma" w:cs="Tahoma"/>
                <w:sz w:val="18"/>
                <w:szCs w:val="18"/>
              </w:rPr>
            </w:pPr>
            <w:r>
              <w:rPr>
                <w:rFonts w:ascii="Tahoma" w:hAnsi="Tahoma"/>
                <w:sz w:val="18"/>
              </w:rPr>
              <w:t>Amx-Clv</w:t>
            </w:r>
          </w:p>
          <w:p w:rsidR="00DA3A70" w:rsidRPr="000D0DB0" w:rsidP="006F6381" w14:paraId="408B5ECF" w14:textId="77777777">
            <w:pPr>
              <w:autoSpaceDE w:val="0"/>
              <w:autoSpaceDN w:val="0"/>
              <w:adjustRightInd w:val="0"/>
              <w:spacing w:after="0" w:line="240" w:lineRule="auto"/>
              <w:jc w:val="both"/>
              <w:rPr>
                <w:rFonts w:ascii="Tahoma" w:hAnsi="Tahoma" w:cs="Tahoma"/>
                <w:sz w:val="18"/>
                <w:szCs w:val="18"/>
              </w:rPr>
            </w:pPr>
            <w:r>
              <w:rPr>
                <w:rFonts w:ascii="Tahoma" w:hAnsi="Tahoma"/>
                <w:sz w:val="18"/>
              </w:rPr>
              <w:t>(T)</w:t>
            </w:r>
          </w:p>
        </w:tc>
      </w:tr>
    </w:tbl>
    <w:p w:rsidR="00DA3A70" w:rsidRPr="000D0DB0" w:rsidP="00DB519A" w14:paraId="326C50FA" w14:textId="77777777">
      <w:pPr>
        <w:autoSpaceDE w:val="0"/>
        <w:autoSpaceDN w:val="0"/>
        <w:adjustRightInd w:val="0"/>
        <w:spacing w:after="0"/>
        <w:jc w:val="both"/>
        <w:rPr>
          <w:rFonts w:ascii="Tahoma" w:hAnsi="Tahoma" w:cs="Tahoma"/>
          <w:szCs w:val="24"/>
        </w:rPr>
      </w:pPr>
    </w:p>
    <w:p w:rsidR="00DA3A70" w:rsidRPr="000D0DB0" w:rsidP="00DB519A" w14:paraId="006B5114" w14:textId="77777777">
      <w:pPr>
        <w:shd w:val="clear" w:color="auto" w:fill="D9D9D9"/>
        <w:autoSpaceDE w:val="0"/>
        <w:autoSpaceDN w:val="0"/>
        <w:adjustRightInd w:val="0"/>
        <w:spacing w:after="0"/>
        <w:jc w:val="both"/>
        <w:rPr>
          <w:rFonts w:ascii="Tahoma" w:hAnsi="Tahoma" w:cs="Tahoma"/>
          <w:b/>
          <w:bCs/>
          <w:sz w:val="24"/>
          <w:szCs w:val="24"/>
        </w:rPr>
      </w:pPr>
      <w:r>
        <w:rPr>
          <w:rFonts w:ascii="Tahoma" w:hAnsi="Tahoma"/>
          <w:b/>
          <w:sz w:val="24"/>
          <w:shd w:val="clear" w:color="auto" w:fill="D9D9D9"/>
        </w:rPr>
        <w:t>Standard 13</w:t>
      </w:r>
    </w:p>
    <w:p w:rsidR="00DA3A70" w:rsidP="0028467E" w14:paraId="30121FF8" w14:textId="4BA2332C">
      <w:pPr>
        <w:spacing w:after="120"/>
        <w:rPr>
          <w:rFonts w:ascii="Tahoma" w:hAnsi="Tahoma" w:cs="Tahoma"/>
          <w:sz w:val="18"/>
          <w:szCs w:val="18"/>
        </w:rPr>
      </w:pPr>
      <w:r>
        <w:rPr>
          <w:rFonts w:ascii="Tahoma" w:hAnsi="Tahoma"/>
          <w:sz w:val="18"/>
        </w:rPr>
        <w:t>Für alle Patienten sollte e</w:t>
      </w:r>
      <w:r w:rsidR="00455819">
        <w:rPr>
          <w:rFonts w:ascii="Tahoma" w:hAnsi="Tahoma"/>
          <w:sz w:val="18"/>
        </w:rPr>
        <w:t xml:space="preserve">ine schriftliche oder elektronische Aufzeichnung aller verabreichten Arzneimittel, der Behandlungsüberwachung (einschließlich des bakteriologischen Ansprechens), der Nebenwirkungen und des Behandlungsergebnisses erfolgen. </w:t>
      </w:r>
    </w:p>
    <w:p w:rsidR="00835340" w:rsidRPr="000D0DB0" w:rsidP="000D0DB0" w14:paraId="42612D4F" w14:textId="77777777">
      <w:pPr>
        <w:pStyle w:val="EC-Title-6"/>
        <w:rPr>
          <w:sz w:val="18"/>
          <w:szCs w:val="18"/>
        </w:rPr>
      </w:pPr>
      <w:r>
        <w:t>EU-spezifische Anforderungen</w:t>
      </w:r>
    </w:p>
    <w:p w:rsidR="00DA3A70" w:rsidRPr="000D0DB0" w:rsidP="00604B0D" w14:paraId="2514083B" w14:textId="092462DD">
      <w:pPr>
        <w:widowControl w:val="0"/>
        <w:spacing w:after="0"/>
        <w:jc w:val="both"/>
        <w:rPr>
          <w:rFonts w:ascii="Tahoma" w:hAnsi="Tahoma" w:cs="Tahoma"/>
          <w:sz w:val="18"/>
          <w:szCs w:val="18"/>
        </w:rPr>
      </w:pPr>
      <w:r>
        <w:rPr>
          <w:rFonts w:ascii="Tahoma" w:hAnsi="Tahoma"/>
          <w:sz w:val="18"/>
        </w:rPr>
        <w:t xml:space="preserve">Beim ersten Kontakt mit den einzelnen Patienten sollte die vollständige klinische und soziale Vorgeschichte im Hinblick auf Tuberkulose erfasst und in </w:t>
      </w:r>
      <w:r w:rsidR="00AA7E97">
        <w:rPr>
          <w:rFonts w:ascii="Tahoma" w:hAnsi="Tahoma"/>
          <w:sz w:val="18"/>
        </w:rPr>
        <w:t xml:space="preserve">der </w:t>
      </w:r>
      <w:r>
        <w:rPr>
          <w:rFonts w:ascii="Tahoma" w:hAnsi="Tahoma"/>
          <w:sz w:val="18"/>
        </w:rPr>
        <w:t xml:space="preserve">Krankenakte </w:t>
      </w:r>
      <w:r w:rsidR="000E02F1">
        <w:rPr>
          <w:rFonts w:ascii="Tahoma" w:hAnsi="Tahoma"/>
          <w:sz w:val="18"/>
        </w:rPr>
        <w:t xml:space="preserve">dokumentiert </w:t>
      </w:r>
      <w:r>
        <w:rPr>
          <w:rFonts w:ascii="Tahoma" w:hAnsi="Tahoma"/>
          <w:sz w:val="18"/>
        </w:rPr>
        <w:t xml:space="preserve">werden. Dies sollte die verfügbaren Informationen in Bezug auf eine vorherige Diagnose, die Behandlung (Regime, Dosierungen, Dauer, Veränderungen des Regimes usw.) und die Therapietreue sowie vollständige Informationen </w:t>
      </w:r>
      <w:r w:rsidR="00B23C2D">
        <w:rPr>
          <w:rFonts w:ascii="Tahoma" w:hAnsi="Tahoma"/>
          <w:sz w:val="18"/>
        </w:rPr>
        <w:t>zu bakteriologischen Befunden</w:t>
      </w:r>
      <w:r>
        <w:rPr>
          <w:rFonts w:ascii="Tahoma" w:hAnsi="Tahoma"/>
          <w:sz w:val="18"/>
        </w:rPr>
        <w:t xml:space="preserve"> bei der Diagnose und </w:t>
      </w:r>
      <w:r w:rsidR="00B23C2D">
        <w:rPr>
          <w:rFonts w:ascii="Tahoma" w:hAnsi="Tahoma"/>
          <w:sz w:val="18"/>
        </w:rPr>
        <w:t>bei</w:t>
      </w:r>
      <w:r w:rsidR="00AA7E97">
        <w:rPr>
          <w:rFonts w:ascii="Tahoma" w:hAnsi="Tahoma"/>
          <w:sz w:val="18"/>
        </w:rPr>
        <w:t xml:space="preserve"> </w:t>
      </w:r>
      <w:r w:rsidR="00B23C2D">
        <w:rPr>
          <w:rFonts w:ascii="Tahoma" w:hAnsi="Tahoma"/>
          <w:sz w:val="18"/>
        </w:rPr>
        <w:t>Verlaufskontrollen</w:t>
      </w:r>
      <w:r>
        <w:rPr>
          <w:rFonts w:ascii="Tahoma" w:hAnsi="Tahoma"/>
          <w:sz w:val="18"/>
        </w:rPr>
        <w:t xml:space="preserve"> (</w:t>
      </w:r>
      <w:r w:rsidR="00AA7E97">
        <w:rPr>
          <w:rFonts w:ascii="Tahoma" w:hAnsi="Tahoma"/>
          <w:sz w:val="18"/>
        </w:rPr>
        <w:t>Sputumausstrich</w:t>
      </w:r>
      <w:r>
        <w:rPr>
          <w:rFonts w:ascii="Tahoma" w:hAnsi="Tahoma"/>
          <w:sz w:val="18"/>
        </w:rPr>
        <w:t xml:space="preserve">, Kultur und Identifikation der Spezies, </w:t>
      </w:r>
      <w:r w:rsidR="00252DFE">
        <w:rPr>
          <w:rFonts w:ascii="Tahoma" w:hAnsi="Tahoma"/>
          <w:sz w:val="18"/>
        </w:rPr>
        <w:t xml:space="preserve">Resistenztestung </w:t>
      </w:r>
      <w:r>
        <w:rPr>
          <w:rFonts w:ascii="Tahoma" w:hAnsi="Tahoma"/>
          <w:sz w:val="18"/>
        </w:rPr>
        <w:t xml:space="preserve">für die </w:t>
      </w:r>
      <w:r w:rsidR="0039417A">
        <w:rPr>
          <w:rFonts w:ascii="Tahoma" w:hAnsi="Tahoma"/>
          <w:sz w:val="18"/>
        </w:rPr>
        <w:t>Standard</w:t>
      </w:r>
      <w:r>
        <w:rPr>
          <w:rFonts w:ascii="Tahoma" w:hAnsi="Tahoma"/>
          <w:sz w:val="18"/>
        </w:rPr>
        <w:t xml:space="preserve">- und die </w:t>
      </w:r>
      <w:r w:rsidR="0039417A">
        <w:rPr>
          <w:rFonts w:ascii="Tahoma" w:hAnsi="Tahoma"/>
          <w:sz w:val="18"/>
        </w:rPr>
        <w:t>Nicht-Standard</w:t>
      </w:r>
      <w:r>
        <w:rPr>
          <w:rFonts w:ascii="Tahoma" w:hAnsi="Tahoma"/>
          <w:sz w:val="18"/>
        </w:rPr>
        <w:t>therapie) umfassen. Diese Informationen sollten in der dem Patienten ausgehändigten Dokumentation (Entlassungsbrief, Überweisungsformular oder äquivalentes Dokument) enthalten sein, um die Fortsetzung der Versorgung zu erleichtern, wenn der Patient in eine andere Abteilung wechselt/überwiesen wird [32, 33].</w:t>
      </w:r>
    </w:p>
    <w:p w:rsidR="00D830C5" w:rsidRPr="00252ABC" w:rsidP="000D0DB0" w14:paraId="0C8C7709" w14:textId="77777777">
      <w:pPr>
        <w:pStyle w:val="EC-Title-5"/>
        <w:spacing w:before="120"/>
      </w:pPr>
      <w:r>
        <w:t xml:space="preserve">Standards zur Behandlung von HIV-Infektionen und Begleiterkrankungen </w:t>
      </w:r>
    </w:p>
    <w:p w:rsidR="00DA3A70" w:rsidRPr="000D0DB0" w:rsidP="00DB519A" w14:paraId="03BF3F35" w14:textId="77777777">
      <w:pPr>
        <w:shd w:val="clear" w:color="auto" w:fill="D9D9D9"/>
        <w:autoSpaceDE w:val="0"/>
        <w:autoSpaceDN w:val="0"/>
        <w:adjustRightInd w:val="0"/>
        <w:spacing w:after="0"/>
        <w:jc w:val="both"/>
        <w:rPr>
          <w:rFonts w:ascii="Tahoma" w:hAnsi="Tahoma" w:cs="Tahoma"/>
          <w:b/>
          <w:bCs/>
          <w:i/>
          <w:sz w:val="24"/>
          <w:szCs w:val="24"/>
        </w:rPr>
      </w:pPr>
      <w:r>
        <w:rPr>
          <w:rFonts w:ascii="Tahoma" w:hAnsi="Tahoma"/>
          <w:b/>
          <w:sz w:val="24"/>
          <w:shd w:val="clear" w:color="auto" w:fill="D9D9D9"/>
        </w:rPr>
        <w:t>Standard 14</w:t>
      </w:r>
    </w:p>
    <w:p w:rsidR="00DA3A70" w:rsidRPr="000D0DB0" w:rsidP="0028467E" w14:paraId="5AE88ACD" w14:textId="53F17F05">
      <w:pPr>
        <w:spacing w:after="120"/>
        <w:rPr>
          <w:rFonts w:ascii="Tahoma" w:hAnsi="Tahoma" w:cs="Tahoma"/>
          <w:sz w:val="18"/>
          <w:szCs w:val="18"/>
        </w:rPr>
      </w:pPr>
      <w:r>
        <w:rPr>
          <w:rFonts w:ascii="Tahoma" w:hAnsi="Tahoma"/>
          <w:sz w:val="18"/>
        </w:rPr>
        <w:t xml:space="preserve">Es sollte eine HIV-Beratung durchgeführt werden und allen Patienten mit bekannter oder vermuteter Tuberkulose zu einem HIV-Test geraten werden. Der Test ist als Teil der </w:t>
      </w:r>
      <w:r w:rsidR="009F453B">
        <w:rPr>
          <w:rFonts w:ascii="Tahoma" w:hAnsi="Tahoma"/>
          <w:sz w:val="18"/>
        </w:rPr>
        <w:t xml:space="preserve">routinemäßigen Versorgung </w:t>
      </w:r>
      <w:r>
        <w:rPr>
          <w:rFonts w:ascii="Tahoma" w:hAnsi="Tahoma"/>
          <w:sz w:val="18"/>
        </w:rPr>
        <w:t xml:space="preserve">aller Patienten in Gegenden mit hoher HIV-Infektionsprävalenz in der Allgemeinbevölkerung oder bei Patienten aus Hochrisiko-Populationen oder Patienten mit Symptomen und/oder </w:t>
      </w:r>
      <w:r w:rsidR="000514B5">
        <w:rPr>
          <w:rFonts w:ascii="Tahoma" w:hAnsi="Tahoma"/>
          <w:sz w:val="18"/>
        </w:rPr>
        <w:t>bei Vorliegen</w:t>
      </w:r>
      <w:r>
        <w:rPr>
          <w:rFonts w:ascii="Tahoma" w:hAnsi="Tahoma"/>
          <w:sz w:val="18"/>
        </w:rPr>
        <w:t xml:space="preserve"> </w:t>
      </w:r>
      <w:r w:rsidR="00AA7E97">
        <w:rPr>
          <w:rFonts w:ascii="Tahoma" w:hAnsi="Tahoma"/>
          <w:sz w:val="18"/>
        </w:rPr>
        <w:t xml:space="preserve">von </w:t>
      </w:r>
      <w:r>
        <w:rPr>
          <w:rFonts w:ascii="Tahoma" w:hAnsi="Tahoma"/>
          <w:sz w:val="18"/>
        </w:rPr>
        <w:t>im Zusammenhang mit HIV stehenden Erkrankungen von besonderer Wichtigkeit. Aufgrund der engen Wechselwirkung zwischen Tuberkulose und einer HIV-Infektion werden integrierte Ansätze zur Prävention und Behandlung beider Infektionen empfohlen [34].</w:t>
      </w:r>
    </w:p>
    <w:p w:rsidR="00DA3A70" w:rsidRPr="000D0DB0" w:rsidP="00DB519A" w14:paraId="2621BD4E" w14:textId="77777777">
      <w:pPr>
        <w:shd w:val="clear" w:color="auto" w:fill="D9D9D9"/>
        <w:autoSpaceDE w:val="0"/>
        <w:autoSpaceDN w:val="0"/>
        <w:adjustRightInd w:val="0"/>
        <w:spacing w:after="0"/>
        <w:jc w:val="both"/>
        <w:rPr>
          <w:rFonts w:ascii="Tahoma" w:hAnsi="Tahoma" w:cs="Tahoma"/>
          <w:b/>
          <w:bCs/>
          <w:sz w:val="24"/>
          <w:szCs w:val="24"/>
        </w:rPr>
      </w:pPr>
      <w:r>
        <w:rPr>
          <w:rFonts w:ascii="Tahoma" w:hAnsi="Tahoma"/>
          <w:b/>
          <w:sz w:val="24"/>
          <w:shd w:val="clear" w:color="auto" w:fill="D9D9D9"/>
        </w:rPr>
        <w:t>Standard 15</w:t>
      </w:r>
    </w:p>
    <w:p w:rsidR="00DA3A70" w:rsidRPr="000D0DB0" w:rsidP="0028467E" w14:paraId="77682336" w14:textId="6745F909">
      <w:pPr>
        <w:spacing w:after="120"/>
        <w:rPr>
          <w:rFonts w:ascii="Tahoma" w:hAnsi="Tahoma" w:cs="Tahoma"/>
          <w:sz w:val="18"/>
          <w:szCs w:val="18"/>
        </w:rPr>
      </w:pPr>
      <w:r>
        <w:rPr>
          <w:rFonts w:ascii="Tahoma" w:hAnsi="Tahoma"/>
          <w:sz w:val="18"/>
        </w:rPr>
        <w:t xml:space="preserve">Alle Patienten mit Tuberkulose und HIV-Infektion sollten sorgfältig </w:t>
      </w:r>
      <w:r w:rsidR="00320064">
        <w:rPr>
          <w:rFonts w:ascii="Tahoma" w:hAnsi="Tahoma"/>
          <w:sz w:val="18"/>
        </w:rPr>
        <w:t xml:space="preserve">evaluiert </w:t>
      </w:r>
      <w:r>
        <w:rPr>
          <w:rFonts w:ascii="Tahoma" w:hAnsi="Tahoma"/>
          <w:sz w:val="18"/>
        </w:rPr>
        <w:t xml:space="preserve">werden: eine antiretrovirale Therapie wird bei allen HIV-positiven Tuberkulosepatienten empfohlen. Die Tuberkulosebehandlung sollte unverzüglich begonnen und die antiretrovirale Therapie so schnell wie möglich </w:t>
      </w:r>
      <w:r w:rsidR="005A7A30">
        <w:rPr>
          <w:rFonts w:ascii="Tahoma" w:hAnsi="Tahoma"/>
          <w:sz w:val="18"/>
        </w:rPr>
        <w:t xml:space="preserve">verordnet </w:t>
      </w:r>
      <w:r>
        <w:rPr>
          <w:rFonts w:ascii="Tahoma" w:hAnsi="Tahoma"/>
          <w:sz w:val="18"/>
        </w:rPr>
        <w:t xml:space="preserve">werden. </w:t>
      </w:r>
    </w:p>
    <w:p w:rsidR="00DA3A70" w:rsidRPr="000D0DB0" w:rsidP="00554AB0" w14:paraId="711BD290" w14:textId="77777777">
      <w:pPr>
        <w:pageBreakBefore/>
        <w:shd w:val="clear" w:color="auto" w:fill="D9D9D9"/>
        <w:autoSpaceDE w:val="0"/>
        <w:autoSpaceDN w:val="0"/>
        <w:adjustRightInd w:val="0"/>
        <w:spacing w:after="0"/>
        <w:jc w:val="both"/>
        <w:rPr>
          <w:rFonts w:ascii="Tahoma" w:hAnsi="Tahoma" w:cs="Tahoma"/>
          <w:i/>
          <w:sz w:val="24"/>
          <w:szCs w:val="24"/>
          <w:shd w:val="clear" w:color="auto" w:fill="D9D9D9"/>
        </w:rPr>
      </w:pPr>
      <w:r>
        <w:rPr>
          <w:rFonts w:ascii="Tahoma" w:hAnsi="Tahoma"/>
          <w:b/>
          <w:sz w:val="24"/>
          <w:shd w:val="clear" w:color="auto" w:fill="D9D9D9"/>
        </w:rPr>
        <w:t>Standard 16</w:t>
      </w:r>
    </w:p>
    <w:p w:rsidR="00DA3A70" w:rsidP="0028467E" w14:paraId="5369D992" w14:textId="026FBC7E">
      <w:pPr>
        <w:spacing w:after="120"/>
        <w:rPr>
          <w:rFonts w:ascii="Tahoma" w:hAnsi="Tahoma" w:cs="Tahoma"/>
          <w:sz w:val="18"/>
          <w:szCs w:val="18"/>
        </w:rPr>
      </w:pPr>
      <w:r>
        <w:rPr>
          <w:rFonts w:ascii="Tahoma" w:hAnsi="Tahoma"/>
          <w:sz w:val="18"/>
        </w:rPr>
        <w:t xml:space="preserve">Personen mit HIV-Koinfektion, die nach sorgfältiger Beurteilung einen positiven Test (TST und/oder IGRAs) auf eine latente Infektion mit </w:t>
      </w:r>
      <w:r>
        <w:rPr>
          <w:rFonts w:ascii="Tahoma" w:hAnsi="Tahoma"/>
          <w:i/>
          <w:sz w:val="18"/>
        </w:rPr>
        <w:t>M. tuberculosis</w:t>
      </w:r>
      <w:r>
        <w:rPr>
          <w:rFonts w:ascii="Tahoma" w:hAnsi="Tahoma"/>
          <w:sz w:val="18"/>
        </w:rPr>
        <w:t>, aber keine aktive Tuberkulose aufweisen, sollte eine Präventivbehandlung angeboten werden.</w:t>
      </w:r>
    </w:p>
    <w:p w:rsidR="00835340" w:rsidRPr="000D0DB0" w:rsidP="000D0DB0" w14:paraId="1ECC883D" w14:textId="77777777">
      <w:pPr>
        <w:pStyle w:val="EC-Title-6"/>
        <w:rPr>
          <w:sz w:val="18"/>
          <w:szCs w:val="18"/>
        </w:rPr>
      </w:pPr>
      <w:r>
        <w:t>EU-spezifische Anforderungen</w:t>
      </w:r>
    </w:p>
    <w:p w:rsidR="00DA3A70" w:rsidRPr="000D0DB0" w:rsidP="000D0DB0" w14:paraId="2793499A" w14:textId="7DDAB24D">
      <w:pPr>
        <w:rPr>
          <w:rFonts w:ascii="Tahoma" w:hAnsi="Tahoma" w:cs="Tahoma"/>
          <w:sz w:val="18"/>
          <w:szCs w:val="18"/>
        </w:rPr>
      </w:pPr>
      <w:r>
        <w:rPr>
          <w:rFonts w:ascii="Tahoma" w:hAnsi="Tahoma"/>
          <w:sz w:val="18"/>
        </w:rPr>
        <w:t xml:space="preserve">Da bekannt ist, dass eine HIV-Koinfektion die Wahrscheinlichkeit für die Entwicklung einer aktiven Tuberkulose nach einer Infektion erhöht, sollten HIV-seropositive Personen, die in Kontakt mit einem </w:t>
      </w:r>
      <w:r w:rsidR="0039417A">
        <w:rPr>
          <w:rFonts w:ascii="Tahoma" w:hAnsi="Tahoma"/>
          <w:sz w:val="18"/>
        </w:rPr>
        <w:t xml:space="preserve">Indexfall </w:t>
      </w:r>
      <w:r>
        <w:rPr>
          <w:rFonts w:ascii="Tahoma" w:hAnsi="Tahoma"/>
          <w:sz w:val="18"/>
        </w:rPr>
        <w:t>mit einem MDR-TB-Stamm gekommen sind, zunächst einer individuellen Risikobewertung unterzogen werden. Regelmäßige klinische Überwachungen und Nachbeobachtungen sollten für jene mit Evidenz einer latenten Infektion stattfinden [35].</w:t>
      </w:r>
    </w:p>
    <w:p w:rsidR="00DA3A70" w:rsidRPr="000D0DB0" w:rsidP="0028467E" w14:paraId="587B70AF" w14:textId="3DC623BB">
      <w:pPr>
        <w:spacing w:after="120"/>
        <w:rPr>
          <w:rFonts w:ascii="Tahoma" w:hAnsi="Tahoma" w:cs="Tahoma"/>
          <w:sz w:val="18"/>
          <w:szCs w:val="18"/>
        </w:rPr>
      </w:pPr>
      <w:r>
        <w:rPr>
          <w:rFonts w:ascii="Tahoma" w:hAnsi="Tahoma"/>
          <w:sz w:val="18"/>
        </w:rPr>
        <w:t xml:space="preserve">Bei der Präventivbehandlung sollte das Arzneimittelresistenzmuster des </w:t>
      </w:r>
      <w:r w:rsidR="0039417A">
        <w:rPr>
          <w:rFonts w:ascii="Tahoma" w:hAnsi="Tahoma"/>
          <w:sz w:val="18"/>
        </w:rPr>
        <w:t>Indexfalls</w:t>
      </w:r>
      <w:r>
        <w:rPr>
          <w:rFonts w:ascii="Tahoma" w:hAnsi="Tahoma"/>
          <w:sz w:val="18"/>
        </w:rPr>
        <w:t xml:space="preserve">, die CD4-Zellzahl und die Anwendung einer antiretroviralen Behandlung berücksichtigt werden. Die Präventivbehandlung sollte 6 Monate Isoniazid oder 9 Monate Isoniazid oder ein 3-monatiges Regime wöchentlichen Rifapentins plus Isoniazid oder 3-4 Monate Isoniazid plus Rifampicin oder 3-4 Monate Monotherapie mit Rifampicin umfassen [36, 37]. Rifampicin- und rifapentinhaltige Regimes sollten bei Personen mit HIV, die </w:t>
      </w:r>
      <w:r w:rsidR="0039417A">
        <w:rPr>
          <w:rFonts w:ascii="Tahoma" w:hAnsi="Tahoma"/>
          <w:sz w:val="18"/>
        </w:rPr>
        <w:t>eine</w:t>
      </w:r>
      <w:r>
        <w:rPr>
          <w:rFonts w:ascii="Tahoma" w:hAnsi="Tahoma"/>
          <w:sz w:val="18"/>
        </w:rPr>
        <w:t xml:space="preserve"> antiretrovirale Behandlung </w:t>
      </w:r>
      <w:r w:rsidR="0039417A">
        <w:rPr>
          <w:rFonts w:ascii="Tahoma" w:hAnsi="Tahoma"/>
          <w:sz w:val="18"/>
        </w:rPr>
        <w:t>erhalten</w:t>
      </w:r>
      <w:r>
        <w:rPr>
          <w:rFonts w:ascii="Tahoma" w:hAnsi="Tahoma"/>
          <w:sz w:val="18"/>
        </w:rPr>
        <w:t>, aufgrund potenzieller Arzneimittelwechselwirkungen mit Vorsicht verschrieben werden [36, 38].</w:t>
      </w:r>
    </w:p>
    <w:p w:rsidR="00DA3A70" w:rsidRPr="000D0DB0" w:rsidP="00DB519A" w14:paraId="129EDE51" w14:textId="77777777">
      <w:pPr>
        <w:shd w:val="clear" w:color="auto" w:fill="D9D9D9"/>
        <w:autoSpaceDE w:val="0"/>
        <w:autoSpaceDN w:val="0"/>
        <w:adjustRightInd w:val="0"/>
        <w:spacing w:after="0"/>
        <w:jc w:val="both"/>
        <w:rPr>
          <w:rFonts w:ascii="Tahoma" w:hAnsi="Tahoma" w:cs="Tahoma"/>
          <w:sz w:val="24"/>
          <w:szCs w:val="24"/>
        </w:rPr>
      </w:pPr>
      <w:r>
        <w:rPr>
          <w:rFonts w:ascii="Tahoma" w:hAnsi="Tahoma"/>
          <w:b/>
          <w:sz w:val="24"/>
        </w:rPr>
        <w:t>Standard 17</w:t>
      </w:r>
    </w:p>
    <w:p w:rsidR="00DA3A70" w:rsidRPr="000D0DB0" w:rsidP="0028467E" w14:paraId="73C37CC0" w14:textId="245A114A">
      <w:pPr>
        <w:spacing w:after="120"/>
        <w:rPr>
          <w:rFonts w:ascii="Tahoma" w:hAnsi="Tahoma" w:cs="Tahoma"/>
          <w:sz w:val="18"/>
          <w:szCs w:val="18"/>
        </w:rPr>
      </w:pPr>
      <w:r>
        <w:rPr>
          <w:rFonts w:ascii="Tahoma" w:hAnsi="Tahoma"/>
          <w:sz w:val="18"/>
        </w:rPr>
        <w:t xml:space="preserve">Alle </w:t>
      </w:r>
      <w:r w:rsidR="00C31164">
        <w:rPr>
          <w:rFonts w:ascii="Tahoma" w:hAnsi="Tahoma"/>
          <w:sz w:val="18"/>
        </w:rPr>
        <w:t>Gesundheitsd</w:t>
      </w:r>
      <w:r>
        <w:rPr>
          <w:rFonts w:ascii="Tahoma" w:hAnsi="Tahoma"/>
          <w:sz w:val="18"/>
        </w:rPr>
        <w:t>ienstleister sollten eine</w:t>
      </w:r>
      <w:r w:rsidR="0039417A">
        <w:rPr>
          <w:rFonts w:ascii="Tahoma" w:hAnsi="Tahoma"/>
          <w:sz w:val="18"/>
        </w:rPr>
        <w:t xml:space="preserve"> sorgfältige</w:t>
      </w:r>
      <w:r>
        <w:rPr>
          <w:rFonts w:ascii="Tahoma" w:hAnsi="Tahoma"/>
          <w:sz w:val="18"/>
        </w:rPr>
        <w:t xml:space="preserve"> Beurteilung von Erkrankungen, die das Ansprechen auf die Tuberkulosebehandlung oder deren Ergebnis beeinträchtigen könnten, vornehmen. Sobald der </w:t>
      </w:r>
      <w:r w:rsidR="0039417A">
        <w:rPr>
          <w:rFonts w:ascii="Tahoma" w:hAnsi="Tahoma"/>
          <w:sz w:val="18"/>
        </w:rPr>
        <w:t>individuelle Behandlungsplan</w:t>
      </w:r>
      <w:r>
        <w:rPr>
          <w:rFonts w:ascii="Tahoma" w:hAnsi="Tahoma"/>
          <w:sz w:val="18"/>
        </w:rPr>
        <w:t xml:space="preserve"> erstellt ist, sollte der Dienstleister zusätzliche </w:t>
      </w:r>
      <w:r w:rsidR="0039417A">
        <w:rPr>
          <w:rFonts w:ascii="Tahoma" w:hAnsi="Tahoma"/>
          <w:sz w:val="18"/>
        </w:rPr>
        <w:t xml:space="preserve">Maßnahmen </w:t>
      </w:r>
      <w:r>
        <w:rPr>
          <w:rFonts w:ascii="Tahoma" w:hAnsi="Tahoma"/>
          <w:sz w:val="18"/>
        </w:rPr>
        <w:t xml:space="preserve">identifizieren, die ein optimales Ergebnis des einzelnen Patienten unterstützen würden, und diese </w:t>
      </w:r>
      <w:r w:rsidR="0039417A">
        <w:rPr>
          <w:rFonts w:ascii="Tahoma" w:hAnsi="Tahoma"/>
          <w:sz w:val="18"/>
        </w:rPr>
        <w:t>Maßnahmen in</w:t>
      </w:r>
      <w:r>
        <w:rPr>
          <w:rFonts w:ascii="Tahoma" w:hAnsi="Tahoma"/>
          <w:sz w:val="18"/>
        </w:rPr>
        <w:t xml:space="preserve"> den individuellen Versorgungsplan aufnehmen. Dieser Plan sollte eine Beurteilung und Überweisung zur Behandlung anderer Krankheiten mit besonderem Augenmerk auf jene beinhalten, die bekanntermaßen das Behandlungsergebnis beeinträchtigen, wie etwa HIV, Diabetes mellitus, Drogen- und </w:t>
      </w:r>
      <w:r w:rsidR="005A7A30">
        <w:rPr>
          <w:rFonts w:ascii="Tahoma" w:hAnsi="Tahoma"/>
          <w:sz w:val="18"/>
        </w:rPr>
        <w:t>Alkoholgebrauch</w:t>
      </w:r>
      <w:r>
        <w:rPr>
          <w:rFonts w:ascii="Tahoma" w:hAnsi="Tahoma"/>
          <w:sz w:val="18"/>
        </w:rPr>
        <w:t>, Rauchen und andere</w:t>
      </w:r>
      <w:r w:rsidR="005A7A30">
        <w:rPr>
          <w:rFonts w:ascii="Tahoma" w:hAnsi="Tahoma"/>
          <w:sz w:val="18"/>
        </w:rPr>
        <w:t>,</w:t>
      </w:r>
      <w:r>
        <w:rPr>
          <w:rFonts w:ascii="Tahoma" w:hAnsi="Tahoma"/>
          <w:sz w:val="18"/>
        </w:rPr>
        <w:t xml:space="preserve"> psychosoziale Probleme [39]. Falls erforderlich sollten </w:t>
      </w:r>
      <w:r w:rsidR="005A7A30">
        <w:rPr>
          <w:rFonts w:ascii="Tahoma" w:hAnsi="Tahoma"/>
          <w:sz w:val="18"/>
        </w:rPr>
        <w:t>Gesundheitsvorsorgel</w:t>
      </w:r>
      <w:r w:rsidR="00DB1560">
        <w:rPr>
          <w:rFonts w:ascii="Tahoma" w:hAnsi="Tahoma"/>
          <w:sz w:val="18"/>
        </w:rPr>
        <w:t>eistungen</w:t>
      </w:r>
      <w:r>
        <w:rPr>
          <w:rFonts w:ascii="Tahoma" w:hAnsi="Tahoma"/>
          <w:sz w:val="18"/>
        </w:rPr>
        <w:t xml:space="preserve">, wie etwa </w:t>
      </w:r>
      <w:r w:rsidR="00DB1560">
        <w:rPr>
          <w:rFonts w:ascii="Tahoma" w:hAnsi="Tahoma"/>
          <w:sz w:val="18"/>
        </w:rPr>
        <w:t xml:space="preserve">Schwangerschaftsvorsorge </w:t>
      </w:r>
      <w:r>
        <w:rPr>
          <w:rFonts w:ascii="Tahoma" w:hAnsi="Tahoma"/>
          <w:sz w:val="18"/>
        </w:rPr>
        <w:t>oder -nachsorge, erbracht werden.</w:t>
      </w:r>
    </w:p>
    <w:p w:rsidR="00835340" w:rsidP="000D0DB0" w14:paraId="2D95BBDA" w14:textId="77777777">
      <w:pPr>
        <w:pStyle w:val="EC-Title-6"/>
      </w:pPr>
      <w:r>
        <w:t>EU-spezifische Anforderungen</w:t>
      </w:r>
    </w:p>
    <w:p w:rsidR="009A57EF" w:rsidRPr="000D0DB0" w:rsidP="0028467E" w14:paraId="64545576" w14:textId="17D6B0EB">
      <w:pPr>
        <w:spacing w:after="120"/>
        <w:rPr>
          <w:rFonts w:ascii="Tahoma" w:hAnsi="Tahoma" w:cs="Tahoma"/>
          <w:sz w:val="18"/>
          <w:szCs w:val="18"/>
        </w:rPr>
      </w:pPr>
      <w:r>
        <w:rPr>
          <w:rFonts w:ascii="Tahoma" w:hAnsi="Tahoma"/>
          <w:sz w:val="18"/>
        </w:rPr>
        <w:t>Es sollte eine Umsetzung sowohl der Aktivitäten der WHO-Interimsrichtlinie für gemeinsame TB-/HIV-Aktivitäten wie auch der hier beschriebenen Standards erfolgen</w:t>
      </w:r>
      <w:r w:rsidR="00644C23">
        <w:rPr>
          <w:rFonts w:ascii="Tahoma" w:hAnsi="Tahoma"/>
          <w:sz w:val="18"/>
        </w:rPr>
        <w:t xml:space="preserve"> </w:t>
      </w:r>
      <w:r>
        <w:rPr>
          <w:rFonts w:ascii="Tahoma" w:hAnsi="Tahoma"/>
          <w:sz w:val="18"/>
        </w:rPr>
        <w:t xml:space="preserve">[34]. </w:t>
      </w:r>
    </w:p>
    <w:p w:rsidR="00DA3A70" w:rsidRPr="000D0DB0" w:rsidP="0028467E" w14:paraId="125F83B6" w14:textId="77777777">
      <w:pPr>
        <w:pStyle w:val="EC-Title-5"/>
        <w:spacing w:before="120"/>
        <w:rPr>
          <w:b w:val="0"/>
          <w:sz w:val="24"/>
          <w:szCs w:val="24"/>
        </w:rPr>
      </w:pPr>
      <w:r>
        <w:t>Standards für die öffentliche Gesundheit und Tuberkuloseprävention</w:t>
      </w:r>
    </w:p>
    <w:p w:rsidR="00DA3A70" w:rsidRPr="000D0DB0" w:rsidP="00DB519A" w14:paraId="754C898C" w14:textId="77777777">
      <w:pPr>
        <w:shd w:val="clear" w:color="auto" w:fill="D9D9D9"/>
        <w:autoSpaceDE w:val="0"/>
        <w:autoSpaceDN w:val="0"/>
        <w:adjustRightInd w:val="0"/>
        <w:spacing w:after="0"/>
        <w:jc w:val="both"/>
        <w:rPr>
          <w:rFonts w:ascii="Tahoma" w:hAnsi="Tahoma" w:cs="Tahoma"/>
          <w:sz w:val="24"/>
          <w:szCs w:val="24"/>
        </w:rPr>
      </w:pPr>
      <w:r>
        <w:rPr>
          <w:rFonts w:ascii="Tahoma" w:hAnsi="Tahoma"/>
          <w:b/>
          <w:sz w:val="24"/>
        </w:rPr>
        <w:t>Standard 18</w:t>
      </w:r>
    </w:p>
    <w:p w:rsidR="00DA3A70" w:rsidRPr="000D0DB0" w:rsidP="0028467E" w14:paraId="1445B50D" w14:textId="70EA3397">
      <w:pPr>
        <w:spacing w:after="120"/>
        <w:rPr>
          <w:rFonts w:ascii="Tahoma" w:hAnsi="Tahoma" w:cs="Tahoma"/>
          <w:sz w:val="18"/>
          <w:szCs w:val="18"/>
        </w:rPr>
      </w:pPr>
      <w:r>
        <w:rPr>
          <w:rFonts w:ascii="Tahoma" w:hAnsi="Tahoma"/>
          <w:sz w:val="18"/>
        </w:rPr>
        <w:t xml:space="preserve">Alle </w:t>
      </w:r>
      <w:r w:rsidR="00C31164">
        <w:rPr>
          <w:rFonts w:ascii="Tahoma" w:hAnsi="Tahoma"/>
          <w:sz w:val="18"/>
        </w:rPr>
        <w:t xml:space="preserve">Gesundheitsdienstleister </w:t>
      </w:r>
      <w:r>
        <w:rPr>
          <w:rFonts w:ascii="Tahoma" w:hAnsi="Tahoma"/>
          <w:sz w:val="18"/>
        </w:rPr>
        <w:t>für Patienten mit Tuberkulose sollten sicherstellen, dass Personen, die engen Kontakt zu Patienten mit aktiver und infektiöser Tuberkulose hatten, gemäß den internationalen Empfehlungen</w:t>
      </w:r>
      <w:r w:rsidR="005A7A30">
        <w:rPr>
          <w:rFonts w:ascii="Tahoma" w:hAnsi="Tahoma"/>
          <w:sz w:val="18"/>
        </w:rPr>
        <w:t xml:space="preserve"> untersucht und</w:t>
      </w:r>
      <w:r>
        <w:rPr>
          <w:rFonts w:ascii="Tahoma" w:hAnsi="Tahoma"/>
          <w:sz w:val="18"/>
        </w:rPr>
        <w:t xml:space="preserve"> behandelt werden. Enger Kontakt beinhaltet Mitglieder des Haushaltes oder der Familie und Einzelpersonen mit intensivem oder längerem Kontakt an Orten mit </w:t>
      </w:r>
      <w:r w:rsidR="00DB1560">
        <w:rPr>
          <w:rFonts w:ascii="Tahoma" w:hAnsi="Tahoma"/>
          <w:sz w:val="18"/>
        </w:rPr>
        <w:t>Menschenansammlungen</w:t>
      </w:r>
      <w:r>
        <w:rPr>
          <w:rFonts w:ascii="Tahoma" w:hAnsi="Tahoma"/>
          <w:sz w:val="18"/>
        </w:rPr>
        <w:t>, wie etwa Gefängnisse</w:t>
      </w:r>
      <w:r w:rsidR="00057333">
        <w:rPr>
          <w:rFonts w:ascii="Tahoma" w:hAnsi="Tahoma"/>
          <w:sz w:val="18"/>
        </w:rPr>
        <w:t>n</w:t>
      </w:r>
      <w:r>
        <w:rPr>
          <w:rFonts w:ascii="Tahoma" w:hAnsi="Tahoma"/>
          <w:sz w:val="18"/>
        </w:rPr>
        <w:t>, Obdachlosen</w:t>
      </w:r>
      <w:r w:rsidR="0020640B">
        <w:rPr>
          <w:rFonts w:ascii="Tahoma" w:hAnsi="Tahoma"/>
          <w:sz w:val="18"/>
        </w:rPr>
        <w:t>heime</w:t>
      </w:r>
      <w:r w:rsidR="00057333">
        <w:rPr>
          <w:rFonts w:ascii="Tahoma" w:hAnsi="Tahoma"/>
          <w:sz w:val="18"/>
        </w:rPr>
        <w:t xml:space="preserve">n </w:t>
      </w:r>
      <w:r>
        <w:rPr>
          <w:rFonts w:ascii="Tahoma" w:hAnsi="Tahoma"/>
          <w:sz w:val="18"/>
        </w:rPr>
        <w:t xml:space="preserve">oder </w:t>
      </w:r>
      <w:r w:rsidR="0020640B">
        <w:rPr>
          <w:rFonts w:ascii="Tahoma" w:hAnsi="Tahoma"/>
          <w:sz w:val="18"/>
        </w:rPr>
        <w:t>Flüchtlingsunterkünfte</w:t>
      </w:r>
      <w:r w:rsidR="00057333">
        <w:rPr>
          <w:rFonts w:ascii="Tahoma" w:hAnsi="Tahoma"/>
          <w:sz w:val="18"/>
        </w:rPr>
        <w:t xml:space="preserve">n, </w:t>
      </w:r>
      <w:r>
        <w:rPr>
          <w:rFonts w:ascii="Tahoma" w:hAnsi="Tahoma"/>
          <w:sz w:val="18"/>
        </w:rPr>
        <w:t xml:space="preserve">und </w:t>
      </w:r>
      <w:r w:rsidR="0020640B">
        <w:rPr>
          <w:rFonts w:ascii="Tahoma" w:hAnsi="Tahoma"/>
          <w:sz w:val="18"/>
        </w:rPr>
        <w:t xml:space="preserve">in Gebäuden </w:t>
      </w:r>
      <w:r>
        <w:rPr>
          <w:rFonts w:ascii="Tahoma" w:hAnsi="Tahoma"/>
          <w:sz w:val="18"/>
        </w:rPr>
        <w:t>wie Schulen oder Büros.</w:t>
      </w:r>
    </w:p>
    <w:p w:rsidR="00DA3A70" w:rsidP="0028467E" w14:paraId="513F6A7F" w14:textId="10BB8E9F">
      <w:pPr>
        <w:spacing w:after="120"/>
        <w:rPr>
          <w:rFonts w:ascii="Tahoma" w:hAnsi="Tahoma" w:cs="Tahoma"/>
          <w:sz w:val="18"/>
          <w:szCs w:val="18"/>
        </w:rPr>
      </w:pPr>
      <w:r>
        <w:rPr>
          <w:rFonts w:ascii="Tahoma" w:hAnsi="Tahoma"/>
          <w:sz w:val="18"/>
        </w:rPr>
        <w:t>Das Risiko einer Tuberkuloseübertragung hängt von der Konzentration der Tuberk</w:t>
      </w:r>
      <w:r w:rsidR="006D2DF4">
        <w:rPr>
          <w:rFonts w:ascii="Tahoma" w:hAnsi="Tahoma"/>
          <w:sz w:val="18"/>
        </w:rPr>
        <w:t>uloseerreger</w:t>
      </w:r>
      <w:r>
        <w:rPr>
          <w:rFonts w:ascii="Tahoma" w:hAnsi="Tahoma"/>
          <w:sz w:val="18"/>
        </w:rPr>
        <w:t xml:space="preserve"> in der Luft, dem Luftstrom, der Dauer des Kontakts und der Suszeptibilität des Kontakts </w:t>
      </w:r>
      <w:r w:rsidR="006D2DF4">
        <w:rPr>
          <w:rFonts w:ascii="Tahoma" w:hAnsi="Tahoma"/>
          <w:sz w:val="18"/>
        </w:rPr>
        <w:t>für eine</w:t>
      </w:r>
      <w:r>
        <w:rPr>
          <w:rFonts w:ascii="Tahoma" w:hAnsi="Tahoma"/>
          <w:sz w:val="18"/>
        </w:rPr>
        <w:t xml:space="preserve"> Infektion ab. Die Bestimmung von Prioritäten für die </w:t>
      </w:r>
      <w:r w:rsidR="006D2DF4">
        <w:rPr>
          <w:rFonts w:ascii="Tahoma" w:hAnsi="Tahoma"/>
          <w:sz w:val="18"/>
        </w:rPr>
        <w:t>Umgebungsuntersuchung</w:t>
      </w:r>
      <w:r w:rsidR="00DA2283">
        <w:rPr>
          <w:rFonts w:ascii="Tahoma" w:hAnsi="Tahoma"/>
          <w:sz w:val="18"/>
        </w:rPr>
        <w:t>en</w:t>
      </w:r>
      <w:r w:rsidR="006D2DF4">
        <w:rPr>
          <w:rFonts w:ascii="Tahoma" w:hAnsi="Tahoma"/>
          <w:sz w:val="18"/>
        </w:rPr>
        <w:t xml:space="preserve"> </w:t>
      </w:r>
      <w:r>
        <w:rPr>
          <w:rFonts w:ascii="Tahoma" w:hAnsi="Tahoma"/>
          <w:sz w:val="18"/>
        </w:rPr>
        <w:t>(</w:t>
      </w:r>
      <w:r w:rsidR="00DA2283">
        <w:rPr>
          <w:rFonts w:ascii="Tahoma" w:hAnsi="Tahoma"/>
          <w:sz w:val="18"/>
        </w:rPr>
        <w:t>Kontak</w:t>
      </w:r>
      <w:r w:rsidR="00764807">
        <w:rPr>
          <w:rFonts w:ascii="Tahoma" w:hAnsi="Tahoma"/>
          <w:sz w:val="18"/>
        </w:rPr>
        <w:t>t</w:t>
      </w:r>
      <w:r w:rsidR="00DA2283">
        <w:rPr>
          <w:rFonts w:ascii="Tahoma" w:hAnsi="Tahoma"/>
          <w:sz w:val="18"/>
        </w:rPr>
        <w:t>personennachverfolgung</w:t>
      </w:r>
      <w:r>
        <w:rPr>
          <w:rFonts w:ascii="Tahoma" w:hAnsi="Tahoma"/>
          <w:sz w:val="18"/>
        </w:rPr>
        <w:t xml:space="preserve">) beruht auf der Wahrscheinlichkeit, dass ein Kontakt: 1) nicht </w:t>
      </w:r>
      <w:r w:rsidR="00DA2283">
        <w:rPr>
          <w:rFonts w:ascii="Tahoma" w:hAnsi="Tahoma"/>
          <w:sz w:val="18"/>
        </w:rPr>
        <w:t xml:space="preserve">mit Tuberkulose </w:t>
      </w:r>
      <w:r>
        <w:rPr>
          <w:rFonts w:ascii="Tahoma" w:hAnsi="Tahoma"/>
          <w:sz w:val="18"/>
        </w:rPr>
        <w:t xml:space="preserve">diagnostiziert wurde und somit eine unbehandelte Tuberkulose </w:t>
      </w:r>
      <w:r w:rsidR="00DA2283">
        <w:rPr>
          <w:rFonts w:ascii="Tahoma" w:hAnsi="Tahoma"/>
          <w:sz w:val="18"/>
        </w:rPr>
        <w:t>vorliegt</w:t>
      </w:r>
      <w:r>
        <w:rPr>
          <w:rFonts w:ascii="Tahoma" w:hAnsi="Tahoma"/>
          <w:sz w:val="18"/>
        </w:rPr>
        <w:t>; 2) ein hohe</w:t>
      </w:r>
      <w:r w:rsidR="006D2DF4">
        <w:rPr>
          <w:rFonts w:ascii="Tahoma" w:hAnsi="Tahoma"/>
          <w:sz w:val="18"/>
        </w:rPr>
        <w:t>s</w:t>
      </w:r>
      <w:r>
        <w:rPr>
          <w:rFonts w:ascii="Tahoma" w:hAnsi="Tahoma"/>
          <w:sz w:val="18"/>
        </w:rPr>
        <w:t xml:space="preserve"> Risiko </w:t>
      </w:r>
      <w:r w:rsidR="006D2DF4">
        <w:rPr>
          <w:rFonts w:ascii="Tahoma" w:hAnsi="Tahoma"/>
          <w:sz w:val="18"/>
        </w:rPr>
        <w:t>hat</w:t>
      </w:r>
      <w:r>
        <w:rPr>
          <w:rFonts w:ascii="Tahoma" w:hAnsi="Tahoma"/>
          <w:sz w:val="18"/>
        </w:rPr>
        <w:t xml:space="preserve">, vom </w:t>
      </w:r>
      <w:r w:rsidR="006D2DF4">
        <w:rPr>
          <w:rFonts w:ascii="Tahoma" w:hAnsi="Tahoma"/>
          <w:sz w:val="18"/>
        </w:rPr>
        <w:t xml:space="preserve">Indexfall </w:t>
      </w:r>
      <w:r>
        <w:rPr>
          <w:rFonts w:ascii="Tahoma" w:hAnsi="Tahoma"/>
          <w:sz w:val="18"/>
        </w:rPr>
        <w:t>infiziert worden zu sein; 3) ein hohe</w:t>
      </w:r>
      <w:r w:rsidR="006D2DF4">
        <w:rPr>
          <w:rFonts w:ascii="Tahoma" w:hAnsi="Tahoma"/>
          <w:sz w:val="18"/>
        </w:rPr>
        <w:t>s</w:t>
      </w:r>
      <w:r>
        <w:rPr>
          <w:rFonts w:ascii="Tahoma" w:hAnsi="Tahoma"/>
          <w:sz w:val="18"/>
        </w:rPr>
        <w:t xml:space="preserve"> Risiko für die Entwicklung einer Tuberkulose </w:t>
      </w:r>
      <w:r w:rsidR="006D2DF4">
        <w:rPr>
          <w:rFonts w:ascii="Tahoma" w:hAnsi="Tahoma"/>
          <w:sz w:val="18"/>
        </w:rPr>
        <w:t>hat</w:t>
      </w:r>
      <w:r>
        <w:rPr>
          <w:rFonts w:ascii="Tahoma" w:hAnsi="Tahoma"/>
          <w:sz w:val="18"/>
        </w:rPr>
        <w:t>, wenn er infiziert ist; 4) ein Risiko für eine</w:t>
      </w:r>
      <w:r w:rsidR="0020640B">
        <w:rPr>
          <w:rFonts w:ascii="Tahoma" w:hAnsi="Tahoma"/>
          <w:sz w:val="18"/>
        </w:rPr>
        <w:t>n schweren Krankheitsverslauf</w:t>
      </w:r>
      <w:r>
        <w:rPr>
          <w:rFonts w:ascii="Tahoma" w:hAnsi="Tahoma"/>
          <w:sz w:val="18"/>
        </w:rPr>
        <w:t xml:space="preserve"> </w:t>
      </w:r>
      <w:r w:rsidR="006D2DF4">
        <w:rPr>
          <w:rFonts w:ascii="Tahoma" w:hAnsi="Tahoma"/>
          <w:sz w:val="18"/>
        </w:rPr>
        <w:t>hat</w:t>
      </w:r>
      <w:r>
        <w:rPr>
          <w:rFonts w:ascii="Tahoma" w:hAnsi="Tahoma"/>
          <w:sz w:val="18"/>
        </w:rPr>
        <w:t xml:space="preserve">, wenn </w:t>
      </w:r>
      <w:r w:rsidR="00DA2283">
        <w:rPr>
          <w:rFonts w:ascii="Tahoma" w:hAnsi="Tahoma"/>
          <w:sz w:val="18"/>
        </w:rPr>
        <w:t>er eine Tuberkulose entwickelt</w:t>
      </w:r>
      <w:r>
        <w:rPr>
          <w:rFonts w:ascii="Tahoma" w:hAnsi="Tahoma"/>
          <w:sz w:val="18"/>
        </w:rPr>
        <w:t>.</w:t>
      </w:r>
    </w:p>
    <w:p w:rsidR="00835340" w:rsidP="00835340" w14:paraId="08E55B83" w14:textId="77777777">
      <w:pPr>
        <w:pStyle w:val="EC-Title-6"/>
      </w:pPr>
      <w:r>
        <w:t>EU-spezifische Anforderungen</w:t>
      </w:r>
    </w:p>
    <w:p w:rsidR="00DA3A70" w:rsidRPr="000D0DB0" w:rsidP="0028467E" w14:paraId="61F46E1B" w14:textId="4B5700E2">
      <w:pPr>
        <w:spacing w:after="120"/>
        <w:rPr>
          <w:rFonts w:ascii="Tahoma" w:hAnsi="Tahoma" w:cs="Tahoma"/>
          <w:sz w:val="18"/>
          <w:szCs w:val="18"/>
        </w:rPr>
      </w:pPr>
      <w:r>
        <w:rPr>
          <w:rFonts w:ascii="Tahoma" w:hAnsi="Tahoma"/>
          <w:sz w:val="18"/>
        </w:rPr>
        <w:t xml:space="preserve">Die Determinanten der Übertragung von Tuberkulose und die Suszeptibilität </w:t>
      </w:r>
      <w:r w:rsidR="00DA2283">
        <w:rPr>
          <w:rFonts w:ascii="Tahoma" w:hAnsi="Tahoma"/>
          <w:sz w:val="18"/>
        </w:rPr>
        <w:t xml:space="preserve">der Kontaktpersonen </w:t>
      </w:r>
      <w:r>
        <w:rPr>
          <w:rFonts w:ascii="Tahoma" w:hAnsi="Tahoma"/>
          <w:sz w:val="18"/>
        </w:rPr>
        <w:t xml:space="preserve">sollten sorgfältig berücksichtigt werden, wenn beurteilt wird, ob eine Übertragung wahrscheinlich stattgefunden hat und der Bedarf für die </w:t>
      </w:r>
      <w:r w:rsidR="00DA2283">
        <w:rPr>
          <w:rFonts w:ascii="Tahoma" w:hAnsi="Tahoma"/>
          <w:sz w:val="18"/>
        </w:rPr>
        <w:t xml:space="preserve">Durchführung </w:t>
      </w:r>
      <w:r>
        <w:rPr>
          <w:rFonts w:ascii="Tahoma" w:hAnsi="Tahoma"/>
          <w:sz w:val="18"/>
        </w:rPr>
        <w:t xml:space="preserve">einer </w:t>
      </w:r>
      <w:r w:rsidR="006D2DF4">
        <w:rPr>
          <w:rFonts w:ascii="Tahoma" w:hAnsi="Tahoma"/>
          <w:sz w:val="18"/>
        </w:rPr>
        <w:t xml:space="preserve">Umgebungsuntersuchung </w:t>
      </w:r>
      <w:r>
        <w:rPr>
          <w:rFonts w:ascii="Tahoma" w:hAnsi="Tahoma"/>
          <w:sz w:val="18"/>
        </w:rPr>
        <w:t xml:space="preserve">besteht [40]. </w:t>
      </w:r>
    </w:p>
    <w:p w:rsidR="00DA3A70" w:rsidRPr="000D0DB0" w:rsidP="0028467E" w14:paraId="7930E084" w14:textId="7B2CD0AF">
      <w:pPr>
        <w:spacing w:after="120"/>
        <w:rPr>
          <w:rFonts w:ascii="Tahoma" w:hAnsi="Tahoma" w:cs="Tahoma"/>
          <w:sz w:val="18"/>
          <w:szCs w:val="18"/>
        </w:rPr>
      </w:pPr>
      <w:r>
        <w:rPr>
          <w:rFonts w:ascii="Tahoma" w:hAnsi="Tahoma"/>
          <w:sz w:val="18"/>
        </w:rPr>
        <w:t xml:space="preserve">Enge Kontakte von MDR- und XDR-TB-Patienten sollten gemäß den nationalen Richtlinien im Hinblick auf eine latente Tuberkuloseinfektion (LTBI) und Tuberkulose getestet werden. Kontakte, bei denen eine Tuberkulose ausgeschlossen und eine LTBI diagnostiziert wurde, sollten sich einer individuellen Risikobewertung unterziehen, </w:t>
      </w:r>
      <w:r>
        <w:rPr>
          <w:rFonts w:ascii="Tahoma" w:hAnsi="Tahoma"/>
          <w:sz w:val="18"/>
        </w:rPr>
        <w:t xml:space="preserve">um Folgendes bestimmen zu lassen: 1) das Risiko des Kontakts für eine Progression zu einer Tuberkulose, 2) das </w:t>
      </w:r>
      <w:r w:rsidR="006D2DF4">
        <w:rPr>
          <w:rFonts w:ascii="Tahoma" w:hAnsi="Tahoma"/>
          <w:sz w:val="18"/>
        </w:rPr>
        <w:t xml:space="preserve">Resistenzmuster </w:t>
      </w:r>
      <w:r>
        <w:rPr>
          <w:rFonts w:ascii="Tahoma" w:hAnsi="Tahoma"/>
          <w:sz w:val="18"/>
        </w:rPr>
        <w:t xml:space="preserve">des </w:t>
      </w:r>
      <w:r w:rsidR="006D2DF4">
        <w:rPr>
          <w:rFonts w:ascii="Tahoma" w:hAnsi="Tahoma"/>
          <w:sz w:val="18"/>
        </w:rPr>
        <w:t xml:space="preserve">Indexfalls </w:t>
      </w:r>
      <w:r>
        <w:rPr>
          <w:rFonts w:ascii="Tahoma" w:hAnsi="Tahoma"/>
          <w:sz w:val="18"/>
        </w:rPr>
        <w:t xml:space="preserve">und 3) das Risiko des Kontakts für </w:t>
      </w:r>
      <w:r w:rsidR="000166E5">
        <w:rPr>
          <w:rFonts w:ascii="Tahoma" w:hAnsi="Tahoma"/>
          <w:sz w:val="18"/>
        </w:rPr>
        <w:t xml:space="preserve">behandlungsbedingte </w:t>
      </w:r>
      <w:r>
        <w:rPr>
          <w:rFonts w:ascii="Tahoma" w:hAnsi="Tahoma"/>
          <w:sz w:val="18"/>
        </w:rPr>
        <w:t>Nebenwirkungen [36, 38]. Ungeachtet de</w:t>
      </w:r>
      <w:r w:rsidR="000166E5">
        <w:rPr>
          <w:rFonts w:ascii="Tahoma" w:hAnsi="Tahoma"/>
          <w:sz w:val="18"/>
        </w:rPr>
        <w:t>r</w:t>
      </w:r>
      <w:r>
        <w:rPr>
          <w:rFonts w:ascii="Tahoma" w:hAnsi="Tahoma"/>
          <w:sz w:val="18"/>
        </w:rPr>
        <w:t xml:space="preserve"> </w:t>
      </w:r>
      <w:r w:rsidR="000166E5">
        <w:rPr>
          <w:rFonts w:ascii="Tahoma" w:hAnsi="Tahoma"/>
          <w:sz w:val="18"/>
        </w:rPr>
        <w:t>Empfehlung</w:t>
      </w:r>
      <w:r>
        <w:rPr>
          <w:rFonts w:ascii="Tahoma" w:hAnsi="Tahoma"/>
          <w:sz w:val="18"/>
        </w:rPr>
        <w:t xml:space="preserve"> in Bezug auf die LTBI-Behandlung sollten diese Kontakt</w:t>
      </w:r>
      <w:r w:rsidR="005708D3">
        <w:rPr>
          <w:rFonts w:ascii="Tahoma" w:hAnsi="Tahoma"/>
          <w:sz w:val="18"/>
        </w:rPr>
        <w:t>personen</w:t>
      </w:r>
      <w:r>
        <w:rPr>
          <w:rFonts w:ascii="Tahoma" w:hAnsi="Tahoma"/>
          <w:sz w:val="18"/>
        </w:rPr>
        <w:t xml:space="preserve"> eine sorgfältige klinische Beobachtung, Informationen und eine </w:t>
      </w:r>
      <w:r w:rsidR="006D2DF4">
        <w:rPr>
          <w:rFonts w:ascii="Tahoma" w:hAnsi="Tahoma"/>
          <w:sz w:val="18"/>
        </w:rPr>
        <w:t xml:space="preserve">Gesundheitsberatung </w:t>
      </w:r>
      <w:r w:rsidR="00DA2283">
        <w:rPr>
          <w:rFonts w:ascii="Tahoma" w:hAnsi="Tahoma"/>
          <w:sz w:val="18"/>
        </w:rPr>
        <w:t xml:space="preserve">durch Gesundheitspersonal </w:t>
      </w:r>
      <w:r>
        <w:rPr>
          <w:rFonts w:ascii="Tahoma" w:hAnsi="Tahoma"/>
          <w:sz w:val="18"/>
        </w:rPr>
        <w:t>mit Erfahrung in der Behandlung von LTBI und Tuberkulose erhalten [35, 41].</w:t>
      </w:r>
    </w:p>
    <w:p w:rsidR="00DA3A70" w:rsidRPr="000D0DB0" w:rsidP="0028467E" w14:paraId="63221892" w14:textId="17490B48">
      <w:pPr>
        <w:spacing w:after="120"/>
        <w:rPr>
          <w:rFonts w:ascii="Tahoma" w:hAnsi="Tahoma" w:cs="Tahoma"/>
          <w:sz w:val="18"/>
          <w:szCs w:val="18"/>
        </w:rPr>
      </w:pPr>
      <w:r>
        <w:rPr>
          <w:rFonts w:ascii="Tahoma" w:hAnsi="Tahoma"/>
          <w:sz w:val="18"/>
        </w:rPr>
        <w:t xml:space="preserve">Die Einbeziehung lokaler Organisationen (einschließlich </w:t>
      </w:r>
      <w:r w:rsidR="00057333">
        <w:rPr>
          <w:rFonts w:ascii="Tahoma" w:hAnsi="Tahoma"/>
          <w:sz w:val="18"/>
        </w:rPr>
        <w:t xml:space="preserve">lokaler </w:t>
      </w:r>
      <w:r w:rsidR="006D6E79">
        <w:rPr>
          <w:rFonts w:ascii="Tahoma" w:hAnsi="Tahoma"/>
          <w:sz w:val="18"/>
        </w:rPr>
        <w:t xml:space="preserve">Mitarbeiter </w:t>
      </w:r>
      <w:r>
        <w:rPr>
          <w:rFonts w:ascii="Tahoma" w:hAnsi="Tahoma"/>
          <w:sz w:val="18"/>
        </w:rPr>
        <w:t xml:space="preserve">im Gesundheitswesen, nicht-klinischer Fachleute und </w:t>
      </w:r>
      <w:r w:rsidR="00867981">
        <w:rPr>
          <w:rFonts w:ascii="Tahoma" w:hAnsi="Tahoma"/>
          <w:sz w:val="18"/>
        </w:rPr>
        <w:t>des sozialen Umfeldes</w:t>
      </w:r>
      <w:r>
        <w:rPr>
          <w:rFonts w:ascii="Tahoma" w:hAnsi="Tahoma"/>
          <w:sz w:val="18"/>
        </w:rPr>
        <w:t xml:space="preserve">) ist ratsam, wenn eine </w:t>
      </w:r>
      <w:r w:rsidR="006D6E79">
        <w:rPr>
          <w:rFonts w:ascii="Tahoma" w:hAnsi="Tahoma"/>
          <w:sz w:val="18"/>
        </w:rPr>
        <w:t xml:space="preserve">Umgebungsuntersuchung </w:t>
      </w:r>
      <w:r>
        <w:rPr>
          <w:rFonts w:ascii="Tahoma" w:hAnsi="Tahoma"/>
          <w:sz w:val="18"/>
        </w:rPr>
        <w:t xml:space="preserve">in einer gefährdeten und schwer zu erreichenden </w:t>
      </w:r>
      <w:r w:rsidR="000166E5">
        <w:rPr>
          <w:rFonts w:ascii="Tahoma" w:hAnsi="Tahoma"/>
          <w:sz w:val="18"/>
        </w:rPr>
        <w:t xml:space="preserve">Bevölkerungsgruppe </w:t>
      </w:r>
      <w:r>
        <w:rPr>
          <w:rFonts w:ascii="Tahoma" w:hAnsi="Tahoma"/>
          <w:sz w:val="18"/>
        </w:rPr>
        <w:t>durchgeführt wird. Dieser Ansatz kann zu einer erfolgreichen Identifikation potenzieller Kontakte beitragen [42, 43].</w:t>
      </w:r>
    </w:p>
    <w:p w:rsidR="0098145B" w:rsidP="0028467E" w14:paraId="2E15732E" w14:textId="4C6011B6">
      <w:pPr>
        <w:spacing w:after="120"/>
        <w:rPr>
          <w:rFonts w:ascii="Tahoma" w:hAnsi="Tahoma" w:cs="Tahoma"/>
          <w:sz w:val="18"/>
          <w:szCs w:val="18"/>
        </w:rPr>
      </w:pPr>
      <w:r>
        <w:rPr>
          <w:rFonts w:ascii="Tahoma" w:hAnsi="Tahoma"/>
          <w:sz w:val="18"/>
        </w:rPr>
        <w:t xml:space="preserve">Ärzte und Manager nationaler Programme müssen mit den entsprechenden Gesundheitsbehörden des Gast- und/oder Heimatlandes von Tuberkulosepatienten interagieren, die Migrantengruppen oder mobilen Bevölkerungsgruppen angehören, um eine Fortsetzung der Versorgung und </w:t>
      </w:r>
      <w:r w:rsidR="005708D3">
        <w:rPr>
          <w:rFonts w:ascii="Tahoma" w:hAnsi="Tahoma"/>
          <w:sz w:val="18"/>
        </w:rPr>
        <w:t>die erforderlichen Kontaktpersonen</w:t>
      </w:r>
      <w:r w:rsidR="00764807">
        <w:rPr>
          <w:rFonts w:ascii="Tahoma" w:hAnsi="Tahoma"/>
          <w:sz w:val="18"/>
        </w:rPr>
        <w:t>nachverfolgungen/Umgebungsunter</w:t>
      </w:r>
      <w:r w:rsidR="005708D3">
        <w:rPr>
          <w:rFonts w:ascii="Tahoma" w:hAnsi="Tahoma"/>
          <w:sz w:val="18"/>
        </w:rPr>
        <w:t>s</w:t>
      </w:r>
      <w:r w:rsidR="00764807">
        <w:rPr>
          <w:rFonts w:ascii="Tahoma" w:hAnsi="Tahoma"/>
          <w:sz w:val="18"/>
        </w:rPr>
        <w:t>u</w:t>
      </w:r>
      <w:r w:rsidR="005708D3">
        <w:rPr>
          <w:rFonts w:ascii="Tahoma" w:hAnsi="Tahoma"/>
          <w:sz w:val="18"/>
        </w:rPr>
        <w:t>chungen</w:t>
      </w:r>
      <w:r>
        <w:rPr>
          <w:rFonts w:ascii="Tahoma" w:hAnsi="Tahoma"/>
          <w:sz w:val="18"/>
        </w:rPr>
        <w:t xml:space="preserve"> sicherzustellen [44]. </w:t>
      </w:r>
    </w:p>
    <w:p w:rsidR="00DA3A70" w:rsidRPr="000D0DB0" w:rsidP="00604B0D" w14:paraId="07F072E6" w14:textId="77777777">
      <w:pPr>
        <w:shd w:val="clear" w:color="auto" w:fill="D9D9D9"/>
        <w:autoSpaceDE w:val="0"/>
        <w:autoSpaceDN w:val="0"/>
        <w:adjustRightInd w:val="0"/>
        <w:spacing w:after="0"/>
        <w:jc w:val="both"/>
        <w:rPr>
          <w:rFonts w:ascii="Tahoma" w:hAnsi="Tahoma" w:cs="Tahoma"/>
          <w:b/>
          <w:bCs/>
          <w:i/>
          <w:sz w:val="24"/>
          <w:szCs w:val="24"/>
        </w:rPr>
      </w:pPr>
      <w:r>
        <w:rPr>
          <w:rFonts w:ascii="Tahoma" w:hAnsi="Tahoma"/>
          <w:b/>
          <w:sz w:val="24"/>
          <w:shd w:val="clear" w:color="auto" w:fill="D9D9D9"/>
        </w:rPr>
        <w:t>Standard 19</w:t>
      </w:r>
    </w:p>
    <w:p w:rsidR="00DA3A70" w:rsidP="0028467E" w14:paraId="2E748419" w14:textId="5646A430">
      <w:pPr>
        <w:spacing w:after="120"/>
        <w:rPr>
          <w:rFonts w:ascii="Tahoma" w:hAnsi="Tahoma" w:cs="Tahoma"/>
          <w:sz w:val="18"/>
          <w:szCs w:val="18"/>
        </w:rPr>
      </w:pPr>
      <w:r>
        <w:rPr>
          <w:rFonts w:ascii="Tahoma" w:hAnsi="Tahoma"/>
          <w:sz w:val="18"/>
        </w:rPr>
        <w:t>Kontakte eines Patienten mit infektiöser Tuberkulose, Personen mit HIV-Infektion, Patienten, die</w:t>
      </w:r>
      <w:r w:rsidR="00AD77A9">
        <w:rPr>
          <w:rFonts w:ascii="Tahoma" w:hAnsi="Tahoma"/>
          <w:sz w:val="18"/>
        </w:rPr>
        <w:t xml:space="preserve"> Behandlung mit</w:t>
      </w:r>
      <w:r>
        <w:rPr>
          <w:rFonts w:ascii="Tahoma" w:hAnsi="Tahoma"/>
          <w:sz w:val="18"/>
        </w:rPr>
        <w:t xml:space="preserve"> eine</w:t>
      </w:r>
      <w:r w:rsidR="00AD77A9">
        <w:rPr>
          <w:rFonts w:ascii="Tahoma" w:hAnsi="Tahoma"/>
          <w:sz w:val="18"/>
        </w:rPr>
        <w:t>m</w:t>
      </w:r>
      <w:r>
        <w:rPr>
          <w:rFonts w:ascii="Tahoma" w:hAnsi="Tahoma"/>
          <w:sz w:val="18"/>
        </w:rPr>
        <w:t xml:space="preserve"> Anti-Tumornekrosefaktor (Anti-TNF-Behandlung) beginnen, Dialyse</w:t>
      </w:r>
      <w:r w:rsidR="00AD77A9">
        <w:rPr>
          <w:rFonts w:ascii="Tahoma" w:hAnsi="Tahoma"/>
          <w:sz w:val="18"/>
        </w:rPr>
        <w:t>patienten</w:t>
      </w:r>
      <w:r>
        <w:rPr>
          <w:rFonts w:ascii="Tahoma" w:hAnsi="Tahoma"/>
          <w:sz w:val="18"/>
        </w:rPr>
        <w:t xml:space="preserve">, Patienten, die sich auf eine Organ- oder hämatologische Transplantation vorbereiten, und Patienten mit Silikose sollten auf eine latente Tuberkuloseinfektion getestet werden. Wenn eine latente Tuberkuloseinfektion festgestellt wird, sollten sie sorgfältig im Hinblick auf </w:t>
      </w:r>
      <w:r w:rsidR="005708D3">
        <w:rPr>
          <w:rFonts w:ascii="Tahoma" w:hAnsi="Tahoma"/>
          <w:sz w:val="18"/>
        </w:rPr>
        <w:t xml:space="preserve">das Vorliegen </w:t>
      </w:r>
      <w:r>
        <w:rPr>
          <w:rFonts w:ascii="Tahoma" w:hAnsi="Tahoma"/>
          <w:sz w:val="18"/>
        </w:rPr>
        <w:t>eine</w:t>
      </w:r>
      <w:r w:rsidR="005708D3">
        <w:rPr>
          <w:rFonts w:ascii="Tahoma" w:hAnsi="Tahoma"/>
          <w:sz w:val="18"/>
        </w:rPr>
        <w:t>r</w:t>
      </w:r>
      <w:r>
        <w:rPr>
          <w:rFonts w:ascii="Tahoma" w:hAnsi="Tahoma"/>
          <w:sz w:val="18"/>
        </w:rPr>
        <w:t xml:space="preserve"> aktive</w:t>
      </w:r>
      <w:r w:rsidR="005708D3">
        <w:rPr>
          <w:rFonts w:ascii="Tahoma" w:hAnsi="Tahoma"/>
          <w:sz w:val="18"/>
        </w:rPr>
        <w:t>n</w:t>
      </w:r>
      <w:r>
        <w:rPr>
          <w:rFonts w:ascii="Tahoma" w:hAnsi="Tahoma"/>
          <w:sz w:val="18"/>
        </w:rPr>
        <w:t xml:space="preserve"> Tuberkulose beurteilt werden. Wenn eine aktive Tuberkulose ausgeschlossen </w:t>
      </w:r>
      <w:r w:rsidR="005708D3">
        <w:rPr>
          <w:rFonts w:ascii="Tahoma" w:hAnsi="Tahoma"/>
          <w:sz w:val="18"/>
        </w:rPr>
        <w:t>ist</w:t>
      </w:r>
      <w:r>
        <w:rPr>
          <w:rFonts w:ascii="Tahoma" w:hAnsi="Tahoma"/>
          <w:sz w:val="18"/>
        </w:rPr>
        <w:t xml:space="preserve">, sollte eine </w:t>
      </w:r>
      <w:r w:rsidR="005708D3">
        <w:rPr>
          <w:rFonts w:ascii="Tahoma" w:hAnsi="Tahoma"/>
          <w:sz w:val="18"/>
        </w:rPr>
        <w:t>p</w:t>
      </w:r>
      <w:r>
        <w:rPr>
          <w:rFonts w:ascii="Tahoma" w:hAnsi="Tahoma"/>
          <w:sz w:val="18"/>
        </w:rPr>
        <w:t>räventiv</w:t>
      </w:r>
      <w:r w:rsidR="005708D3">
        <w:rPr>
          <w:rFonts w:ascii="Tahoma" w:hAnsi="Tahoma"/>
          <w:sz w:val="18"/>
        </w:rPr>
        <w:t>e B</w:t>
      </w:r>
      <w:r>
        <w:rPr>
          <w:rFonts w:ascii="Tahoma" w:hAnsi="Tahoma"/>
          <w:sz w:val="18"/>
        </w:rPr>
        <w:t>ehandlung unter Anwendung eines von der WHO empfohlenen Regimes angeboten werden.</w:t>
      </w:r>
    </w:p>
    <w:p w:rsidR="00DA3A70" w:rsidRPr="000D0DB0" w:rsidP="000D0DB0" w14:paraId="46FC82CE" w14:textId="77777777">
      <w:pPr>
        <w:pStyle w:val="EC-Title-6"/>
        <w:rPr>
          <w:b w:val="0"/>
          <w:sz w:val="24"/>
          <w:szCs w:val="24"/>
        </w:rPr>
      </w:pPr>
      <w:r>
        <w:rPr>
          <w:sz w:val="24"/>
        </w:rPr>
        <w:t>EU-spezifische Anforderungen</w:t>
      </w:r>
    </w:p>
    <w:p w:rsidR="00DA3A70" w:rsidRPr="000D0DB0" w:rsidP="0028467E" w14:paraId="6032FCDD" w14:textId="0FAEB798">
      <w:pPr>
        <w:spacing w:after="120"/>
        <w:rPr>
          <w:rFonts w:ascii="Tahoma" w:hAnsi="Tahoma" w:cs="Tahoma"/>
          <w:sz w:val="18"/>
          <w:szCs w:val="18"/>
        </w:rPr>
      </w:pPr>
      <w:r w:rsidRPr="009D31FC">
        <w:rPr>
          <w:rFonts w:ascii="Tahoma" w:hAnsi="Tahoma"/>
          <w:sz w:val="18"/>
        </w:rPr>
        <w:t xml:space="preserve">Ärzte sollten bei </w:t>
      </w:r>
      <w:r w:rsidR="009D31FC">
        <w:rPr>
          <w:rFonts w:ascii="Tahoma" w:hAnsi="Tahoma"/>
          <w:sz w:val="18"/>
        </w:rPr>
        <w:t>den</w:t>
      </w:r>
      <w:r w:rsidRPr="009D31FC">
        <w:rPr>
          <w:rFonts w:ascii="Tahoma" w:hAnsi="Tahoma"/>
          <w:sz w:val="18"/>
        </w:rPr>
        <w:t xml:space="preserve"> </w:t>
      </w:r>
      <w:r w:rsidR="009D31FC">
        <w:rPr>
          <w:rFonts w:ascii="Tahoma" w:hAnsi="Tahoma"/>
          <w:sz w:val="18"/>
        </w:rPr>
        <w:t>notwendigen Ermittlungen im Rahmen der Umgebungsuntersuchung</w:t>
      </w:r>
      <w:r w:rsidRPr="009D31FC">
        <w:rPr>
          <w:rFonts w:ascii="Tahoma" w:hAnsi="Tahoma"/>
          <w:sz w:val="18"/>
        </w:rPr>
        <w:t xml:space="preserve"> (die gemäß den nationalen und internationalen Empfehlungen</w:t>
      </w:r>
      <w:r w:rsidR="000166E5">
        <w:rPr>
          <w:rFonts w:ascii="Tahoma" w:hAnsi="Tahoma"/>
          <w:sz w:val="18"/>
        </w:rPr>
        <w:t xml:space="preserve"> </w:t>
      </w:r>
      <w:r w:rsidRPr="009D31FC">
        <w:rPr>
          <w:rFonts w:ascii="Tahoma" w:hAnsi="Tahoma"/>
          <w:sz w:val="18"/>
        </w:rPr>
        <w:t xml:space="preserve">in sich erweiternden Kreisen durchgeführt wird) mit den Gesundheitsbehörden zusammenarbeiten, wenn ein infektiöser </w:t>
      </w:r>
      <w:r w:rsidR="009D31FC">
        <w:rPr>
          <w:rFonts w:ascii="Tahoma" w:hAnsi="Tahoma"/>
          <w:sz w:val="18"/>
        </w:rPr>
        <w:t>Indexfall</w:t>
      </w:r>
      <w:r w:rsidR="00764807">
        <w:rPr>
          <w:rFonts w:ascii="Tahoma" w:hAnsi="Tahoma"/>
          <w:sz w:val="18"/>
        </w:rPr>
        <w:t xml:space="preserve"> </w:t>
      </w:r>
      <w:r w:rsidRPr="009D31FC">
        <w:rPr>
          <w:rFonts w:ascii="Tahoma" w:hAnsi="Tahoma"/>
          <w:sz w:val="18"/>
        </w:rPr>
        <w:t xml:space="preserve">diagnostiziert und gemeldet wird [40, 41, 45, 46]. In ähnlicher Weise sollten eine Suche nach der Quelle und eine </w:t>
      </w:r>
      <w:r w:rsidRPr="009D31FC" w:rsidR="00930028">
        <w:rPr>
          <w:rFonts w:ascii="Tahoma" w:hAnsi="Tahoma"/>
          <w:sz w:val="18"/>
        </w:rPr>
        <w:t>Kontakt</w:t>
      </w:r>
      <w:r w:rsidR="00930028">
        <w:rPr>
          <w:rFonts w:ascii="Tahoma" w:hAnsi="Tahoma"/>
          <w:sz w:val="18"/>
        </w:rPr>
        <w:t>personennachverfolgung</w:t>
      </w:r>
      <w:r w:rsidRPr="009D31FC" w:rsidR="00930028">
        <w:rPr>
          <w:rFonts w:ascii="Tahoma" w:hAnsi="Tahoma"/>
          <w:sz w:val="18"/>
        </w:rPr>
        <w:t xml:space="preserve"> </w:t>
      </w:r>
      <w:r w:rsidR="00930028">
        <w:rPr>
          <w:rFonts w:ascii="Tahoma" w:hAnsi="Tahoma"/>
          <w:sz w:val="18"/>
        </w:rPr>
        <w:t>erfolgen</w:t>
      </w:r>
      <w:r w:rsidRPr="009D31FC">
        <w:rPr>
          <w:rFonts w:ascii="Tahoma" w:hAnsi="Tahoma"/>
          <w:sz w:val="18"/>
        </w:rPr>
        <w:t xml:space="preserve">, wenn bei einem Kind Tuberkulose (jede </w:t>
      </w:r>
      <w:r w:rsidR="00930028">
        <w:rPr>
          <w:rFonts w:ascii="Tahoma" w:hAnsi="Tahoma"/>
          <w:sz w:val="18"/>
        </w:rPr>
        <w:t>Lokalisation</w:t>
      </w:r>
      <w:r w:rsidRPr="009D31FC">
        <w:rPr>
          <w:rFonts w:ascii="Tahoma" w:hAnsi="Tahoma"/>
          <w:sz w:val="18"/>
        </w:rPr>
        <w:t>) festgestellt wird, jedoch keine Quelle identifiziert wurde [41, 47].</w:t>
      </w:r>
      <w:r>
        <w:rPr>
          <w:rFonts w:ascii="Tahoma" w:hAnsi="Tahoma"/>
          <w:sz w:val="18"/>
        </w:rPr>
        <w:t xml:space="preserve"> </w:t>
      </w:r>
    </w:p>
    <w:p w:rsidR="00DA3A70" w:rsidRPr="000D0DB0" w:rsidP="0028467E" w14:paraId="1F1B96EF" w14:textId="59E2964E">
      <w:pPr>
        <w:spacing w:after="120"/>
        <w:rPr>
          <w:rFonts w:ascii="Tahoma" w:hAnsi="Tahoma" w:cs="Tahoma"/>
          <w:sz w:val="18"/>
          <w:szCs w:val="18"/>
        </w:rPr>
      </w:pPr>
      <w:r>
        <w:rPr>
          <w:rFonts w:ascii="Tahoma" w:hAnsi="Tahoma"/>
          <w:sz w:val="18"/>
        </w:rPr>
        <w:t>Personen</w:t>
      </w:r>
      <w:r w:rsidR="002A1637">
        <w:rPr>
          <w:rFonts w:ascii="Tahoma" w:hAnsi="Tahoma"/>
          <w:sz w:val="18"/>
        </w:rPr>
        <w:t xml:space="preserve">, die sich einer Anti-TNF-ɑ-Behandlung unterziehen, sollten als Hochrisikokontakte betrachtet werden. Gemäß ESTC Nummer 16 sollte bei </w:t>
      </w:r>
      <w:r>
        <w:rPr>
          <w:rFonts w:ascii="Tahoma" w:hAnsi="Tahoma"/>
          <w:sz w:val="18"/>
        </w:rPr>
        <w:t xml:space="preserve">Personen </w:t>
      </w:r>
      <w:r w:rsidR="002A1637">
        <w:rPr>
          <w:rFonts w:ascii="Tahoma" w:hAnsi="Tahoma"/>
          <w:sz w:val="18"/>
        </w:rPr>
        <w:t>mit HIV-Infektion oder Begleiterkrankungen umgehend eine Behandlung einer latenten Infektion eingeleitet werden, wenn die Tuberkuloseinfektion mittels TST und/oder IGRAs festgestellt wurde und eine aktive Tuberkuloseausgeschlossen wurde [10, 36, 38, 40, 48, 49].</w:t>
      </w:r>
    </w:p>
    <w:p w:rsidR="00DA3A70" w:rsidRPr="000D0DB0" w:rsidP="00DB519A" w14:paraId="007A10D7" w14:textId="77777777">
      <w:pPr>
        <w:shd w:val="clear" w:color="auto" w:fill="D9D9D9"/>
        <w:autoSpaceDE w:val="0"/>
        <w:autoSpaceDN w:val="0"/>
        <w:adjustRightInd w:val="0"/>
        <w:spacing w:after="0"/>
        <w:jc w:val="both"/>
        <w:rPr>
          <w:rFonts w:ascii="Tahoma" w:hAnsi="Tahoma" w:cs="Tahoma"/>
          <w:bCs/>
          <w:sz w:val="24"/>
          <w:szCs w:val="24"/>
        </w:rPr>
      </w:pPr>
      <w:r>
        <w:rPr>
          <w:rFonts w:ascii="Tahoma" w:hAnsi="Tahoma"/>
          <w:b/>
          <w:sz w:val="24"/>
          <w:shd w:val="clear" w:color="auto" w:fill="D9D9D9"/>
        </w:rPr>
        <w:t>Standard 20</w:t>
      </w:r>
    </w:p>
    <w:p w:rsidR="00DA3A70" w:rsidRPr="000D0DB0" w:rsidP="0028467E" w14:paraId="65E4BC8E" w14:textId="5F24E0BD">
      <w:pPr>
        <w:spacing w:after="120"/>
        <w:rPr>
          <w:rFonts w:ascii="Tahoma" w:hAnsi="Tahoma" w:cs="Tahoma"/>
          <w:sz w:val="18"/>
          <w:szCs w:val="18"/>
        </w:rPr>
      </w:pPr>
      <w:r>
        <w:rPr>
          <w:rFonts w:ascii="Tahoma" w:hAnsi="Tahoma"/>
          <w:sz w:val="18"/>
        </w:rPr>
        <w:t xml:space="preserve">Jede Gesundheitseinrichtung, die Personen mit bekannter oder vermuteter infektiöser Tuberkulose versorgt, sollte einen </w:t>
      </w:r>
      <w:r w:rsidR="009D31FC">
        <w:rPr>
          <w:rFonts w:ascii="Tahoma" w:hAnsi="Tahoma"/>
          <w:sz w:val="18"/>
        </w:rPr>
        <w:t xml:space="preserve">geeigneten </w:t>
      </w:r>
      <w:r w:rsidR="000166E5">
        <w:rPr>
          <w:rFonts w:ascii="Tahoma" w:hAnsi="Tahoma"/>
          <w:sz w:val="18"/>
        </w:rPr>
        <w:t>Hygiene</w:t>
      </w:r>
      <w:r w:rsidR="00AE5691">
        <w:rPr>
          <w:rFonts w:ascii="Tahoma" w:hAnsi="Tahoma"/>
          <w:sz w:val="18"/>
        </w:rPr>
        <w:t>plan</w:t>
      </w:r>
      <w:r>
        <w:rPr>
          <w:rFonts w:ascii="Tahoma" w:hAnsi="Tahoma"/>
          <w:sz w:val="18"/>
        </w:rPr>
        <w:t xml:space="preserve"> für Tuberkulose entwickeln und umsetzen. </w:t>
      </w:r>
    </w:p>
    <w:p w:rsidR="0098145B" w:rsidRPr="0069416F" w:rsidP="0098145B" w14:paraId="13227320" w14:textId="77777777">
      <w:pPr>
        <w:pStyle w:val="EC-Title-6"/>
        <w:rPr>
          <w:sz w:val="24"/>
          <w:szCs w:val="24"/>
        </w:rPr>
      </w:pPr>
      <w:r>
        <w:rPr>
          <w:sz w:val="24"/>
        </w:rPr>
        <w:t>EU-spezifische Anforderungen</w:t>
      </w:r>
    </w:p>
    <w:p w:rsidR="00DA3A70" w:rsidRPr="0028467E" w:rsidP="0028467E" w14:paraId="2BA741E8" w14:textId="24CEA587">
      <w:pPr>
        <w:spacing w:after="120"/>
        <w:rPr>
          <w:rFonts w:ascii="Tahoma" w:hAnsi="Tahoma" w:cs="Tahoma"/>
          <w:spacing w:val="-2"/>
          <w:sz w:val="18"/>
          <w:szCs w:val="18"/>
        </w:rPr>
      </w:pPr>
      <w:r>
        <w:rPr>
          <w:rFonts w:ascii="Tahoma" w:hAnsi="Tahoma"/>
          <w:spacing w:val="-2"/>
          <w:sz w:val="18"/>
        </w:rPr>
        <w:t xml:space="preserve">Eine </w:t>
      </w:r>
      <w:r w:rsidR="009D31FC">
        <w:rPr>
          <w:rFonts w:ascii="Tahoma" w:hAnsi="Tahoma"/>
          <w:spacing w:val="-2"/>
          <w:sz w:val="18"/>
        </w:rPr>
        <w:t xml:space="preserve">ambulante </w:t>
      </w:r>
      <w:r>
        <w:rPr>
          <w:rFonts w:ascii="Tahoma" w:hAnsi="Tahoma"/>
          <w:spacing w:val="-2"/>
          <w:sz w:val="18"/>
        </w:rPr>
        <w:t>Versorgung, unterstützt durch Infektionskontrollmaßnahmen zu Hause, sollte für Patienten verfügbar sein, die eine Behandlung zu Hause bevorzugen [5, 24].</w:t>
      </w:r>
    </w:p>
    <w:p w:rsidR="00DA3A70" w:rsidRPr="0028467E" w:rsidP="0028467E" w14:paraId="4A982C5C" w14:textId="26B0F0FB">
      <w:pPr>
        <w:spacing w:after="120"/>
        <w:rPr>
          <w:rFonts w:ascii="Tahoma" w:hAnsi="Tahoma" w:cs="Tahoma"/>
          <w:spacing w:val="-2"/>
          <w:sz w:val="18"/>
          <w:szCs w:val="18"/>
        </w:rPr>
      </w:pPr>
      <w:r>
        <w:rPr>
          <w:rFonts w:ascii="Tahoma" w:hAnsi="Tahoma"/>
          <w:spacing w:val="-2"/>
          <w:sz w:val="18"/>
        </w:rPr>
        <w:t xml:space="preserve">Wenn eine Einweisung in ein Krankenhaus erforderlich ist, sollten die Ärzte sicherstellen, dass alle neu eingewiesenen Patienten mit Verdacht auf eine infektiöse Tuberkulose </w:t>
      </w:r>
      <w:r w:rsidR="00AE5691">
        <w:rPr>
          <w:rFonts w:ascii="Tahoma" w:hAnsi="Tahoma"/>
          <w:spacing w:val="-2"/>
          <w:sz w:val="18"/>
        </w:rPr>
        <w:t xml:space="preserve">isoliert </w:t>
      </w:r>
      <w:r>
        <w:rPr>
          <w:rFonts w:ascii="Tahoma" w:hAnsi="Tahoma"/>
          <w:spacing w:val="-2"/>
          <w:sz w:val="18"/>
        </w:rPr>
        <w:t xml:space="preserve">werden, bis die Diagnose bestätigt oder ausgeschlossen wird [2]. </w:t>
      </w:r>
    </w:p>
    <w:p w:rsidR="00DA3A70" w:rsidRPr="0028467E" w:rsidP="0028467E" w14:paraId="4AEA9F69" w14:textId="3D558098">
      <w:pPr>
        <w:spacing w:after="120"/>
        <w:rPr>
          <w:rFonts w:ascii="Tahoma" w:hAnsi="Tahoma" w:cs="Tahoma"/>
          <w:spacing w:val="-2"/>
          <w:sz w:val="18"/>
          <w:szCs w:val="18"/>
        </w:rPr>
      </w:pPr>
      <w:r>
        <w:rPr>
          <w:rFonts w:ascii="Tahoma" w:hAnsi="Tahoma"/>
          <w:spacing w:val="-2"/>
          <w:sz w:val="18"/>
        </w:rPr>
        <w:t xml:space="preserve">Um eine Übertragung der </w:t>
      </w:r>
      <w:r w:rsidR="009D31FC">
        <w:rPr>
          <w:rFonts w:ascii="Tahoma" w:hAnsi="Tahoma"/>
          <w:spacing w:val="-2"/>
          <w:sz w:val="18"/>
        </w:rPr>
        <w:t xml:space="preserve">Tuberkuloseerreger </w:t>
      </w:r>
      <w:r>
        <w:rPr>
          <w:rFonts w:ascii="Tahoma" w:hAnsi="Tahoma"/>
          <w:spacing w:val="-2"/>
          <w:sz w:val="18"/>
        </w:rPr>
        <w:t xml:space="preserve">auf andere Patienten, Personal und/oder Besucher zu verhindern, sollten </w:t>
      </w:r>
      <w:r w:rsidR="007A49DA">
        <w:rPr>
          <w:rFonts w:ascii="Tahoma" w:hAnsi="Tahoma"/>
          <w:spacing w:val="-2"/>
          <w:sz w:val="18"/>
        </w:rPr>
        <w:t xml:space="preserve">mikroskopisch positive </w:t>
      </w:r>
      <w:r>
        <w:rPr>
          <w:rFonts w:ascii="Tahoma" w:hAnsi="Tahoma"/>
          <w:spacing w:val="-2"/>
          <w:sz w:val="18"/>
        </w:rPr>
        <w:t xml:space="preserve">Patienten mit </w:t>
      </w:r>
      <w:r w:rsidR="00394C0B">
        <w:rPr>
          <w:rFonts w:ascii="Tahoma" w:hAnsi="Tahoma"/>
          <w:spacing w:val="-2"/>
          <w:sz w:val="18"/>
        </w:rPr>
        <w:t>Lungent</w:t>
      </w:r>
      <w:r>
        <w:rPr>
          <w:rFonts w:ascii="Tahoma" w:hAnsi="Tahoma"/>
          <w:spacing w:val="-2"/>
          <w:sz w:val="18"/>
        </w:rPr>
        <w:t xml:space="preserve">uberkulose idealerweise in angemessenen Räumlichkeiten isoliert werden, bis sie eine bakteriologische Konversion (negative Sputummikroskopie) erreichen. Die Isolation sollte in Räumen mit Unterdruck-Belüftung erfolgen. </w:t>
      </w:r>
    </w:p>
    <w:p w:rsidR="00DA3A70" w:rsidRPr="0028467E" w:rsidP="0028467E" w14:paraId="25F25EC1" w14:textId="5DDDA451">
      <w:pPr>
        <w:spacing w:after="120"/>
        <w:rPr>
          <w:rFonts w:ascii="Tahoma" w:hAnsi="Tahoma" w:cs="Tahoma"/>
          <w:spacing w:val="-2"/>
          <w:sz w:val="18"/>
          <w:szCs w:val="18"/>
        </w:rPr>
      </w:pPr>
      <w:r w:rsidRPr="00371C9C">
        <w:rPr>
          <w:rFonts w:ascii="Tahoma" w:hAnsi="Tahoma"/>
          <w:spacing w:val="-2"/>
          <w:sz w:val="18"/>
        </w:rPr>
        <w:t xml:space="preserve">Ein angemessener </w:t>
      </w:r>
      <w:r w:rsidR="00AE5691">
        <w:rPr>
          <w:rFonts w:ascii="Tahoma" w:hAnsi="Tahoma"/>
          <w:spacing w:val="-2"/>
          <w:sz w:val="18"/>
        </w:rPr>
        <w:t>Hygieneplan</w:t>
      </w:r>
      <w:r w:rsidRPr="00371C9C">
        <w:rPr>
          <w:rFonts w:ascii="Tahoma" w:hAnsi="Tahoma"/>
          <w:spacing w:val="-2"/>
          <w:sz w:val="18"/>
        </w:rPr>
        <w:t xml:space="preserve">, </w:t>
      </w:r>
      <w:r w:rsidR="00DF6561">
        <w:rPr>
          <w:rFonts w:ascii="Tahoma" w:hAnsi="Tahoma"/>
          <w:spacing w:val="-2"/>
          <w:sz w:val="18"/>
        </w:rPr>
        <w:t>für den eine</w:t>
      </w:r>
      <w:r w:rsidRPr="00371C9C">
        <w:rPr>
          <w:rFonts w:ascii="Tahoma" w:hAnsi="Tahoma"/>
          <w:spacing w:val="-2"/>
          <w:sz w:val="18"/>
        </w:rPr>
        <w:t xml:space="preserve"> hierzu ernannte Person</w:t>
      </w:r>
      <w:r w:rsidR="00DF6561">
        <w:rPr>
          <w:rFonts w:ascii="Tahoma" w:hAnsi="Tahoma"/>
          <w:spacing w:val="-2"/>
          <w:sz w:val="18"/>
        </w:rPr>
        <w:t xml:space="preserve"> verantwortlich ist</w:t>
      </w:r>
      <w:r w:rsidRPr="00371C9C">
        <w:rPr>
          <w:rFonts w:ascii="Tahoma" w:hAnsi="Tahoma"/>
          <w:spacing w:val="-2"/>
          <w:sz w:val="18"/>
        </w:rPr>
        <w:t>, sollte die folgenden vier Komponenten enthalten:</w:t>
      </w:r>
      <w:r w:rsidR="00880EAF">
        <w:rPr>
          <w:rFonts w:ascii="Tahoma" w:hAnsi="Tahoma"/>
          <w:spacing w:val="-2"/>
          <w:sz w:val="18"/>
        </w:rPr>
        <w:t xml:space="preserve"> Management, administrative</w:t>
      </w:r>
      <w:r w:rsidR="00AE5691">
        <w:rPr>
          <w:rFonts w:ascii="Tahoma" w:hAnsi="Tahoma"/>
          <w:spacing w:val="-2"/>
          <w:sz w:val="18"/>
        </w:rPr>
        <w:t xml:space="preserve"> Kontrollmaßnahmen</w:t>
      </w:r>
      <w:r w:rsidR="00764807">
        <w:rPr>
          <w:rFonts w:ascii="Tahoma" w:hAnsi="Tahoma"/>
          <w:spacing w:val="-2"/>
          <w:sz w:val="18"/>
        </w:rPr>
        <w:t xml:space="preserve">, </w:t>
      </w:r>
      <w:r w:rsidR="00880EAF">
        <w:rPr>
          <w:rFonts w:ascii="Tahoma" w:hAnsi="Tahoma"/>
          <w:spacing w:val="-2"/>
          <w:sz w:val="18"/>
        </w:rPr>
        <w:t>bauliche Kontrollmaßnahmen</w:t>
      </w:r>
      <w:r w:rsidRPr="00371C9C">
        <w:rPr>
          <w:rFonts w:ascii="Tahoma" w:hAnsi="Tahoma"/>
          <w:spacing w:val="-2"/>
          <w:sz w:val="18"/>
        </w:rPr>
        <w:t xml:space="preserve"> und </w:t>
      </w:r>
      <w:r w:rsidR="00394C0B">
        <w:rPr>
          <w:rFonts w:ascii="Tahoma" w:hAnsi="Tahoma"/>
          <w:spacing w:val="-2"/>
          <w:sz w:val="18"/>
        </w:rPr>
        <w:t>persönliche S</w:t>
      </w:r>
      <w:r w:rsidRPr="00371C9C" w:rsidR="00394C0B">
        <w:rPr>
          <w:rFonts w:ascii="Tahoma" w:hAnsi="Tahoma"/>
          <w:spacing w:val="-2"/>
          <w:sz w:val="18"/>
        </w:rPr>
        <w:t xml:space="preserve">chutzmaßnahmen </w:t>
      </w:r>
      <w:r w:rsidRPr="00371C9C">
        <w:rPr>
          <w:rFonts w:ascii="Tahoma" w:hAnsi="Tahoma"/>
          <w:spacing w:val="-2"/>
          <w:sz w:val="18"/>
        </w:rPr>
        <w:t xml:space="preserve">[5, 50]. Angemessene </w:t>
      </w:r>
      <w:r w:rsidR="00880EAF">
        <w:rPr>
          <w:rFonts w:ascii="Tahoma" w:hAnsi="Tahoma"/>
          <w:spacing w:val="-2"/>
          <w:sz w:val="18"/>
        </w:rPr>
        <w:t xml:space="preserve">administrative Maßnahmen </w:t>
      </w:r>
      <w:r w:rsidRPr="00371C9C">
        <w:rPr>
          <w:rFonts w:ascii="Tahoma" w:hAnsi="Tahoma"/>
          <w:spacing w:val="-2"/>
          <w:sz w:val="18"/>
        </w:rPr>
        <w:t>für die Tuberkuloseinfektionskontrolle sollte es in allen Gesundheitseinrichtungen geben</w:t>
      </w:r>
      <w:r>
        <w:rPr>
          <w:rFonts w:ascii="Tahoma" w:hAnsi="Tahoma"/>
          <w:spacing w:val="-2"/>
          <w:sz w:val="18"/>
        </w:rPr>
        <w:t xml:space="preserve">. Das Gleiche gilt für angemessene Atemschutzmaßnahmen (einschließlich der Anwendung von </w:t>
      </w:r>
      <w:r w:rsidR="007A49DA">
        <w:rPr>
          <w:rFonts w:ascii="Tahoma" w:hAnsi="Tahoma"/>
          <w:spacing w:val="-2"/>
          <w:sz w:val="18"/>
        </w:rPr>
        <w:t xml:space="preserve">Atemschutzmasken </w:t>
      </w:r>
      <w:r>
        <w:rPr>
          <w:rFonts w:ascii="Tahoma" w:hAnsi="Tahoma"/>
          <w:spacing w:val="-2"/>
          <w:sz w:val="18"/>
        </w:rPr>
        <w:t xml:space="preserve">nach deren Dichtigkeitsprüfung für das Personal und die Anwendung </w:t>
      </w:r>
      <w:r w:rsidR="00863950">
        <w:rPr>
          <w:rFonts w:ascii="Tahoma" w:hAnsi="Tahoma"/>
          <w:spacing w:val="-2"/>
          <w:sz w:val="18"/>
        </w:rPr>
        <w:t xml:space="preserve">eines </w:t>
      </w:r>
      <w:r w:rsidR="007A49DA">
        <w:rPr>
          <w:rFonts w:ascii="Tahoma" w:hAnsi="Tahoma"/>
          <w:spacing w:val="-2"/>
          <w:sz w:val="18"/>
        </w:rPr>
        <w:t>chirurgische</w:t>
      </w:r>
      <w:r w:rsidR="00863950">
        <w:rPr>
          <w:rFonts w:ascii="Tahoma" w:hAnsi="Tahoma"/>
          <w:spacing w:val="-2"/>
          <w:sz w:val="18"/>
        </w:rPr>
        <w:t>n</w:t>
      </w:r>
      <w:r w:rsidR="007A49DA">
        <w:rPr>
          <w:rFonts w:ascii="Tahoma" w:hAnsi="Tahoma"/>
          <w:spacing w:val="-2"/>
          <w:sz w:val="18"/>
        </w:rPr>
        <w:t xml:space="preserve"> Mund-Nase</w:t>
      </w:r>
      <w:r w:rsidR="00571BCD">
        <w:rPr>
          <w:rFonts w:ascii="Tahoma" w:hAnsi="Tahoma"/>
          <w:spacing w:val="-2"/>
          <w:sz w:val="18"/>
        </w:rPr>
        <w:t>n-Schutz</w:t>
      </w:r>
      <w:r w:rsidR="00764807">
        <w:rPr>
          <w:rFonts w:ascii="Tahoma" w:hAnsi="Tahoma"/>
          <w:spacing w:val="-2"/>
          <w:sz w:val="18"/>
        </w:rPr>
        <w:t xml:space="preserve">es </w:t>
      </w:r>
      <w:r>
        <w:rPr>
          <w:rFonts w:ascii="Tahoma" w:hAnsi="Tahoma"/>
          <w:spacing w:val="-2"/>
          <w:sz w:val="18"/>
        </w:rPr>
        <w:t xml:space="preserve">für infektiöse Patienten). Eine angemessene </w:t>
      </w:r>
      <w:r w:rsidR="00571BCD">
        <w:rPr>
          <w:rFonts w:ascii="Tahoma" w:hAnsi="Tahoma"/>
          <w:spacing w:val="-2"/>
          <w:sz w:val="18"/>
        </w:rPr>
        <w:t>Personals</w:t>
      </w:r>
      <w:r>
        <w:rPr>
          <w:rFonts w:ascii="Tahoma" w:hAnsi="Tahoma"/>
          <w:spacing w:val="-2"/>
          <w:sz w:val="18"/>
        </w:rPr>
        <w:t xml:space="preserve">chulung in Infektionskontrolle und standardisierte Gesundheitsschulungen </w:t>
      </w:r>
      <w:r w:rsidR="007A49DA">
        <w:rPr>
          <w:rFonts w:ascii="Tahoma" w:hAnsi="Tahoma"/>
          <w:spacing w:val="-2"/>
          <w:sz w:val="18"/>
        </w:rPr>
        <w:t xml:space="preserve">für </w:t>
      </w:r>
      <w:r>
        <w:rPr>
          <w:rFonts w:ascii="Tahoma" w:hAnsi="Tahoma"/>
          <w:spacing w:val="-2"/>
          <w:sz w:val="18"/>
        </w:rPr>
        <w:t xml:space="preserve">Patienten in Bezug auf Hustenetikette, basierende auf validierten </w:t>
      </w:r>
      <w:r w:rsidR="007A49DA">
        <w:rPr>
          <w:rFonts w:ascii="Tahoma" w:hAnsi="Tahoma"/>
          <w:spacing w:val="-2"/>
          <w:sz w:val="18"/>
        </w:rPr>
        <w:t>Maßnahmen</w:t>
      </w:r>
      <w:r>
        <w:rPr>
          <w:rFonts w:ascii="Tahoma" w:hAnsi="Tahoma"/>
          <w:spacing w:val="-2"/>
          <w:sz w:val="18"/>
        </w:rPr>
        <w:t xml:space="preserve">, sollten ebenfalls in den </w:t>
      </w:r>
      <w:r w:rsidR="00863950">
        <w:rPr>
          <w:rFonts w:ascii="Tahoma" w:hAnsi="Tahoma"/>
          <w:spacing w:val="-2"/>
          <w:sz w:val="18"/>
        </w:rPr>
        <w:t>Hygieneplan</w:t>
      </w:r>
      <w:r w:rsidR="007A49DA">
        <w:rPr>
          <w:rFonts w:ascii="Tahoma" w:hAnsi="Tahoma"/>
          <w:spacing w:val="-2"/>
          <w:sz w:val="18"/>
        </w:rPr>
        <w:t xml:space="preserve"> </w:t>
      </w:r>
      <w:r>
        <w:rPr>
          <w:rFonts w:ascii="Tahoma" w:hAnsi="Tahoma"/>
          <w:spacing w:val="-2"/>
          <w:sz w:val="18"/>
        </w:rPr>
        <w:t xml:space="preserve">aufgenommen werden. </w:t>
      </w:r>
      <w:r w:rsidR="00863950">
        <w:rPr>
          <w:rFonts w:ascii="Tahoma" w:hAnsi="Tahoma"/>
          <w:spacing w:val="-2"/>
          <w:sz w:val="18"/>
        </w:rPr>
        <w:t>Hygiene</w:t>
      </w:r>
      <w:r w:rsidR="007A49DA">
        <w:rPr>
          <w:rFonts w:ascii="Tahoma" w:hAnsi="Tahoma"/>
          <w:spacing w:val="-2"/>
          <w:sz w:val="18"/>
        </w:rPr>
        <w:t>ausschüsse</w:t>
      </w:r>
      <w:r>
        <w:rPr>
          <w:rFonts w:ascii="Tahoma" w:hAnsi="Tahoma"/>
          <w:spacing w:val="-2"/>
          <w:sz w:val="18"/>
        </w:rPr>
        <w:t xml:space="preserve">, die </w:t>
      </w:r>
      <w:r w:rsidR="00880EAF">
        <w:rPr>
          <w:rFonts w:ascii="Tahoma" w:hAnsi="Tahoma"/>
          <w:spacing w:val="-2"/>
          <w:sz w:val="18"/>
        </w:rPr>
        <w:t xml:space="preserve">auch für die </w:t>
      </w:r>
      <w:r>
        <w:rPr>
          <w:rFonts w:ascii="Tahoma" w:hAnsi="Tahoma"/>
          <w:spacing w:val="-2"/>
          <w:sz w:val="18"/>
        </w:rPr>
        <w:t xml:space="preserve">über die Luft </w:t>
      </w:r>
      <w:r w:rsidR="00880EAF">
        <w:rPr>
          <w:rFonts w:ascii="Tahoma" w:hAnsi="Tahoma"/>
          <w:spacing w:val="-2"/>
          <w:sz w:val="18"/>
        </w:rPr>
        <w:t xml:space="preserve">übertragbare </w:t>
      </w:r>
      <w:r>
        <w:rPr>
          <w:rFonts w:ascii="Tahoma" w:hAnsi="Tahoma"/>
          <w:spacing w:val="-2"/>
          <w:sz w:val="18"/>
        </w:rPr>
        <w:t xml:space="preserve">Krankheiten </w:t>
      </w:r>
      <w:r w:rsidR="00880EAF">
        <w:rPr>
          <w:rFonts w:ascii="Tahoma" w:hAnsi="Tahoma"/>
          <w:spacing w:val="-2"/>
          <w:sz w:val="18"/>
        </w:rPr>
        <w:t xml:space="preserve">zuständig sind </w:t>
      </w:r>
      <w:r>
        <w:rPr>
          <w:rFonts w:ascii="Tahoma" w:hAnsi="Tahoma"/>
          <w:spacing w:val="-2"/>
          <w:sz w:val="18"/>
        </w:rPr>
        <w:t xml:space="preserve">und sich u. a. aus </w:t>
      </w:r>
      <w:r w:rsidRPr="007A49DA">
        <w:rPr>
          <w:rFonts w:ascii="Tahoma" w:hAnsi="Tahoma"/>
          <w:spacing w:val="-2"/>
          <w:sz w:val="18"/>
        </w:rPr>
        <w:t>Fachleuten für Infektions</w:t>
      </w:r>
      <w:r w:rsidR="007A49DA">
        <w:rPr>
          <w:rFonts w:ascii="Tahoma" w:hAnsi="Tahoma"/>
          <w:spacing w:val="-2"/>
          <w:sz w:val="18"/>
        </w:rPr>
        <w:t>schutz</w:t>
      </w:r>
      <w:r>
        <w:rPr>
          <w:rFonts w:ascii="Tahoma" w:hAnsi="Tahoma"/>
          <w:spacing w:val="-2"/>
          <w:sz w:val="18"/>
        </w:rPr>
        <w:t xml:space="preserve"> zusammensetzen, sollten ebenfalls implementiert werden [5, 50-52].</w:t>
      </w:r>
    </w:p>
    <w:p w:rsidR="00DA3A70" w:rsidRPr="000D0DB0" w:rsidP="00496312" w14:paraId="5E29E342" w14:textId="77777777">
      <w:pPr>
        <w:shd w:val="clear" w:color="auto" w:fill="E7E6E6"/>
        <w:autoSpaceDE w:val="0"/>
        <w:autoSpaceDN w:val="0"/>
        <w:adjustRightInd w:val="0"/>
        <w:spacing w:after="0"/>
        <w:jc w:val="both"/>
        <w:rPr>
          <w:rFonts w:ascii="Tahoma" w:hAnsi="Tahoma" w:cs="Tahoma"/>
          <w:bCs/>
          <w:sz w:val="24"/>
          <w:szCs w:val="24"/>
        </w:rPr>
      </w:pPr>
      <w:r>
        <w:rPr>
          <w:rFonts w:ascii="Tahoma" w:hAnsi="Tahoma"/>
          <w:b/>
          <w:sz w:val="24"/>
          <w:shd w:val="clear" w:color="auto" w:fill="D9D9D9"/>
        </w:rPr>
        <w:t>Standard 21</w:t>
      </w:r>
    </w:p>
    <w:p w:rsidR="00DA3A70" w:rsidRPr="000D0DB0" w:rsidP="0028467E" w14:paraId="08005051" w14:textId="598AD29B">
      <w:pPr>
        <w:spacing w:after="120"/>
        <w:rPr>
          <w:rFonts w:ascii="Tahoma" w:hAnsi="Tahoma" w:cs="Tahoma"/>
          <w:sz w:val="18"/>
          <w:szCs w:val="18"/>
        </w:rPr>
      </w:pPr>
      <w:r>
        <w:rPr>
          <w:rFonts w:ascii="Tahoma" w:hAnsi="Tahoma"/>
          <w:sz w:val="18"/>
        </w:rPr>
        <w:t xml:space="preserve">Alle </w:t>
      </w:r>
      <w:r w:rsidR="00C31164">
        <w:rPr>
          <w:rFonts w:ascii="Tahoma" w:hAnsi="Tahoma"/>
          <w:sz w:val="18"/>
        </w:rPr>
        <w:t>Gesundheitsd</w:t>
      </w:r>
      <w:r>
        <w:rPr>
          <w:rFonts w:ascii="Tahoma" w:hAnsi="Tahoma"/>
          <w:sz w:val="18"/>
        </w:rPr>
        <w:t xml:space="preserve">ienstleister müssen sowohl neue als auch erneut behandelte Fälle von Tuberkulose sowie die Behandlungsergebnisse gemäß den geltenden rechtlichen Anforderungen und Richtlinien an die örtlichen </w:t>
      </w:r>
      <w:r w:rsidR="007A49DA">
        <w:rPr>
          <w:rFonts w:ascii="Tahoma" w:hAnsi="Tahoma"/>
          <w:sz w:val="18"/>
        </w:rPr>
        <w:t xml:space="preserve">Gesundheitsämter </w:t>
      </w:r>
      <w:r>
        <w:rPr>
          <w:rFonts w:ascii="Tahoma" w:hAnsi="Tahoma"/>
          <w:sz w:val="18"/>
        </w:rPr>
        <w:t xml:space="preserve">melden. </w:t>
      </w:r>
    </w:p>
    <w:p w:rsidR="0098145B" w:rsidRPr="0069416F" w:rsidP="0098145B" w14:paraId="0F15F823" w14:textId="77777777">
      <w:pPr>
        <w:pStyle w:val="EC-Title-6"/>
        <w:rPr>
          <w:sz w:val="24"/>
          <w:szCs w:val="24"/>
        </w:rPr>
      </w:pPr>
      <w:r>
        <w:rPr>
          <w:sz w:val="24"/>
        </w:rPr>
        <w:t>EU-spezifische Anforderungen</w:t>
      </w:r>
    </w:p>
    <w:p w:rsidR="00DA3A70" w:rsidRPr="0028467E" w:rsidP="000D0DB0" w14:paraId="58DD1FD8" w14:textId="750D3AFC">
      <w:pPr>
        <w:rPr>
          <w:rFonts w:ascii="Tahoma" w:hAnsi="Tahoma" w:cs="Tahoma"/>
          <w:spacing w:val="-2"/>
          <w:sz w:val="18"/>
          <w:szCs w:val="18"/>
        </w:rPr>
      </w:pPr>
      <w:r>
        <w:rPr>
          <w:rFonts w:ascii="Tahoma" w:hAnsi="Tahoma"/>
          <w:spacing w:val="-2"/>
          <w:sz w:val="18"/>
        </w:rPr>
        <w:t xml:space="preserve">Ärzte sollten in ihrer klinischen Abteilung in regelmäßigen zeitlichen Abständen (z. B. vierteljährlich) Bewertungen des Behandlungsergebnisses durchführen [18, 53]. Die Behandlungsergebnisse sollten gemäß den geltenden Anforderungen und Richtlinien den örtlichen </w:t>
      </w:r>
      <w:r w:rsidR="007A49DA">
        <w:rPr>
          <w:rFonts w:ascii="Tahoma" w:hAnsi="Tahoma"/>
          <w:spacing w:val="-2"/>
          <w:sz w:val="18"/>
        </w:rPr>
        <w:t xml:space="preserve">Gesundheitsämtern </w:t>
      </w:r>
      <w:r>
        <w:rPr>
          <w:rFonts w:ascii="Tahoma" w:hAnsi="Tahoma"/>
          <w:spacing w:val="-2"/>
          <w:sz w:val="18"/>
        </w:rPr>
        <w:t>gemeldet werden und gleichzeitig als Überwachungs- und Bewertungsinstrument zur Verbesserung der Qualität des Patientenmanagements verwendet werden.</w:t>
      </w:r>
      <w:r>
        <w:rPr>
          <w:rFonts w:ascii="Tahoma" w:hAnsi="Tahoma"/>
          <w:b/>
          <w:spacing w:val="-2"/>
          <w:sz w:val="18"/>
        </w:rPr>
        <w:t xml:space="preserve"> </w:t>
      </w:r>
      <w:r>
        <w:rPr>
          <w:rFonts w:ascii="Tahoma" w:hAnsi="Tahoma"/>
          <w:spacing w:val="-2"/>
          <w:sz w:val="18"/>
        </w:rPr>
        <w:t xml:space="preserve">Informationen zum Behandlungsergebnis sollten auch regelmäßig vom Gesundheitsamt an die Gesundheitsdienstleister zurückgeschickt werden, um eine koordinierte Bewertung der Ergebnisse zu ermöglichen. Informationen zum </w:t>
      </w:r>
      <w:r w:rsidR="00571BCD">
        <w:rPr>
          <w:rFonts w:ascii="Tahoma" w:hAnsi="Tahoma"/>
          <w:spacing w:val="-2"/>
          <w:sz w:val="18"/>
        </w:rPr>
        <w:t xml:space="preserve">abschließenden Behandlungsergebnis </w:t>
      </w:r>
      <w:r>
        <w:rPr>
          <w:rFonts w:ascii="Tahoma" w:hAnsi="Tahoma"/>
          <w:spacing w:val="-2"/>
          <w:sz w:val="18"/>
        </w:rPr>
        <w:t xml:space="preserve">des Patienten sollten in der klinischen Abteilung, in der die Behandlung begonnen wurde, verfügbar sein, auch wenn der Patient inzwischen überwiesen wurde. Das Gesundheitspersonal, das für die Meldung des Behandlungsergebnisses an die </w:t>
      </w:r>
      <w:r w:rsidR="007A49DA">
        <w:rPr>
          <w:rFonts w:ascii="Tahoma" w:hAnsi="Tahoma"/>
          <w:spacing w:val="-2"/>
          <w:sz w:val="18"/>
        </w:rPr>
        <w:t xml:space="preserve">Gesundheitsämter </w:t>
      </w:r>
      <w:r>
        <w:rPr>
          <w:rFonts w:ascii="Tahoma" w:hAnsi="Tahoma"/>
          <w:spacing w:val="-2"/>
          <w:sz w:val="18"/>
        </w:rPr>
        <w:t>und die Durchführung der vierteljährlichen Bewertung der klinikeigenen Fälle zuständig ist, muss eine angemessene Schulung erhalten. Dieses Prinzip gilt auch für Tuberkulosepatienten, die sich über die EU-Grenzen hinweg bewegen [54-57].</w:t>
      </w:r>
    </w:p>
    <w:p w:rsidR="00E9311A" w:rsidP="0028467E" w14:paraId="361B8619" w14:textId="77777777">
      <w:pPr>
        <w:rPr>
          <w:rFonts w:ascii="Tahoma" w:eastAsia="Batang" w:hAnsi="Tahoma" w:cs="Tahoma"/>
          <w:color w:val="69AE23"/>
          <w:sz w:val="30"/>
          <w:szCs w:val="30"/>
        </w:rPr>
      </w:pPr>
      <w:r>
        <w:br w:type="page"/>
      </w:r>
    </w:p>
    <w:p w:rsidR="00CC0F38" w:rsidRPr="00554AB0" w:rsidP="0028467E" w14:paraId="58F444BF" w14:textId="77777777">
      <w:pPr>
        <w:pStyle w:val="EC-Title-5"/>
        <w:spacing w:before="120"/>
      </w:pPr>
      <w:r w:rsidRPr="00554AB0">
        <w:t>Literaturverzeichnis</w:t>
      </w:r>
    </w:p>
    <w:p w:rsidR="00DA3A70" w:rsidRPr="003D6C80" w:rsidP="0028467E" w14:paraId="2DFE4128" w14:textId="77777777">
      <w:pPr>
        <w:pStyle w:val="EndNoteBibliography"/>
        <w:spacing w:after="0"/>
        <w:ind w:left="426" w:hanging="426"/>
        <w:jc w:val="left"/>
        <w:rPr>
          <w:rFonts w:ascii="Tahoma" w:hAnsi="Tahoma" w:cs="Tahoma"/>
          <w:sz w:val="16"/>
          <w:szCs w:val="16"/>
          <w:lang w:val="en-US"/>
        </w:rPr>
      </w:pPr>
      <w:r w:rsidRPr="00554AB0">
        <w:rPr>
          <w:rFonts w:ascii="Tahoma" w:hAnsi="Tahoma"/>
          <w:sz w:val="16"/>
        </w:rPr>
        <w:t>1.</w:t>
      </w:r>
      <w:r w:rsidRPr="00554AB0">
        <w:tab/>
      </w:r>
      <w:r w:rsidRPr="00554AB0">
        <w:rPr>
          <w:rFonts w:ascii="Tahoma" w:hAnsi="Tahoma"/>
          <w:sz w:val="16"/>
        </w:rPr>
        <w:t xml:space="preserve">Schoch OD, Rieder P, Tueller C, Altpeter E, Zellweger JP, Rieder HL, et al. </w:t>
      </w:r>
      <w:r w:rsidRPr="003D6C80" w:rsidR="0037060F">
        <w:rPr>
          <w:rFonts w:ascii="Tahoma" w:hAnsi="Tahoma"/>
          <w:sz w:val="16"/>
          <w:lang w:val="en-US"/>
        </w:rPr>
        <w:t>Diagnostic yield of sputum, induced sputum, and bronchoscopy after radiologic tuberculosis screening. Am J Respir Crit Care Med. 2007;175(1):80-86.</w:t>
      </w:r>
    </w:p>
    <w:p w:rsidR="00DA3A70" w:rsidRPr="003D6C80" w:rsidP="0028467E" w14:paraId="0E167958" w14:textId="77777777">
      <w:pPr>
        <w:pStyle w:val="EndNoteBibliography"/>
        <w:spacing w:after="0"/>
        <w:ind w:left="426" w:hanging="426"/>
        <w:jc w:val="left"/>
        <w:rPr>
          <w:rFonts w:ascii="Tahoma" w:hAnsi="Tahoma" w:cs="Tahoma"/>
          <w:sz w:val="16"/>
          <w:szCs w:val="16"/>
          <w:lang w:val="en-US"/>
        </w:rPr>
      </w:pPr>
      <w:r w:rsidRPr="003D6C80">
        <w:rPr>
          <w:rFonts w:ascii="Tahoma" w:hAnsi="Tahoma"/>
          <w:sz w:val="16"/>
          <w:lang w:val="en-US"/>
        </w:rPr>
        <w:t>2.</w:t>
      </w:r>
      <w:r w:rsidRPr="003D6C80">
        <w:rPr>
          <w:lang w:val="en-US"/>
        </w:rPr>
        <w:tab/>
      </w:r>
      <w:r w:rsidRPr="003D6C80">
        <w:rPr>
          <w:rFonts w:ascii="Tahoma" w:hAnsi="Tahoma"/>
          <w:sz w:val="16"/>
          <w:lang w:val="en-US"/>
        </w:rPr>
        <w:t>TB CARE I. International Standards for Tuberculosis Care. 3rd ed. The Hague: TB CARE; 2014.</w:t>
      </w:r>
    </w:p>
    <w:p w:rsidR="00DA3A70" w:rsidRPr="003D6C80" w:rsidP="0028467E" w14:paraId="0F39E855" w14:textId="77777777">
      <w:pPr>
        <w:pStyle w:val="EndNoteBibliography"/>
        <w:spacing w:after="0"/>
        <w:ind w:left="426" w:hanging="426"/>
        <w:jc w:val="left"/>
        <w:rPr>
          <w:rFonts w:ascii="Tahoma" w:hAnsi="Tahoma" w:cs="Tahoma"/>
          <w:sz w:val="16"/>
          <w:szCs w:val="16"/>
          <w:lang w:val="en-US"/>
        </w:rPr>
      </w:pPr>
      <w:r w:rsidRPr="003D6C80">
        <w:rPr>
          <w:rFonts w:ascii="Tahoma" w:hAnsi="Tahoma"/>
          <w:sz w:val="16"/>
          <w:lang w:val="en-US"/>
        </w:rPr>
        <w:t>3.</w:t>
      </w:r>
      <w:r w:rsidRPr="003D6C80">
        <w:rPr>
          <w:lang w:val="en-US"/>
        </w:rPr>
        <w:tab/>
      </w:r>
      <w:r w:rsidRPr="003D6C80">
        <w:rPr>
          <w:rFonts w:ascii="Tahoma" w:hAnsi="Tahoma"/>
          <w:sz w:val="16"/>
          <w:lang w:val="en-US"/>
        </w:rPr>
        <w:t>Lewinsohn DM, Leonard MK, LoBue PA, Cohn DL, Daley CL, Desmond E, et al. Official American Thoracic Society/Infectious Diseases Society of America/Centers for Disease Control and Prevention Clinical Practice Guidelines: Diagnosis of Tuberculosis in Adults and Children. Clin Infect Dis. 2017;64(2):e1-e33.</w:t>
      </w:r>
    </w:p>
    <w:p w:rsidR="00DA3A70" w:rsidRPr="003D6C80" w:rsidP="0028467E" w14:paraId="3B92C3AB" w14:textId="77777777">
      <w:pPr>
        <w:pStyle w:val="EndNoteBibliography"/>
        <w:spacing w:after="0"/>
        <w:ind w:left="426" w:hanging="426"/>
        <w:jc w:val="left"/>
        <w:rPr>
          <w:rFonts w:ascii="Tahoma" w:hAnsi="Tahoma" w:cs="Tahoma"/>
          <w:sz w:val="16"/>
          <w:szCs w:val="16"/>
          <w:lang w:val="en-US"/>
        </w:rPr>
      </w:pPr>
      <w:r w:rsidRPr="003D6C80">
        <w:rPr>
          <w:rFonts w:ascii="Tahoma" w:hAnsi="Tahoma"/>
          <w:sz w:val="16"/>
          <w:lang w:val="en-US"/>
        </w:rPr>
        <w:t>4.</w:t>
      </w:r>
      <w:r w:rsidRPr="003D6C80">
        <w:rPr>
          <w:lang w:val="en-US"/>
        </w:rPr>
        <w:tab/>
      </w:r>
      <w:r w:rsidRPr="003D6C80">
        <w:rPr>
          <w:rFonts w:ascii="Tahoma" w:hAnsi="Tahoma"/>
          <w:sz w:val="16"/>
          <w:lang w:val="en-US"/>
        </w:rPr>
        <w:t>European Centre for Disease Prevention and Control. Use of interferon-gamma release assays in support of TB diagnosis. Stockholm: ECDC; 2011.</w:t>
      </w:r>
    </w:p>
    <w:p w:rsidR="00DA3A70" w:rsidRPr="003D6C80" w:rsidP="0028467E" w14:paraId="08695935" w14:textId="77777777">
      <w:pPr>
        <w:pStyle w:val="EndNoteBibliography"/>
        <w:spacing w:after="0"/>
        <w:ind w:left="426" w:hanging="426"/>
        <w:jc w:val="left"/>
        <w:rPr>
          <w:rFonts w:ascii="Tahoma" w:hAnsi="Tahoma" w:cs="Tahoma"/>
          <w:sz w:val="16"/>
          <w:szCs w:val="16"/>
          <w:lang w:val="en-US"/>
        </w:rPr>
      </w:pPr>
      <w:r w:rsidRPr="003D6C80">
        <w:rPr>
          <w:rFonts w:ascii="Tahoma" w:hAnsi="Tahoma"/>
          <w:sz w:val="16"/>
          <w:lang w:val="en-US"/>
        </w:rPr>
        <w:t>5.</w:t>
      </w:r>
      <w:r w:rsidRPr="003D6C80">
        <w:rPr>
          <w:lang w:val="en-US"/>
        </w:rPr>
        <w:tab/>
      </w:r>
      <w:r w:rsidRPr="003D6C80">
        <w:rPr>
          <w:rFonts w:ascii="Tahoma" w:hAnsi="Tahoma"/>
          <w:sz w:val="16"/>
          <w:lang w:val="en-US"/>
        </w:rPr>
        <w:t>World Health Organization. Compendium of WHO guidelines and associated standards: ensuring optimum delivery of the cascade of care for patients with tuberculosis. Geneva: World Health Organization; 2017.</w:t>
      </w:r>
    </w:p>
    <w:p w:rsidR="00DA3A70" w:rsidRPr="003D6C80" w:rsidP="0028467E" w14:paraId="4C8FF0D0" w14:textId="77777777">
      <w:pPr>
        <w:pStyle w:val="EndNoteBibliography"/>
        <w:spacing w:after="0"/>
        <w:ind w:left="426" w:hanging="426"/>
        <w:jc w:val="left"/>
        <w:rPr>
          <w:rFonts w:ascii="Tahoma" w:hAnsi="Tahoma" w:cs="Tahoma"/>
          <w:sz w:val="16"/>
          <w:szCs w:val="16"/>
          <w:lang w:val="en-US"/>
        </w:rPr>
      </w:pPr>
      <w:r w:rsidRPr="003D6C80">
        <w:rPr>
          <w:rFonts w:ascii="Tahoma" w:hAnsi="Tahoma"/>
          <w:sz w:val="16"/>
          <w:lang w:val="en-US"/>
        </w:rPr>
        <w:t>6.</w:t>
      </w:r>
      <w:r w:rsidRPr="003D6C80">
        <w:rPr>
          <w:lang w:val="en-US"/>
        </w:rPr>
        <w:tab/>
      </w:r>
      <w:r w:rsidRPr="003D6C80">
        <w:rPr>
          <w:rFonts w:ascii="Tahoma" w:hAnsi="Tahoma"/>
          <w:sz w:val="16"/>
          <w:lang w:val="en-US"/>
        </w:rPr>
        <w:t>Drobniewski FA, Hoffner S, Rusch-Gerdes S, Skenders G, Thomsen V. Recommended standards for modern tuberculosis laboratory services in Europe. Eur Respir J. 2006;28(5):903-909.</w:t>
      </w:r>
    </w:p>
    <w:p w:rsidR="00DA3A70" w:rsidRPr="003D6C80" w:rsidP="0028467E" w14:paraId="49163BFF" w14:textId="77777777">
      <w:pPr>
        <w:pStyle w:val="EndNoteBibliography"/>
        <w:spacing w:after="0"/>
        <w:ind w:left="426" w:hanging="426"/>
        <w:jc w:val="left"/>
        <w:rPr>
          <w:rFonts w:ascii="Tahoma" w:hAnsi="Tahoma" w:cs="Tahoma"/>
          <w:sz w:val="16"/>
          <w:szCs w:val="16"/>
          <w:lang w:val="en-US"/>
        </w:rPr>
      </w:pPr>
      <w:r w:rsidRPr="003D6C80">
        <w:rPr>
          <w:rFonts w:ascii="Tahoma" w:hAnsi="Tahoma"/>
          <w:sz w:val="16"/>
          <w:lang w:val="en-US"/>
        </w:rPr>
        <w:t>7.</w:t>
      </w:r>
      <w:r w:rsidRPr="003D6C80">
        <w:rPr>
          <w:lang w:val="en-US"/>
        </w:rPr>
        <w:tab/>
      </w:r>
      <w:r w:rsidRPr="003D6C80">
        <w:rPr>
          <w:rFonts w:ascii="Tahoma" w:hAnsi="Tahoma"/>
          <w:sz w:val="16"/>
          <w:lang w:val="en-US"/>
        </w:rPr>
        <w:t>World Health Organization Regional Office for Europe. Algorithm for laboratory diagnosis and treatment-monitoring of pulmonary tuberculosis and drug-resistant tuberculosis using state-of-the-art rapid molecular diagnostic technologies. Expert opinion of the European Tuberculosis Laboratory Initiative core group members for the WHO European Region. Copenhagen: WHO Regional Office for Europe; 2017.</w:t>
      </w:r>
    </w:p>
    <w:p w:rsidR="00DA3A70" w:rsidRPr="003D6C80" w:rsidP="0028467E" w14:paraId="750876B5" w14:textId="77777777">
      <w:pPr>
        <w:pStyle w:val="EndNoteBibliography"/>
        <w:spacing w:after="0"/>
        <w:ind w:left="426" w:hanging="426"/>
        <w:jc w:val="left"/>
        <w:rPr>
          <w:rFonts w:ascii="Tahoma" w:hAnsi="Tahoma" w:cs="Tahoma"/>
          <w:sz w:val="16"/>
          <w:szCs w:val="16"/>
          <w:lang w:val="en-US"/>
        </w:rPr>
      </w:pPr>
      <w:r w:rsidRPr="003D6C80">
        <w:rPr>
          <w:rFonts w:ascii="Tahoma" w:hAnsi="Tahoma"/>
          <w:sz w:val="16"/>
          <w:lang w:val="en-US"/>
        </w:rPr>
        <w:t>8.</w:t>
      </w:r>
      <w:r w:rsidRPr="003D6C80">
        <w:rPr>
          <w:lang w:val="en-US"/>
        </w:rPr>
        <w:tab/>
      </w:r>
      <w:r w:rsidRPr="003D6C80">
        <w:rPr>
          <w:rFonts w:ascii="Tahoma" w:hAnsi="Tahoma"/>
          <w:sz w:val="16"/>
          <w:lang w:val="en-US"/>
        </w:rPr>
        <w:t>European Centre for Disease Prevention and Control. Handbook on TB laboratory diagnostic methods for the European Union. Stockholm: ECDC; 2016.</w:t>
      </w:r>
    </w:p>
    <w:p w:rsidR="00DA3A70" w:rsidRPr="003D6C80" w:rsidP="0028467E" w14:paraId="60BEEC1F" w14:textId="77777777">
      <w:pPr>
        <w:pStyle w:val="EndNoteBibliography"/>
        <w:spacing w:after="0"/>
        <w:ind w:left="426" w:hanging="426"/>
        <w:jc w:val="left"/>
        <w:rPr>
          <w:rFonts w:ascii="Tahoma" w:hAnsi="Tahoma" w:cs="Tahoma"/>
          <w:sz w:val="16"/>
          <w:szCs w:val="16"/>
          <w:lang w:val="en-US"/>
        </w:rPr>
      </w:pPr>
      <w:r w:rsidRPr="003D6C80">
        <w:rPr>
          <w:rFonts w:ascii="Tahoma" w:hAnsi="Tahoma"/>
          <w:sz w:val="16"/>
          <w:lang w:val="en-US"/>
        </w:rPr>
        <w:t>9.</w:t>
      </w:r>
      <w:r w:rsidRPr="003D6C80">
        <w:rPr>
          <w:lang w:val="en-US"/>
        </w:rPr>
        <w:tab/>
      </w:r>
      <w:r w:rsidRPr="003D6C80">
        <w:rPr>
          <w:rFonts w:ascii="Tahoma" w:hAnsi="Tahoma"/>
          <w:sz w:val="16"/>
          <w:lang w:val="en-US"/>
        </w:rPr>
        <w:t>Sotgiu G, Tiberi S, D'Ambrosio L, Centis R, Zumla A, Migliori GB. WHO recommendations on shorter treatment of multidrug-resistant tuberculosis. Lancet. 2016;387(10037):2486-2487.</w:t>
      </w:r>
    </w:p>
    <w:p w:rsidR="00DA3A70" w:rsidRPr="00554AB0" w:rsidP="0028467E" w14:paraId="17755088" w14:textId="77777777">
      <w:pPr>
        <w:pStyle w:val="EndNoteBibliography"/>
        <w:spacing w:after="0"/>
        <w:ind w:left="426" w:hanging="426"/>
        <w:jc w:val="left"/>
        <w:rPr>
          <w:rFonts w:ascii="Tahoma" w:hAnsi="Tahoma" w:cs="Tahoma"/>
          <w:sz w:val="16"/>
          <w:szCs w:val="16"/>
        </w:rPr>
      </w:pPr>
      <w:r w:rsidRPr="003D6C80">
        <w:rPr>
          <w:rFonts w:ascii="Tahoma" w:hAnsi="Tahoma"/>
          <w:sz w:val="16"/>
          <w:lang w:val="en-US"/>
        </w:rPr>
        <w:t>10.</w:t>
      </w:r>
      <w:r w:rsidRPr="003D6C80">
        <w:rPr>
          <w:lang w:val="en-US"/>
        </w:rPr>
        <w:tab/>
      </w:r>
      <w:r w:rsidRPr="003D6C80">
        <w:rPr>
          <w:rFonts w:ascii="Tahoma" w:hAnsi="Tahoma"/>
          <w:sz w:val="16"/>
          <w:lang w:val="en-US"/>
        </w:rPr>
        <w:t xml:space="preserve">Diel R, Goletti D, Ferrara G, Bothamley G, Cirillo D, Kampmann B, et al. Interferon-gamma release assays for the diagnosis of latent Mycobacterium tuberculosis infection: a systematic review and meta-analysis. </w:t>
      </w:r>
      <w:r w:rsidRPr="00554AB0" w:rsidR="00455819">
        <w:rPr>
          <w:rFonts w:ascii="Tahoma" w:hAnsi="Tahoma"/>
          <w:sz w:val="16"/>
        </w:rPr>
        <w:t>Eur Respir J. 2011;37(1):88-99.</w:t>
      </w:r>
    </w:p>
    <w:p w:rsidR="00DA3A70" w:rsidRPr="003D6C80" w:rsidP="0028467E" w14:paraId="0A9F4122" w14:textId="77777777">
      <w:pPr>
        <w:pStyle w:val="EndNoteBibliography"/>
        <w:spacing w:after="0"/>
        <w:ind w:left="426" w:hanging="426"/>
        <w:jc w:val="left"/>
        <w:rPr>
          <w:rFonts w:ascii="Tahoma" w:hAnsi="Tahoma" w:cs="Tahoma"/>
          <w:sz w:val="16"/>
          <w:szCs w:val="16"/>
          <w:lang w:val="en-US"/>
        </w:rPr>
      </w:pPr>
      <w:r w:rsidRPr="00554AB0">
        <w:rPr>
          <w:rFonts w:ascii="Tahoma" w:hAnsi="Tahoma"/>
          <w:sz w:val="16"/>
        </w:rPr>
        <w:t>11.</w:t>
      </w:r>
      <w:r w:rsidRPr="00554AB0">
        <w:tab/>
      </w:r>
      <w:r w:rsidRPr="00554AB0">
        <w:rPr>
          <w:rFonts w:ascii="Tahoma" w:hAnsi="Tahoma"/>
          <w:sz w:val="16"/>
        </w:rPr>
        <w:t xml:space="preserve">Sester M, Sotgiu G, Lange C, Giehl C, Girardi E, Migliori GB, et al. </w:t>
      </w:r>
      <w:r w:rsidRPr="003D6C80" w:rsidR="0037060F">
        <w:rPr>
          <w:rFonts w:ascii="Tahoma" w:hAnsi="Tahoma"/>
          <w:sz w:val="16"/>
          <w:lang w:val="en-US"/>
        </w:rPr>
        <w:t>Interferon-gamma release assays for the diagnosis of active tuberculosis: a systematic review and meta-analysis. Eur Respir J. 2011;37(1):100-111.</w:t>
      </w:r>
    </w:p>
    <w:p w:rsidR="00DA3A70" w:rsidRPr="003D6C80" w:rsidP="0028467E" w14:paraId="1A927305" w14:textId="77777777">
      <w:pPr>
        <w:pStyle w:val="EndNoteBibliography"/>
        <w:spacing w:after="0"/>
        <w:ind w:left="426" w:hanging="426"/>
        <w:jc w:val="left"/>
        <w:rPr>
          <w:rFonts w:ascii="Tahoma" w:hAnsi="Tahoma" w:cs="Tahoma"/>
          <w:sz w:val="16"/>
          <w:szCs w:val="16"/>
          <w:lang w:val="en-US"/>
        </w:rPr>
      </w:pPr>
      <w:r w:rsidRPr="003D6C80">
        <w:rPr>
          <w:rFonts w:ascii="Tahoma" w:hAnsi="Tahoma"/>
          <w:sz w:val="16"/>
          <w:lang w:val="en-US"/>
        </w:rPr>
        <w:t>12.</w:t>
      </w:r>
      <w:r w:rsidRPr="003D6C80">
        <w:rPr>
          <w:lang w:val="en-US"/>
        </w:rPr>
        <w:tab/>
      </w:r>
      <w:r w:rsidRPr="003D6C80">
        <w:rPr>
          <w:rFonts w:ascii="Tahoma" w:hAnsi="Tahoma"/>
          <w:sz w:val="16"/>
          <w:lang w:val="en-US"/>
        </w:rPr>
        <w:t>Petruccioli E, Scriba TJ, Petrone L, Hatherill M, Cirillo DM, Joosten SA, et al. Correlates of tuberculosis risk: predictive biomarkers for progression to active tuberculosis. Eur Respir J. 2016;48(6):1751-1763.</w:t>
      </w:r>
    </w:p>
    <w:p w:rsidR="00DA3A70" w:rsidRPr="003D6C80" w:rsidP="0028467E" w14:paraId="7F534D18" w14:textId="77777777">
      <w:pPr>
        <w:pStyle w:val="EndNoteBibliography"/>
        <w:spacing w:after="0"/>
        <w:ind w:left="426" w:hanging="426"/>
        <w:jc w:val="left"/>
        <w:rPr>
          <w:rFonts w:ascii="Tahoma" w:hAnsi="Tahoma" w:cs="Tahoma"/>
          <w:sz w:val="16"/>
          <w:szCs w:val="16"/>
          <w:lang w:val="en-US"/>
        </w:rPr>
      </w:pPr>
      <w:r w:rsidRPr="003D6C80">
        <w:rPr>
          <w:rFonts w:ascii="Tahoma" w:hAnsi="Tahoma"/>
          <w:sz w:val="16"/>
          <w:lang w:val="en-US"/>
        </w:rPr>
        <w:t>13.</w:t>
      </w:r>
      <w:r w:rsidRPr="003D6C80">
        <w:rPr>
          <w:lang w:val="en-US"/>
        </w:rPr>
        <w:tab/>
      </w:r>
      <w:r w:rsidRPr="003D6C80">
        <w:rPr>
          <w:rFonts w:ascii="Tahoma" w:hAnsi="Tahoma"/>
          <w:sz w:val="16"/>
          <w:lang w:val="en-US"/>
        </w:rPr>
        <w:t>Goletti D, Petruccioli E, Joosten SA, Ottenhoff TH. Tuberculosis Biomarkers: From Diagnosis to Protection. Infectious disease reports. 2016;8(2):6568.</w:t>
      </w:r>
    </w:p>
    <w:p w:rsidR="00DA3A70" w:rsidRPr="003D6C80" w:rsidP="0028467E" w14:paraId="39C1A075" w14:textId="77777777">
      <w:pPr>
        <w:pStyle w:val="EndNoteBibliography"/>
        <w:spacing w:after="0"/>
        <w:ind w:left="426" w:hanging="426"/>
        <w:jc w:val="left"/>
        <w:rPr>
          <w:rFonts w:ascii="Tahoma" w:hAnsi="Tahoma" w:cs="Tahoma"/>
          <w:sz w:val="16"/>
          <w:szCs w:val="16"/>
          <w:lang w:val="en-US"/>
        </w:rPr>
      </w:pPr>
      <w:r w:rsidRPr="003D6C80">
        <w:rPr>
          <w:rFonts w:ascii="Tahoma" w:hAnsi="Tahoma"/>
          <w:sz w:val="16"/>
          <w:lang w:val="en-US"/>
        </w:rPr>
        <w:t>14.</w:t>
      </w:r>
      <w:r w:rsidRPr="003D6C80">
        <w:rPr>
          <w:lang w:val="en-US"/>
        </w:rPr>
        <w:tab/>
      </w:r>
      <w:r w:rsidRPr="003D6C80">
        <w:rPr>
          <w:rFonts w:ascii="Tahoma" w:hAnsi="Tahoma"/>
          <w:sz w:val="16"/>
          <w:lang w:val="en-US"/>
        </w:rPr>
        <w:t>Seddon JA, Furin JJ, Gale M, Del Castillo Barrientos H, Hurtado RM, Amanullah F, et al. Caring for children with drug-resistant tuberculosis: practice-based recommendations. Am J Respir Crit Care Med. 2012;186(10):953-964.</w:t>
      </w:r>
    </w:p>
    <w:p w:rsidR="00DA3A70" w:rsidRPr="003D6C80" w:rsidP="0028467E" w14:paraId="54358364" w14:textId="77777777">
      <w:pPr>
        <w:pStyle w:val="EndNoteBibliography"/>
        <w:spacing w:after="0"/>
        <w:ind w:left="426" w:hanging="426"/>
        <w:jc w:val="left"/>
        <w:rPr>
          <w:rFonts w:ascii="Tahoma" w:hAnsi="Tahoma" w:cs="Tahoma"/>
          <w:sz w:val="16"/>
          <w:szCs w:val="16"/>
          <w:lang w:val="en-US"/>
        </w:rPr>
      </w:pPr>
      <w:r w:rsidRPr="003D6C80">
        <w:rPr>
          <w:rFonts w:ascii="Tahoma" w:hAnsi="Tahoma"/>
          <w:sz w:val="16"/>
          <w:lang w:val="en-US"/>
        </w:rPr>
        <w:t>15.</w:t>
      </w:r>
      <w:r w:rsidRPr="003D6C80">
        <w:rPr>
          <w:lang w:val="en-US"/>
        </w:rPr>
        <w:tab/>
      </w:r>
      <w:r w:rsidRPr="003D6C80">
        <w:rPr>
          <w:rFonts w:ascii="Tahoma" w:hAnsi="Tahoma"/>
          <w:sz w:val="16"/>
          <w:lang w:val="en-US"/>
        </w:rPr>
        <w:t>World Health Organization. Guidance for national tuberculosis programmes on the management of tuberculosis in children. Second ed. Geneva: World Health Organization; 2014.</w:t>
      </w:r>
    </w:p>
    <w:p w:rsidR="00DA3A70" w:rsidRPr="003D6C80" w:rsidP="0028467E" w14:paraId="23FE79D5" w14:textId="77777777">
      <w:pPr>
        <w:pStyle w:val="EndNoteBibliography"/>
        <w:spacing w:after="0"/>
        <w:ind w:left="426" w:hanging="426"/>
        <w:jc w:val="left"/>
        <w:rPr>
          <w:rFonts w:ascii="Tahoma" w:hAnsi="Tahoma" w:cs="Tahoma"/>
          <w:sz w:val="16"/>
          <w:szCs w:val="16"/>
          <w:lang w:val="en-US"/>
        </w:rPr>
      </w:pPr>
      <w:r w:rsidRPr="003D6C80">
        <w:rPr>
          <w:rFonts w:ascii="Tahoma" w:hAnsi="Tahoma"/>
          <w:sz w:val="16"/>
          <w:lang w:val="en-US"/>
        </w:rPr>
        <w:t>16.</w:t>
      </w:r>
      <w:r w:rsidRPr="003D6C80">
        <w:rPr>
          <w:lang w:val="en-US"/>
        </w:rPr>
        <w:tab/>
      </w:r>
      <w:r w:rsidRPr="003D6C80">
        <w:rPr>
          <w:rFonts w:ascii="Tahoma" w:hAnsi="Tahoma"/>
          <w:sz w:val="16"/>
          <w:lang w:val="en-US"/>
        </w:rPr>
        <w:t>World Health Organization. Report of a WHO consultation on strengthening the active engagement of civil society organizations in the global TB prevention, care and control efforts. Geneva: World Health Organization; 2010. Report No.: WHO/HTM/TB/2010.15.</w:t>
      </w:r>
    </w:p>
    <w:p w:rsidR="00DA3A70" w:rsidRPr="003D6C80" w:rsidP="0028467E" w14:paraId="7494A66F" w14:textId="77777777">
      <w:pPr>
        <w:pStyle w:val="EndNoteBibliography"/>
        <w:spacing w:after="0"/>
        <w:ind w:left="426" w:hanging="426"/>
        <w:jc w:val="left"/>
        <w:rPr>
          <w:rFonts w:ascii="Tahoma" w:hAnsi="Tahoma" w:cs="Tahoma"/>
          <w:sz w:val="16"/>
          <w:szCs w:val="16"/>
          <w:lang w:val="en-US"/>
        </w:rPr>
      </w:pPr>
      <w:r w:rsidRPr="003D6C80">
        <w:rPr>
          <w:rFonts w:ascii="Tahoma" w:hAnsi="Tahoma"/>
          <w:sz w:val="16"/>
          <w:lang w:val="en-US"/>
        </w:rPr>
        <w:t>17.</w:t>
      </w:r>
      <w:r w:rsidRPr="003D6C80">
        <w:rPr>
          <w:lang w:val="en-US"/>
        </w:rPr>
        <w:tab/>
      </w:r>
      <w:r w:rsidRPr="003D6C80">
        <w:rPr>
          <w:rFonts w:ascii="Tahoma" w:hAnsi="Tahoma"/>
          <w:sz w:val="16"/>
          <w:lang w:val="en-US"/>
        </w:rPr>
        <w:t>Patients’ Charter for Tuberculosis Care: World Care Council; 2006.</w:t>
      </w:r>
    </w:p>
    <w:p w:rsidR="00DA3A70" w:rsidRPr="003D6C80" w:rsidP="0028467E" w14:paraId="05C1EA29" w14:textId="77777777">
      <w:pPr>
        <w:pStyle w:val="EndNoteBibliography"/>
        <w:spacing w:after="0"/>
        <w:ind w:left="426" w:hanging="426"/>
        <w:jc w:val="left"/>
        <w:rPr>
          <w:rFonts w:ascii="Tahoma" w:hAnsi="Tahoma" w:cs="Tahoma"/>
          <w:sz w:val="16"/>
          <w:szCs w:val="16"/>
          <w:lang w:val="en-US"/>
        </w:rPr>
      </w:pPr>
      <w:r w:rsidRPr="003D6C80">
        <w:rPr>
          <w:rFonts w:ascii="Tahoma" w:hAnsi="Tahoma"/>
          <w:sz w:val="16"/>
          <w:lang w:val="en-US"/>
        </w:rPr>
        <w:t>18.</w:t>
      </w:r>
      <w:r w:rsidRPr="003D6C80">
        <w:rPr>
          <w:lang w:val="en-US"/>
        </w:rPr>
        <w:tab/>
      </w:r>
      <w:r w:rsidRPr="003D6C80">
        <w:rPr>
          <w:rFonts w:ascii="Tahoma" w:hAnsi="Tahoma"/>
          <w:sz w:val="16"/>
          <w:lang w:val="en-US"/>
        </w:rPr>
        <w:t>World Health Organization. Definitions and reporting framework for tuberculosis – 2013 revision. Geneva: Word Health Organization; 2013.</w:t>
      </w:r>
    </w:p>
    <w:p w:rsidR="00DA3A70" w:rsidRPr="003D6C80" w:rsidP="0028467E" w14:paraId="7B40E7DB" w14:textId="77777777">
      <w:pPr>
        <w:pStyle w:val="EndNoteBibliography"/>
        <w:spacing w:after="0"/>
        <w:ind w:left="426" w:hanging="426"/>
        <w:jc w:val="left"/>
        <w:rPr>
          <w:rFonts w:ascii="Tahoma" w:hAnsi="Tahoma" w:cs="Tahoma"/>
          <w:sz w:val="16"/>
          <w:szCs w:val="16"/>
          <w:lang w:val="en-US"/>
        </w:rPr>
      </w:pPr>
      <w:r w:rsidRPr="003D6C80">
        <w:rPr>
          <w:rFonts w:ascii="Tahoma" w:hAnsi="Tahoma"/>
          <w:sz w:val="16"/>
          <w:lang w:val="en-US"/>
        </w:rPr>
        <w:t>19.</w:t>
      </w:r>
      <w:r w:rsidRPr="003D6C80">
        <w:rPr>
          <w:lang w:val="en-US"/>
        </w:rPr>
        <w:tab/>
      </w:r>
      <w:r w:rsidRPr="003D6C80">
        <w:rPr>
          <w:rFonts w:ascii="Tahoma" w:hAnsi="Tahoma"/>
          <w:sz w:val="16"/>
          <w:lang w:val="en-US"/>
        </w:rPr>
        <w:t>Nahid P, Dorman SE, Alipanah N, Barry PM, Brozek JL, Cattamanchi A, et al. Official American Thoracic Society/Centers for Disease Control and Prevention/Infectious Diseases Society of America Clinical Practice Guidelines: Treatment of Drug-Susceptible Tuberculosis. Clin Infect Dis. 2016;63(7):e147-e195.</w:t>
      </w:r>
    </w:p>
    <w:p w:rsidR="00DA3A70" w:rsidRPr="00554AB0" w:rsidP="0028467E" w14:paraId="040BA8E9" w14:textId="77777777">
      <w:pPr>
        <w:pStyle w:val="EndNoteBibliography"/>
        <w:spacing w:after="0"/>
        <w:ind w:left="426" w:hanging="426"/>
        <w:jc w:val="left"/>
        <w:rPr>
          <w:rFonts w:ascii="Tahoma" w:hAnsi="Tahoma" w:cs="Tahoma"/>
          <w:sz w:val="16"/>
          <w:szCs w:val="16"/>
        </w:rPr>
      </w:pPr>
      <w:r w:rsidRPr="003D6C80">
        <w:rPr>
          <w:rFonts w:ascii="Tahoma" w:hAnsi="Tahoma"/>
          <w:sz w:val="16"/>
          <w:lang w:val="en-US"/>
        </w:rPr>
        <w:t>20.</w:t>
      </w:r>
      <w:r w:rsidRPr="003D6C80">
        <w:rPr>
          <w:lang w:val="en-US"/>
        </w:rPr>
        <w:tab/>
      </w:r>
      <w:r w:rsidRPr="003D6C80">
        <w:rPr>
          <w:rFonts w:ascii="Tahoma" w:hAnsi="Tahoma"/>
          <w:sz w:val="16"/>
          <w:lang w:val="en-US"/>
        </w:rPr>
        <w:t xml:space="preserve">Sotgiu G, Nahid P, Loddenkemper R, Abubakar I, Miravitlles M, Migliori GB. The ERS-endorsed official ATS/CDC/IDSA clinical practice guidelines on treatment of drug-susceptible tuberculosis. </w:t>
      </w:r>
      <w:r w:rsidRPr="00554AB0" w:rsidR="00455819">
        <w:rPr>
          <w:rFonts w:ascii="Tahoma" w:hAnsi="Tahoma"/>
          <w:sz w:val="16"/>
        </w:rPr>
        <w:t>Eur Respir J. 2016;48(4):963-971.</w:t>
      </w:r>
    </w:p>
    <w:p w:rsidR="00DA3A70" w:rsidRPr="003D6C80" w:rsidP="0028467E" w14:paraId="4E5B98EF" w14:textId="77777777">
      <w:pPr>
        <w:pStyle w:val="EndNoteBibliography"/>
        <w:spacing w:after="0"/>
        <w:ind w:left="426" w:hanging="426"/>
        <w:jc w:val="left"/>
        <w:rPr>
          <w:rFonts w:ascii="Tahoma" w:hAnsi="Tahoma" w:cs="Tahoma"/>
          <w:sz w:val="16"/>
          <w:szCs w:val="16"/>
          <w:lang w:val="en-US"/>
        </w:rPr>
      </w:pPr>
      <w:r w:rsidRPr="00554AB0">
        <w:rPr>
          <w:rFonts w:ascii="Tahoma" w:hAnsi="Tahoma"/>
          <w:sz w:val="16"/>
        </w:rPr>
        <w:t>21.</w:t>
      </w:r>
      <w:r w:rsidRPr="00554AB0">
        <w:tab/>
      </w:r>
      <w:r w:rsidRPr="00554AB0">
        <w:rPr>
          <w:rFonts w:ascii="Tahoma" w:hAnsi="Tahoma"/>
          <w:sz w:val="16"/>
        </w:rPr>
        <w:t xml:space="preserve">Falzon D, Jaramillo E, Schunemann HJ, Arentz M, Bauer M, Bayona J, et al. </w:t>
      </w:r>
      <w:r w:rsidRPr="003D6C80" w:rsidR="0037060F">
        <w:rPr>
          <w:rFonts w:ascii="Tahoma" w:hAnsi="Tahoma"/>
          <w:sz w:val="16"/>
          <w:lang w:val="en-US"/>
        </w:rPr>
        <w:t>WHO guidelines for the programmatic management of drug-resistant tuberculosis: 2011 update. Eur Respir J. 2011;38(3):516-528.</w:t>
      </w:r>
    </w:p>
    <w:p w:rsidR="00DA3A70" w:rsidRPr="003D6C80" w:rsidP="0028467E" w14:paraId="2B06DBB2" w14:textId="77777777">
      <w:pPr>
        <w:pStyle w:val="EndNoteBibliography"/>
        <w:spacing w:after="0"/>
        <w:ind w:left="426" w:hanging="426"/>
        <w:jc w:val="left"/>
        <w:rPr>
          <w:rFonts w:ascii="Tahoma" w:hAnsi="Tahoma" w:cs="Tahoma"/>
          <w:sz w:val="16"/>
          <w:szCs w:val="16"/>
          <w:lang w:val="en-US"/>
        </w:rPr>
      </w:pPr>
      <w:r w:rsidRPr="003D6C80">
        <w:rPr>
          <w:rFonts w:ascii="Tahoma" w:hAnsi="Tahoma"/>
          <w:sz w:val="16"/>
          <w:lang w:val="en-US"/>
        </w:rPr>
        <w:t>22.</w:t>
      </w:r>
      <w:r w:rsidRPr="003D6C80">
        <w:rPr>
          <w:lang w:val="en-US"/>
        </w:rPr>
        <w:tab/>
      </w:r>
      <w:r w:rsidRPr="003D6C80">
        <w:rPr>
          <w:rFonts w:ascii="Tahoma" w:hAnsi="Tahoma"/>
          <w:sz w:val="16"/>
          <w:lang w:val="en-US"/>
        </w:rPr>
        <w:t>Mitnick CD, White RA, Lu C, Rodriguez CA, Bayona J, Becerra MC, et al. on behalf of the Collaborative Group for Analysis of Bacteriology Data in MDRTBT. Multidrug-resistant tuberculosis treatment failure detection depends on monitoring interval and microbiological method. Eur Respir J. 2016;48(4):1160-1170.</w:t>
      </w:r>
    </w:p>
    <w:p w:rsidR="00DA3A70" w:rsidRPr="003D6C80" w:rsidP="0028467E" w14:paraId="41271175" w14:textId="77777777">
      <w:pPr>
        <w:pStyle w:val="EndNoteBibliography"/>
        <w:spacing w:after="0"/>
        <w:ind w:left="426" w:hanging="426"/>
        <w:jc w:val="left"/>
        <w:rPr>
          <w:rFonts w:ascii="Tahoma" w:hAnsi="Tahoma" w:cs="Tahoma"/>
          <w:sz w:val="16"/>
          <w:szCs w:val="16"/>
          <w:lang w:val="en-US"/>
        </w:rPr>
      </w:pPr>
      <w:r w:rsidRPr="003D6C80">
        <w:rPr>
          <w:rFonts w:ascii="Tahoma" w:hAnsi="Tahoma"/>
          <w:sz w:val="16"/>
          <w:lang w:val="en-US"/>
        </w:rPr>
        <w:t>23.</w:t>
      </w:r>
      <w:r w:rsidRPr="003D6C80">
        <w:rPr>
          <w:lang w:val="en-US"/>
        </w:rPr>
        <w:tab/>
      </w:r>
      <w:r w:rsidRPr="003D6C80">
        <w:rPr>
          <w:rFonts w:ascii="Tahoma" w:hAnsi="Tahoma"/>
          <w:sz w:val="16"/>
          <w:lang w:val="en-US"/>
        </w:rPr>
        <w:t>World Health Organization. WHO treatment guidelines for drug-resistant tuberculosis: 2016 update. Geneva: World Health Organization; 2016.</w:t>
      </w:r>
    </w:p>
    <w:p w:rsidR="00DA3A70" w:rsidRPr="003D6C80" w:rsidP="0028467E" w14:paraId="12D58E86" w14:textId="77777777">
      <w:pPr>
        <w:pStyle w:val="EndNoteBibliography"/>
        <w:spacing w:after="0"/>
        <w:ind w:left="426" w:hanging="426"/>
        <w:jc w:val="left"/>
        <w:rPr>
          <w:rFonts w:ascii="Tahoma" w:hAnsi="Tahoma" w:cs="Tahoma"/>
          <w:sz w:val="16"/>
          <w:szCs w:val="16"/>
          <w:lang w:val="en-US"/>
        </w:rPr>
      </w:pPr>
      <w:r w:rsidRPr="003D6C80">
        <w:rPr>
          <w:rFonts w:ascii="Tahoma" w:hAnsi="Tahoma"/>
          <w:sz w:val="16"/>
          <w:lang w:val="en-US"/>
        </w:rPr>
        <w:t>24.</w:t>
      </w:r>
      <w:r w:rsidRPr="003D6C80">
        <w:rPr>
          <w:lang w:val="en-US"/>
        </w:rPr>
        <w:tab/>
      </w:r>
      <w:r w:rsidRPr="003D6C80">
        <w:rPr>
          <w:rFonts w:ascii="Tahoma" w:hAnsi="Tahoma"/>
          <w:sz w:val="16"/>
          <w:lang w:val="en-US"/>
        </w:rPr>
        <w:t>World Health Organization. Guidelines for treatment of drug-susceptible tuberculosis and patient care, 2017 update. Geneva: World Health Organization; 2017.</w:t>
      </w:r>
    </w:p>
    <w:p w:rsidR="00DA3A70" w:rsidRPr="003D6C80" w:rsidP="0028467E" w14:paraId="25C95611" w14:textId="77777777">
      <w:pPr>
        <w:pStyle w:val="EndNoteBibliography"/>
        <w:spacing w:after="0"/>
        <w:ind w:left="426" w:hanging="426"/>
        <w:jc w:val="left"/>
        <w:rPr>
          <w:rFonts w:ascii="Tahoma" w:hAnsi="Tahoma" w:cs="Tahoma"/>
          <w:sz w:val="16"/>
          <w:szCs w:val="16"/>
          <w:lang w:val="en-US"/>
        </w:rPr>
      </w:pPr>
      <w:r w:rsidRPr="003D6C80">
        <w:rPr>
          <w:rFonts w:ascii="Tahoma" w:hAnsi="Tahoma"/>
          <w:sz w:val="16"/>
          <w:lang w:val="en-US"/>
        </w:rPr>
        <w:t>25.</w:t>
      </w:r>
      <w:r w:rsidRPr="003D6C80">
        <w:rPr>
          <w:lang w:val="en-US"/>
        </w:rPr>
        <w:tab/>
      </w:r>
      <w:r w:rsidRPr="003D6C80">
        <w:rPr>
          <w:rFonts w:ascii="Tahoma" w:hAnsi="Tahoma"/>
          <w:sz w:val="16"/>
          <w:lang w:val="en-US"/>
        </w:rPr>
        <w:t>Falzon D, Schunemann HJ, Harausz E, Gonzalez-Angulo L, Lienhardt C, Jaramillo E, et al. World Health Organization treatment guidelines for drug-resistant tuberculosis, 2016 update. Eur Respir J. 2017;49(3).</w:t>
      </w:r>
    </w:p>
    <w:p w:rsidR="00DA3A70" w:rsidRPr="003D6C80" w:rsidP="0028467E" w14:paraId="37F7842C" w14:textId="77777777">
      <w:pPr>
        <w:pStyle w:val="EndNoteBibliography"/>
        <w:spacing w:after="0"/>
        <w:ind w:left="426" w:hanging="426"/>
        <w:jc w:val="left"/>
        <w:rPr>
          <w:rFonts w:ascii="Tahoma" w:hAnsi="Tahoma" w:cs="Tahoma"/>
          <w:sz w:val="16"/>
          <w:szCs w:val="16"/>
          <w:lang w:val="en-US"/>
        </w:rPr>
      </w:pPr>
      <w:r w:rsidRPr="003D6C80">
        <w:rPr>
          <w:rFonts w:ascii="Tahoma" w:hAnsi="Tahoma"/>
          <w:sz w:val="16"/>
          <w:lang w:val="en-US"/>
        </w:rPr>
        <w:t>26.</w:t>
      </w:r>
      <w:r w:rsidRPr="003D6C80">
        <w:rPr>
          <w:lang w:val="en-US"/>
        </w:rPr>
        <w:tab/>
      </w:r>
      <w:r w:rsidRPr="003D6C80">
        <w:rPr>
          <w:rFonts w:ascii="Tahoma" w:hAnsi="Tahoma"/>
          <w:sz w:val="16"/>
          <w:lang w:val="en-US"/>
        </w:rPr>
        <w:t>van der Werf MJ, Kodmon C, Dara M, Catchpole M. Shorter regimens for multidrug-resistant tuberculosis should also be applicable in Europe. Eur Respir J 2017;49(6).</w:t>
      </w:r>
    </w:p>
    <w:p w:rsidR="00DA3A70" w:rsidRPr="003D6C80" w:rsidP="0028467E" w14:paraId="2D965617" w14:textId="77777777">
      <w:pPr>
        <w:pStyle w:val="EndNoteBibliography"/>
        <w:spacing w:after="0"/>
        <w:ind w:left="426" w:hanging="426"/>
        <w:jc w:val="left"/>
        <w:rPr>
          <w:rFonts w:ascii="Tahoma" w:hAnsi="Tahoma" w:cs="Tahoma"/>
          <w:sz w:val="16"/>
          <w:szCs w:val="16"/>
          <w:lang w:val="en-US"/>
        </w:rPr>
      </w:pPr>
      <w:r w:rsidRPr="003D6C80">
        <w:rPr>
          <w:rFonts w:ascii="Tahoma" w:hAnsi="Tahoma"/>
          <w:sz w:val="16"/>
          <w:lang w:val="en-US"/>
        </w:rPr>
        <w:t>27.</w:t>
      </w:r>
      <w:r w:rsidRPr="003D6C80">
        <w:rPr>
          <w:lang w:val="en-US"/>
        </w:rPr>
        <w:tab/>
      </w:r>
      <w:r w:rsidRPr="003D6C80">
        <w:rPr>
          <w:rFonts w:ascii="Tahoma" w:hAnsi="Tahoma"/>
          <w:sz w:val="16"/>
          <w:lang w:val="en-US"/>
        </w:rPr>
        <w:t>Caminero JA, Piubello A, Scardigli A, Migliori GB. Proposal for a standardised treatment regimen to manage pre- and extensively drug-resistant tuberculosis cases. Eur Respir J. 2017;50(1).</w:t>
      </w:r>
    </w:p>
    <w:p w:rsidR="00DA3A70" w:rsidRPr="003D6C80" w:rsidP="0028467E" w14:paraId="7B717C7B" w14:textId="77777777">
      <w:pPr>
        <w:pStyle w:val="EndNoteBibliography"/>
        <w:spacing w:after="0"/>
        <w:ind w:left="426" w:hanging="426"/>
        <w:jc w:val="left"/>
        <w:rPr>
          <w:rFonts w:ascii="Tahoma" w:hAnsi="Tahoma" w:cs="Tahoma"/>
          <w:sz w:val="16"/>
          <w:szCs w:val="16"/>
          <w:lang w:val="en-US"/>
        </w:rPr>
      </w:pPr>
      <w:r w:rsidRPr="003D6C80">
        <w:rPr>
          <w:rFonts w:ascii="Tahoma" w:hAnsi="Tahoma"/>
          <w:sz w:val="16"/>
          <w:lang w:val="en-US"/>
        </w:rPr>
        <w:t>28.</w:t>
      </w:r>
      <w:r w:rsidRPr="003D6C80">
        <w:rPr>
          <w:lang w:val="en-US"/>
        </w:rPr>
        <w:tab/>
      </w:r>
      <w:r w:rsidRPr="003D6C80">
        <w:rPr>
          <w:rFonts w:ascii="Tahoma" w:hAnsi="Tahoma"/>
          <w:sz w:val="16"/>
          <w:lang w:val="en-US"/>
        </w:rPr>
        <w:t>Esposito S, D'Ambrosio L, Tadolini M, Schaaf HS, Caminero Luna J, Marais B, et al. ERS/WHO Tuberculosis Consilium assistance with extensively drug-resistant tuberculosis management in a child: case study of compassionate delamanid use. Eur Respir J. 2014;44(3):811-815.</w:t>
      </w:r>
    </w:p>
    <w:p w:rsidR="00DA3A70" w:rsidRPr="00554AB0" w:rsidP="0028467E" w14:paraId="4BC16981" w14:textId="77777777">
      <w:pPr>
        <w:pStyle w:val="EndNoteBibliography"/>
        <w:spacing w:after="0"/>
        <w:ind w:left="426" w:hanging="426"/>
        <w:jc w:val="left"/>
        <w:rPr>
          <w:rFonts w:ascii="Tahoma" w:hAnsi="Tahoma" w:cs="Tahoma"/>
          <w:sz w:val="16"/>
          <w:szCs w:val="16"/>
        </w:rPr>
      </w:pPr>
      <w:r w:rsidRPr="003D6C80">
        <w:rPr>
          <w:rFonts w:ascii="Tahoma" w:hAnsi="Tahoma"/>
          <w:sz w:val="16"/>
          <w:lang w:val="en-US"/>
        </w:rPr>
        <w:t>29.</w:t>
      </w:r>
      <w:r w:rsidRPr="003D6C80">
        <w:rPr>
          <w:lang w:val="en-US"/>
        </w:rPr>
        <w:tab/>
      </w:r>
      <w:r w:rsidRPr="003D6C80">
        <w:rPr>
          <w:rFonts w:ascii="Tahoma" w:hAnsi="Tahoma"/>
          <w:sz w:val="16"/>
          <w:lang w:val="en-US"/>
        </w:rPr>
        <w:t xml:space="preserve">Borisov SE, Dheda K, Enwerem M, Romero Leyet R, D'Ambrosio L, Centis R, et al. Effectiveness and safety of bedaquiline-containing regimens in the treatment of MDR- and XDR-TB: a multicentre study. </w:t>
      </w:r>
      <w:r w:rsidRPr="00554AB0" w:rsidR="00455819">
        <w:rPr>
          <w:rFonts w:ascii="Tahoma" w:hAnsi="Tahoma"/>
          <w:sz w:val="16"/>
        </w:rPr>
        <w:t>Eur Respir J. 2017;49(5).</w:t>
      </w:r>
    </w:p>
    <w:p w:rsidR="00DA3A70" w:rsidRPr="003D6C80" w:rsidP="0028467E" w14:paraId="55F94637" w14:textId="77777777">
      <w:pPr>
        <w:pStyle w:val="EndNoteBibliography"/>
        <w:spacing w:after="0"/>
        <w:ind w:left="426" w:hanging="426"/>
        <w:jc w:val="left"/>
        <w:rPr>
          <w:rFonts w:ascii="Tahoma" w:hAnsi="Tahoma" w:cs="Tahoma"/>
          <w:sz w:val="16"/>
          <w:szCs w:val="16"/>
          <w:lang w:val="en-US"/>
        </w:rPr>
      </w:pPr>
      <w:r w:rsidRPr="00554AB0">
        <w:rPr>
          <w:rFonts w:ascii="Tahoma" w:hAnsi="Tahoma"/>
          <w:sz w:val="16"/>
        </w:rPr>
        <w:t>30.</w:t>
      </w:r>
      <w:r w:rsidRPr="00554AB0">
        <w:tab/>
      </w:r>
      <w:r w:rsidRPr="00554AB0">
        <w:rPr>
          <w:rFonts w:ascii="Tahoma" w:hAnsi="Tahoma"/>
          <w:sz w:val="16"/>
        </w:rPr>
        <w:t xml:space="preserve">Blasi F, Dara M, van der Werf MJ, Migliori GB. </w:t>
      </w:r>
      <w:r w:rsidRPr="003D6C80" w:rsidR="0037060F">
        <w:rPr>
          <w:rFonts w:ascii="Tahoma" w:hAnsi="Tahoma"/>
          <w:sz w:val="16"/>
          <w:lang w:val="en-US"/>
        </w:rPr>
        <w:t>Supporting TB clinicians managing difficult cases: the ERS/WHO Consilium. Eur Respir J. 2013;41(3):491-494.</w:t>
      </w:r>
    </w:p>
    <w:p w:rsidR="00DA3A70" w:rsidRPr="003D6C80" w:rsidP="0028467E" w14:paraId="57078957" w14:textId="77777777">
      <w:pPr>
        <w:pStyle w:val="EndNoteBibliography"/>
        <w:spacing w:after="0"/>
        <w:ind w:left="426" w:hanging="426"/>
        <w:jc w:val="left"/>
        <w:rPr>
          <w:rFonts w:ascii="Tahoma" w:hAnsi="Tahoma" w:cs="Tahoma"/>
          <w:sz w:val="16"/>
          <w:szCs w:val="16"/>
          <w:lang w:val="en-US"/>
        </w:rPr>
      </w:pPr>
      <w:r w:rsidRPr="003D6C80">
        <w:rPr>
          <w:rFonts w:ascii="Tahoma" w:hAnsi="Tahoma"/>
          <w:sz w:val="16"/>
          <w:lang w:val="en-US"/>
        </w:rPr>
        <w:t>31.</w:t>
      </w:r>
      <w:r w:rsidRPr="003D6C80">
        <w:rPr>
          <w:lang w:val="en-US"/>
        </w:rPr>
        <w:tab/>
      </w:r>
      <w:r w:rsidRPr="003D6C80">
        <w:rPr>
          <w:rFonts w:ascii="Tahoma" w:hAnsi="Tahoma"/>
          <w:sz w:val="16"/>
          <w:lang w:val="en-US"/>
        </w:rPr>
        <w:t>Tadolini M, Garcia-Prats AJ, D'Ambrosio L, Hewison C, Centis R, Schaaf HS, et al. Compassionate use of new drugs in children and adolescents with multidrug-resistant and extensively drug-resistant tuberculosis: early experiences and challenges. Eur Respir J. 2016;48(3):938-943.</w:t>
      </w:r>
    </w:p>
    <w:p w:rsidR="00DA3A70" w:rsidRPr="003D6C80" w:rsidP="0028467E" w14:paraId="572CB4E2" w14:textId="77777777">
      <w:pPr>
        <w:pStyle w:val="EndNoteBibliography"/>
        <w:spacing w:after="0"/>
        <w:ind w:left="426" w:hanging="426"/>
        <w:jc w:val="left"/>
        <w:rPr>
          <w:rFonts w:ascii="Tahoma" w:hAnsi="Tahoma" w:cs="Tahoma"/>
          <w:sz w:val="16"/>
          <w:szCs w:val="16"/>
          <w:lang w:val="en-US"/>
        </w:rPr>
      </w:pPr>
      <w:r w:rsidRPr="003D6C80">
        <w:rPr>
          <w:rFonts w:ascii="Tahoma" w:hAnsi="Tahoma"/>
          <w:sz w:val="16"/>
          <w:lang w:val="en-US"/>
        </w:rPr>
        <w:t>32.</w:t>
      </w:r>
      <w:r w:rsidRPr="003D6C80">
        <w:rPr>
          <w:lang w:val="en-US"/>
        </w:rPr>
        <w:tab/>
      </w:r>
      <w:r w:rsidRPr="003D6C80">
        <w:rPr>
          <w:rFonts w:ascii="Tahoma" w:hAnsi="Tahoma"/>
          <w:sz w:val="16"/>
          <w:lang w:val="en-US"/>
        </w:rPr>
        <w:t>Lange C, Abubakar I, Alffenaar JW, Bothamley G, Caminero JA, Carvalho AC, et al. Management of patients with multidrug-resistant/extensively drug-resistant tuberculosis in Europe: a TBNET consensus statement. Eur Respir J. 2014;44(1):23-63.</w:t>
      </w:r>
    </w:p>
    <w:p w:rsidR="00DA3A70" w:rsidRPr="003D6C80" w:rsidP="0028467E" w14:paraId="6924199E" w14:textId="77777777">
      <w:pPr>
        <w:pStyle w:val="EndNoteBibliography"/>
        <w:spacing w:after="0"/>
        <w:ind w:left="426" w:hanging="426"/>
        <w:jc w:val="left"/>
        <w:rPr>
          <w:rFonts w:ascii="Tahoma" w:hAnsi="Tahoma" w:cs="Tahoma"/>
          <w:sz w:val="16"/>
          <w:szCs w:val="16"/>
          <w:lang w:val="en-US"/>
        </w:rPr>
      </w:pPr>
      <w:r w:rsidRPr="003D6C80">
        <w:rPr>
          <w:rFonts w:ascii="Tahoma" w:hAnsi="Tahoma"/>
          <w:sz w:val="16"/>
          <w:lang w:val="en-US"/>
        </w:rPr>
        <w:t>33.</w:t>
      </w:r>
      <w:r w:rsidRPr="003D6C80">
        <w:rPr>
          <w:lang w:val="en-US"/>
        </w:rPr>
        <w:tab/>
      </w:r>
      <w:r w:rsidRPr="003D6C80">
        <w:rPr>
          <w:rFonts w:ascii="Tahoma" w:hAnsi="Tahoma"/>
          <w:sz w:val="16"/>
          <w:lang w:val="en-US"/>
        </w:rPr>
        <w:t>Caminero JA. Management of multidrug-resistant tuberculosis and patients in retreatment. Eur Respir J. 2005;25(5):928-936.</w:t>
      </w:r>
    </w:p>
    <w:p w:rsidR="00DA3A70" w:rsidRPr="003D6C80" w:rsidP="0028467E" w14:paraId="28F7A23C" w14:textId="77777777">
      <w:pPr>
        <w:pStyle w:val="EndNoteBibliography"/>
        <w:spacing w:after="0"/>
        <w:ind w:left="426" w:hanging="426"/>
        <w:jc w:val="left"/>
        <w:rPr>
          <w:rFonts w:ascii="Tahoma" w:hAnsi="Tahoma" w:cs="Tahoma"/>
          <w:sz w:val="16"/>
          <w:szCs w:val="16"/>
          <w:lang w:val="en-US"/>
        </w:rPr>
      </w:pPr>
      <w:r w:rsidRPr="003D6C80">
        <w:rPr>
          <w:rFonts w:ascii="Tahoma" w:hAnsi="Tahoma"/>
          <w:sz w:val="16"/>
          <w:lang w:val="en-US"/>
        </w:rPr>
        <w:t>34.</w:t>
      </w:r>
      <w:r w:rsidRPr="003D6C80">
        <w:rPr>
          <w:lang w:val="en-US"/>
        </w:rPr>
        <w:tab/>
      </w:r>
      <w:r w:rsidRPr="003D6C80">
        <w:rPr>
          <w:rFonts w:ascii="Tahoma" w:hAnsi="Tahoma"/>
          <w:sz w:val="16"/>
          <w:lang w:val="en-US"/>
        </w:rPr>
        <w:t>World Health Organization. WHO policy on collaborative TB/HIV activities: guidelines for national programmes and other stakeholders. Geneva: World Health Organization; 2012.</w:t>
      </w:r>
    </w:p>
    <w:p w:rsidR="00DA3A70" w:rsidRPr="003D6C80" w:rsidP="0028467E" w14:paraId="3F17977C" w14:textId="77777777">
      <w:pPr>
        <w:pStyle w:val="EndNoteBibliography"/>
        <w:spacing w:after="0"/>
        <w:ind w:left="426" w:hanging="426"/>
        <w:jc w:val="left"/>
        <w:rPr>
          <w:rFonts w:ascii="Tahoma" w:hAnsi="Tahoma" w:cs="Tahoma"/>
          <w:sz w:val="16"/>
          <w:szCs w:val="16"/>
          <w:lang w:val="en-US"/>
        </w:rPr>
      </w:pPr>
      <w:r w:rsidRPr="003D6C80">
        <w:rPr>
          <w:rFonts w:ascii="Tahoma" w:hAnsi="Tahoma"/>
          <w:sz w:val="16"/>
          <w:lang w:val="en-US"/>
        </w:rPr>
        <w:t>35.</w:t>
      </w:r>
      <w:r w:rsidRPr="003D6C80">
        <w:rPr>
          <w:lang w:val="en-US"/>
        </w:rPr>
        <w:tab/>
      </w:r>
      <w:r w:rsidRPr="003D6C80">
        <w:rPr>
          <w:rFonts w:ascii="Tahoma" w:hAnsi="Tahoma"/>
          <w:sz w:val="16"/>
          <w:lang w:val="en-US"/>
        </w:rPr>
        <w:t>European Centre for Disease Prevention and Control. Management of contacts of MDRTB and XDR TB patients. Stockholm: ECDC; 2012.</w:t>
      </w:r>
    </w:p>
    <w:p w:rsidR="00DA3A70" w:rsidRPr="00554AB0" w:rsidP="0028467E" w14:paraId="071B5906" w14:textId="77777777">
      <w:pPr>
        <w:pStyle w:val="EndNoteBibliography"/>
        <w:spacing w:after="0"/>
        <w:ind w:left="426" w:hanging="426"/>
        <w:jc w:val="left"/>
        <w:rPr>
          <w:rFonts w:ascii="Tahoma" w:hAnsi="Tahoma" w:cs="Tahoma"/>
          <w:sz w:val="16"/>
          <w:szCs w:val="16"/>
        </w:rPr>
      </w:pPr>
      <w:r w:rsidRPr="003D6C80">
        <w:rPr>
          <w:rFonts w:ascii="Tahoma" w:hAnsi="Tahoma"/>
          <w:sz w:val="16"/>
          <w:lang w:val="en-US"/>
        </w:rPr>
        <w:t>36.</w:t>
      </w:r>
      <w:r w:rsidRPr="003D6C80">
        <w:rPr>
          <w:lang w:val="en-US"/>
        </w:rPr>
        <w:tab/>
      </w:r>
      <w:r w:rsidRPr="003D6C80">
        <w:rPr>
          <w:rFonts w:ascii="Tahoma" w:hAnsi="Tahoma"/>
          <w:sz w:val="16"/>
          <w:lang w:val="en-US"/>
        </w:rPr>
        <w:t xml:space="preserve">World Health Organization. Guidelines on the management of latent tuberculosis infection. </w:t>
      </w:r>
      <w:r w:rsidRPr="00554AB0" w:rsidR="00455819">
        <w:rPr>
          <w:rFonts w:ascii="Tahoma" w:hAnsi="Tahoma"/>
          <w:sz w:val="16"/>
        </w:rPr>
        <w:t>2015.</w:t>
      </w:r>
    </w:p>
    <w:p w:rsidR="00DA3A70" w:rsidRPr="003D6C80" w:rsidP="0028467E" w14:paraId="3F330103" w14:textId="77777777">
      <w:pPr>
        <w:pStyle w:val="EndNoteBibliography"/>
        <w:spacing w:after="0"/>
        <w:ind w:left="426" w:hanging="426"/>
        <w:jc w:val="left"/>
        <w:rPr>
          <w:rFonts w:ascii="Tahoma" w:hAnsi="Tahoma" w:cs="Tahoma"/>
          <w:sz w:val="16"/>
          <w:szCs w:val="16"/>
          <w:lang w:val="en-US"/>
        </w:rPr>
      </w:pPr>
      <w:r w:rsidRPr="00554AB0">
        <w:rPr>
          <w:rFonts w:ascii="Tahoma" w:hAnsi="Tahoma"/>
          <w:sz w:val="16"/>
        </w:rPr>
        <w:t>37.</w:t>
      </w:r>
      <w:r w:rsidRPr="00554AB0">
        <w:tab/>
      </w:r>
      <w:r w:rsidRPr="00554AB0">
        <w:rPr>
          <w:rFonts w:ascii="Tahoma" w:hAnsi="Tahoma"/>
          <w:sz w:val="16"/>
        </w:rPr>
        <w:t xml:space="preserve">Zenner D, Beer N, Harris RJ, Lipman MC, Stagg HR, van der Werf MJ. </w:t>
      </w:r>
      <w:r w:rsidRPr="003D6C80" w:rsidR="0037060F">
        <w:rPr>
          <w:rFonts w:ascii="Tahoma" w:hAnsi="Tahoma"/>
          <w:sz w:val="16"/>
          <w:lang w:val="en-US"/>
        </w:rPr>
        <w:t>Treatment of Latent Tuberculosis Infection: An Updated Network Meta-analysis. Ann Intern Med. 2017;167(4):248-255.</w:t>
      </w:r>
    </w:p>
    <w:p w:rsidR="00DA3A70" w:rsidRPr="003D6C80" w:rsidP="0028467E" w14:paraId="22BAB505" w14:textId="77777777">
      <w:pPr>
        <w:pStyle w:val="EndNoteBibliography"/>
        <w:spacing w:after="0"/>
        <w:ind w:left="426" w:hanging="426"/>
        <w:jc w:val="left"/>
        <w:rPr>
          <w:rFonts w:ascii="Tahoma" w:hAnsi="Tahoma" w:cs="Tahoma"/>
          <w:sz w:val="16"/>
          <w:szCs w:val="16"/>
          <w:lang w:val="en-US"/>
        </w:rPr>
      </w:pPr>
      <w:r w:rsidRPr="003D6C80">
        <w:rPr>
          <w:rFonts w:ascii="Tahoma" w:hAnsi="Tahoma"/>
          <w:sz w:val="16"/>
          <w:lang w:val="en-US"/>
        </w:rPr>
        <w:t>38.</w:t>
      </w:r>
      <w:r w:rsidRPr="003D6C80">
        <w:rPr>
          <w:lang w:val="en-US"/>
        </w:rPr>
        <w:tab/>
      </w:r>
      <w:r w:rsidRPr="003D6C80">
        <w:rPr>
          <w:rFonts w:ascii="Tahoma" w:hAnsi="Tahoma"/>
          <w:sz w:val="16"/>
          <w:lang w:val="en-US"/>
        </w:rPr>
        <w:t>Getahun H, Matteelli A, Abubakar I, Aziz MA, Baddeley A, Barreira D, et al. Management of latent Mycobacterium tuberculosis infection: WHO guidelines for low tuberculosis burden countries. Eur Respir J. 2015;46(6):1563-1576.</w:t>
      </w:r>
    </w:p>
    <w:p w:rsidR="00DA3A70" w:rsidRPr="003D6C80" w:rsidP="0028467E" w14:paraId="6FBF4DFD" w14:textId="77777777">
      <w:pPr>
        <w:pStyle w:val="EndNoteBibliography"/>
        <w:spacing w:after="0"/>
        <w:ind w:left="426" w:hanging="426"/>
        <w:jc w:val="left"/>
        <w:rPr>
          <w:rFonts w:ascii="Tahoma" w:hAnsi="Tahoma" w:cs="Tahoma"/>
          <w:sz w:val="16"/>
          <w:szCs w:val="16"/>
          <w:lang w:val="en-US"/>
        </w:rPr>
      </w:pPr>
      <w:r w:rsidRPr="003D6C80">
        <w:rPr>
          <w:rFonts w:ascii="Tahoma" w:hAnsi="Tahoma"/>
          <w:sz w:val="16"/>
          <w:lang w:val="en-US"/>
        </w:rPr>
        <w:t>39.</w:t>
      </w:r>
      <w:r w:rsidRPr="003D6C80">
        <w:rPr>
          <w:lang w:val="en-US"/>
        </w:rPr>
        <w:tab/>
      </w:r>
      <w:r w:rsidRPr="003D6C80">
        <w:rPr>
          <w:rFonts w:ascii="Tahoma" w:hAnsi="Tahoma"/>
          <w:sz w:val="16"/>
          <w:lang w:val="en-US"/>
        </w:rPr>
        <w:t>Creswell J, Raviglione M, Ottmani S, Migliori GB, Uplekar M, Blanc L, et al. Tuberculosis and noncommunicable diseases: neglected links and missed opportunities. Eur Respir J. 2011;37(5):1269-1282.</w:t>
      </w:r>
    </w:p>
    <w:p w:rsidR="00DA3A70" w:rsidRPr="003D6C80" w:rsidP="0028467E" w14:paraId="191FE690" w14:textId="77777777">
      <w:pPr>
        <w:pStyle w:val="EndNoteBibliography"/>
        <w:spacing w:after="0"/>
        <w:ind w:left="426" w:hanging="426"/>
        <w:jc w:val="left"/>
        <w:rPr>
          <w:rFonts w:ascii="Tahoma" w:hAnsi="Tahoma" w:cs="Tahoma"/>
          <w:sz w:val="16"/>
          <w:szCs w:val="16"/>
          <w:lang w:val="en-US"/>
        </w:rPr>
      </w:pPr>
      <w:r w:rsidRPr="003D6C80">
        <w:rPr>
          <w:rFonts w:ascii="Tahoma" w:hAnsi="Tahoma"/>
          <w:sz w:val="16"/>
          <w:lang w:val="en-US"/>
        </w:rPr>
        <w:t>40.</w:t>
      </w:r>
      <w:r w:rsidRPr="003D6C80">
        <w:rPr>
          <w:lang w:val="en-US"/>
        </w:rPr>
        <w:tab/>
      </w:r>
      <w:r w:rsidRPr="003D6C80">
        <w:rPr>
          <w:rFonts w:ascii="Tahoma" w:hAnsi="Tahoma"/>
          <w:sz w:val="16"/>
          <w:lang w:val="en-US"/>
        </w:rPr>
        <w:t>Erkens CG, Kamphorst M, Abubakar I, Bothamley GH, Chemtob D, Haas W, et al. Tuberculosis contact investigation in low prevalence countries: a European consensus. Eur Respir J. 2010;36(4):925-949.</w:t>
      </w:r>
    </w:p>
    <w:p w:rsidR="00DA3A70" w:rsidRPr="003D6C80" w:rsidP="0028467E" w14:paraId="77DCDB54" w14:textId="77777777">
      <w:pPr>
        <w:pStyle w:val="EndNoteBibliography"/>
        <w:spacing w:after="0"/>
        <w:ind w:left="426" w:hanging="426"/>
        <w:jc w:val="left"/>
        <w:rPr>
          <w:rFonts w:ascii="Tahoma" w:hAnsi="Tahoma" w:cs="Tahoma"/>
          <w:sz w:val="16"/>
          <w:szCs w:val="16"/>
          <w:lang w:val="en-US"/>
        </w:rPr>
      </w:pPr>
      <w:r w:rsidRPr="003D6C80">
        <w:rPr>
          <w:rFonts w:ascii="Tahoma" w:hAnsi="Tahoma"/>
          <w:sz w:val="16"/>
          <w:lang w:val="en-US"/>
        </w:rPr>
        <w:t>41.</w:t>
      </w:r>
      <w:r w:rsidRPr="003D6C80">
        <w:rPr>
          <w:lang w:val="en-US"/>
        </w:rPr>
        <w:tab/>
      </w:r>
      <w:r w:rsidRPr="003D6C80">
        <w:rPr>
          <w:rFonts w:ascii="Tahoma" w:hAnsi="Tahoma"/>
          <w:sz w:val="16"/>
          <w:lang w:val="en-US"/>
        </w:rPr>
        <w:t>Luzzati R, Migliori G, Zignol M, Cirillo D, Maschi M, Tominz R, et al. Children under 5 years are at risk for tuberculosis after occasional contact with highly contagious patients: an out-patient outbreak from a smear positive health care worker. Eur Respir J. 2017;In press.</w:t>
      </w:r>
    </w:p>
    <w:p w:rsidR="00DA3A70" w:rsidRPr="003D6C80" w:rsidP="0028467E" w14:paraId="6ED72E7B" w14:textId="77777777">
      <w:pPr>
        <w:pStyle w:val="EndNoteBibliography"/>
        <w:spacing w:after="0"/>
        <w:ind w:left="426" w:hanging="426"/>
        <w:jc w:val="left"/>
        <w:rPr>
          <w:rFonts w:ascii="Tahoma" w:hAnsi="Tahoma" w:cs="Tahoma"/>
          <w:sz w:val="16"/>
          <w:szCs w:val="16"/>
          <w:lang w:val="en-US"/>
        </w:rPr>
      </w:pPr>
      <w:r w:rsidRPr="003D6C80">
        <w:rPr>
          <w:rFonts w:ascii="Tahoma" w:hAnsi="Tahoma"/>
          <w:sz w:val="16"/>
          <w:lang w:val="en-US"/>
        </w:rPr>
        <w:t>42.</w:t>
      </w:r>
      <w:r w:rsidRPr="003D6C80">
        <w:rPr>
          <w:lang w:val="en-US"/>
        </w:rPr>
        <w:tab/>
      </w:r>
      <w:r w:rsidRPr="003D6C80">
        <w:rPr>
          <w:rFonts w:ascii="Tahoma" w:hAnsi="Tahoma"/>
          <w:sz w:val="16"/>
          <w:lang w:val="en-US"/>
        </w:rPr>
        <w:t>European Centre for Disease Prevention and Control. Guidance on tuberculosis control in vulnerable and hard-to-reach populations. Stockholm: ECDC; 2016.</w:t>
      </w:r>
    </w:p>
    <w:p w:rsidR="00DA3A70" w:rsidRPr="003D6C80" w:rsidP="0028467E" w14:paraId="501F2662" w14:textId="77777777">
      <w:pPr>
        <w:pStyle w:val="EndNoteBibliography"/>
        <w:spacing w:after="0"/>
        <w:ind w:left="426" w:hanging="426"/>
        <w:jc w:val="left"/>
        <w:rPr>
          <w:rFonts w:ascii="Tahoma" w:hAnsi="Tahoma" w:cs="Tahoma"/>
          <w:sz w:val="16"/>
          <w:szCs w:val="16"/>
          <w:lang w:val="en-US"/>
        </w:rPr>
      </w:pPr>
      <w:r w:rsidRPr="003D6C80">
        <w:rPr>
          <w:rFonts w:ascii="Tahoma" w:hAnsi="Tahoma"/>
          <w:sz w:val="16"/>
          <w:lang w:val="en-US"/>
        </w:rPr>
        <w:t>43.</w:t>
      </w:r>
      <w:r w:rsidRPr="003D6C80">
        <w:rPr>
          <w:lang w:val="en-US"/>
        </w:rPr>
        <w:tab/>
      </w:r>
      <w:r w:rsidRPr="003D6C80">
        <w:rPr>
          <w:rFonts w:ascii="Tahoma" w:hAnsi="Tahoma"/>
          <w:sz w:val="16"/>
          <w:lang w:val="en-US"/>
        </w:rPr>
        <w:t>National Instititute for Health and Care Excellence. Tuberculosis (NG33). London: NICE; 2016.</w:t>
      </w:r>
    </w:p>
    <w:p w:rsidR="00DA3A70" w:rsidRPr="00554AB0" w:rsidP="0028467E" w14:paraId="561067A0" w14:textId="77777777">
      <w:pPr>
        <w:pStyle w:val="EndNoteBibliography"/>
        <w:spacing w:after="0"/>
        <w:ind w:left="426" w:hanging="426"/>
        <w:jc w:val="left"/>
        <w:rPr>
          <w:rFonts w:ascii="Tahoma" w:hAnsi="Tahoma" w:cs="Tahoma"/>
          <w:sz w:val="16"/>
          <w:szCs w:val="16"/>
        </w:rPr>
      </w:pPr>
      <w:r w:rsidRPr="003D6C80">
        <w:rPr>
          <w:rFonts w:ascii="Tahoma" w:hAnsi="Tahoma"/>
          <w:sz w:val="16"/>
          <w:lang w:val="en-US"/>
        </w:rPr>
        <w:t>44.</w:t>
      </w:r>
      <w:r w:rsidRPr="003D6C80">
        <w:rPr>
          <w:lang w:val="en-US"/>
        </w:rPr>
        <w:tab/>
      </w:r>
      <w:r w:rsidRPr="003D6C80">
        <w:rPr>
          <w:rFonts w:ascii="Tahoma" w:hAnsi="Tahoma"/>
          <w:sz w:val="16"/>
          <w:lang w:val="en-US"/>
        </w:rPr>
        <w:t xml:space="preserve">Dara M, de Colombani P, Petrova-Benedict R, Centis R, Zellweger JP, Sandgren A, et al. Wolfheze Transborder Migration Task F. Minimum package for cross-border TB control and care in the WHO European region: a Wolfheze consensus statement. </w:t>
      </w:r>
      <w:r w:rsidRPr="00554AB0" w:rsidR="00455819">
        <w:rPr>
          <w:rFonts w:ascii="Tahoma" w:hAnsi="Tahoma"/>
          <w:sz w:val="16"/>
        </w:rPr>
        <w:t>Eur Respir J. 2012;40(5):1081-1090.</w:t>
      </w:r>
    </w:p>
    <w:p w:rsidR="00DA3A70" w:rsidRPr="003D6C80" w:rsidP="0028467E" w14:paraId="4E643FCA" w14:textId="77777777">
      <w:pPr>
        <w:pStyle w:val="EndNoteBibliography"/>
        <w:spacing w:after="0"/>
        <w:ind w:left="426" w:hanging="426"/>
        <w:jc w:val="left"/>
        <w:rPr>
          <w:rFonts w:ascii="Tahoma" w:hAnsi="Tahoma" w:cs="Tahoma"/>
          <w:sz w:val="16"/>
          <w:szCs w:val="16"/>
          <w:lang w:val="en-US"/>
        </w:rPr>
      </w:pPr>
      <w:r w:rsidRPr="00554AB0">
        <w:rPr>
          <w:rFonts w:ascii="Tahoma" w:hAnsi="Tahoma"/>
          <w:sz w:val="16"/>
        </w:rPr>
        <w:t>45.</w:t>
      </w:r>
      <w:r w:rsidRPr="00554AB0">
        <w:tab/>
      </w:r>
      <w:r w:rsidRPr="00554AB0">
        <w:rPr>
          <w:rFonts w:ascii="Tahoma" w:hAnsi="Tahoma"/>
          <w:sz w:val="16"/>
        </w:rPr>
        <w:t xml:space="preserve">Leung CC, Rieder HL, Lange C, Yew WW. </w:t>
      </w:r>
      <w:r w:rsidRPr="003D6C80" w:rsidR="0037060F">
        <w:rPr>
          <w:rFonts w:ascii="Tahoma" w:hAnsi="Tahoma"/>
          <w:sz w:val="16"/>
          <w:lang w:val="en-US"/>
        </w:rPr>
        <w:t>Treatment of latent infection with Mycobacterium tuberculosis: update 2010. Eur Respir J. 2011;37(3):690-711.</w:t>
      </w:r>
    </w:p>
    <w:p w:rsidR="00DA3A70" w:rsidRPr="003D6C80" w:rsidP="0028467E" w14:paraId="76EFF9FA" w14:textId="77777777">
      <w:pPr>
        <w:pStyle w:val="EndNoteBibliography"/>
        <w:spacing w:after="0"/>
        <w:ind w:left="426" w:hanging="426"/>
        <w:jc w:val="left"/>
        <w:rPr>
          <w:rFonts w:ascii="Tahoma" w:hAnsi="Tahoma" w:cs="Tahoma"/>
          <w:sz w:val="16"/>
          <w:szCs w:val="16"/>
          <w:lang w:val="en-US"/>
        </w:rPr>
      </w:pPr>
      <w:r w:rsidRPr="003D6C80">
        <w:rPr>
          <w:rFonts w:ascii="Tahoma" w:hAnsi="Tahoma"/>
          <w:sz w:val="16"/>
          <w:lang w:val="en-US"/>
        </w:rPr>
        <w:t>46.</w:t>
      </w:r>
      <w:r w:rsidRPr="003D6C80">
        <w:rPr>
          <w:lang w:val="en-US"/>
        </w:rPr>
        <w:tab/>
      </w:r>
      <w:r w:rsidRPr="003D6C80">
        <w:rPr>
          <w:rFonts w:ascii="Tahoma" w:hAnsi="Tahoma"/>
          <w:sz w:val="16"/>
          <w:lang w:val="en-US"/>
        </w:rPr>
        <w:t>Woldehanna S, Volmink J. Treatment of latent tuberculosis infection in HIV infected persons. The Cochrane database of systematic reviews. 2004(1):Cd000171.</w:t>
      </w:r>
    </w:p>
    <w:p w:rsidR="00DA3A70" w:rsidRPr="003D6C80" w:rsidP="0028467E" w14:paraId="6F55E49A" w14:textId="77777777">
      <w:pPr>
        <w:pStyle w:val="EndNoteBibliography"/>
        <w:spacing w:after="0"/>
        <w:ind w:left="426" w:hanging="426"/>
        <w:jc w:val="left"/>
        <w:rPr>
          <w:rFonts w:ascii="Tahoma" w:hAnsi="Tahoma" w:cs="Tahoma"/>
          <w:sz w:val="16"/>
          <w:szCs w:val="16"/>
          <w:lang w:val="en-US"/>
        </w:rPr>
      </w:pPr>
      <w:r w:rsidRPr="003D6C80">
        <w:rPr>
          <w:rFonts w:ascii="Tahoma" w:hAnsi="Tahoma"/>
          <w:sz w:val="16"/>
          <w:lang w:val="en-US"/>
        </w:rPr>
        <w:t>47.</w:t>
      </w:r>
      <w:r w:rsidRPr="003D6C80">
        <w:rPr>
          <w:lang w:val="en-US"/>
        </w:rPr>
        <w:tab/>
      </w:r>
      <w:r w:rsidRPr="003D6C80">
        <w:rPr>
          <w:rFonts w:ascii="Tahoma" w:hAnsi="Tahoma"/>
          <w:sz w:val="16"/>
          <w:lang w:val="en-US"/>
        </w:rPr>
        <w:t>European Centre for Disease Prevention and Control. Investigation and control of tuberculosis incidents affecting children in congregate settings. Stockholm: ECDC; 2013.</w:t>
      </w:r>
    </w:p>
    <w:p w:rsidR="00DA3A70" w:rsidRPr="003D6C80" w:rsidP="0028467E" w14:paraId="4D2FE0A8" w14:textId="77777777">
      <w:pPr>
        <w:pStyle w:val="EndNoteBibliography"/>
        <w:spacing w:after="0"/>
        <w:ind w:left="426" w:hanging="426"/>
        <w:jc w:val="left"/>
        <w:rPr>
          <w:rFonts w:ascii="Tahoma" w:hAnsi="Tahoma" w:cs="Tahoma"/>
          <w:sz w:val="16"/>
          <w:szCs w:val="16"/>
          <w:lang w:val="en-US"/>
        </w:rPr>
      </w:pPr>
      <w:r w:rsidRPr="003D6C80">
        <w:rPr>
          <w:rFonts w:ascii="Tahoma" w:hAnsi="Tahoma"/>
          <w:sz w:val="16"/>
          <w:lang w:val="en-US"/>
        </w:rPr>
        <w:t>48.</w:t>
      </w:r>
      <w:r w:rsidRPr="003D6C80">
        <w:rPr>
          <w:lang w:val="en-US"/>
        </w:rPr>
        <w:tab/>
      </w:r>
      <w:r w:rsidRPr="003D6C80">
        <w:rPr>
          <w:rFonts w:ascii="Tahoma" w:hAnsi="Tahoma"/>
          <w:sz w:val="16"/>
          <w:lang w:val="en-US"/>
        </w:rPr>
        <w:t>Mack U, Migliori GB, Sester M, Rieder HL, Ehlers S, Goletti D, et al. Tbnet. LTBI: latent tuberculosis infection or lasting immune responses to M. tuberculosis? A TBNET consensus statement. Eur Respir J. 2009;33(5):956-973.</w:t>
      </w:r>
    </w:p>
    <w:p w:rsidR="00DA3A70" w:rsidRPr="003D6C80" w:rsidP="0028467E" w14:paraId="40CA587C" w14:textId="77777777">
      <w:pPr>
        <w:pStyle w:val="EndNoteBibliography"/>
        <w:spacing w:after="0"/>
        <w:ind w:left="426" w:hanging="426"/>
        <w:jc w:val="left"/>
        <w:rPr>
          <w:rFonts w:ascii="Tahoma" w:hAnsi="Tahoma" w:cs="Tahoma"/>
          <w:sz w:val="16"/>
          <w:szCs w:val="16"/>
          <w:lang w:val="en-US"/>
        </w:rPr>
      </w:pPr>
      <w:r w:rsidRPr="003D6C80">
        <w:rPr>
          <w:rFonts w:ascii="Tahoma" w:hAnsi="Tahoma"/>
          <w:sz w:val="16"/>
          <w:lang w:val="en-US"/>
        </w:rPr>
        <w:t>49.</w:t>
      </w:r>
      <w:r w:rsidRPr="003D6C80">
        <w:rPr>
          <w:lang w:val="en-US"/>
        </w:rPr>
        <w:tab/>
      </w:r>
      <w:r w:rsidRPr="003D6C80">
        <w:rPr>
          <w:rFonts w:ascii="Tahoma" w:hAnsi="Tahoma"/>
          <w:sz w:val="16"/>
          <w:lang w:val="en-US"/>
        </w:rPr>
        <w:t>Lange C, Rieder HL. Intention to test is intention to treat. Am J Respir Crit Care Med. 2011;183(1):3-4.</w:t>
      </w:r>
    </w:p>
    <w:p w:rsidR="00DA3A70" w:rsidRPr="003D6C80" w:rsidP="0028467E" w14:paraId="2DB16384" w14:textId="77777777">
      <w:pPr>
        <w:pStyle w:val="EndNoteBibliography"/>
        <w:spacing w:after="0"/>
        <w:ind w:left="426" w:hanging="426"/>
        <w:jc w:val="left"/>
        <w:rPr>
          <w:rFonts w:ascii="Tahoma" w:hAnsi="Tahoma" w:cs="Tahoma"/>
          <w:sz w:val="16"/>
          <w:szCs w:val="16"/>
          <w:lang w:val="en-US"/>
        </w:rPr>
      </w:pPr>
      <w:r w:rsidRPr="003D6C80">
        <w:rPr>
          <w:rFonts w:ascii="Tahoma" w:hAnsi="Tahoma"/>
          <w:sz w:val="16"/>
          <w:lang w:val="en-US"/>
        </w:rPr>
        <w:t>50.</w:t>
      </w:r>
      <w:r w:rsidRPr="003D6C80">
        <w:rPr>
          <w:lang w:val="en-US"/>
        </w:rPr>
        <w:tab/>
      </w:r>
      <w:r w:rsidRPr="003D6C80">
        <w:rPr>
          <w:rFonts w:ascii="Tahoma" w:hAnsi="Tahoma"/>
          <w:sz w:val="16"/>
          <w:lang w:val="en-US"/>
        </w:rPr>
        <w:t>World Health Organization. WHO policy on TB infection control in health - care facilities, congregate settings and households. Geneva: World Health Organization; 2009.</w:t>
      </w:r>
    </w:p>
    <w:p w:rsidR="00DA3A70" w:rsidRPr="003D6C80" w:rsidP="0028467E" w14:paraId="094389F6" w14:textId="77777777">
      <w:pPr>
        <w:pStyle w:val="EndNoteBibliography"/>
        <w:spacing w:after="0"/>
        <w:ind w:left="426" w:hanging="426"/>
        <w:jc w:val="left"/>
        <w:rPr>
          <w:rFonts w:ascii="Tahoma" w:hAnsi="Tahoma" w:cs="Tahoma"/>
          <w:sz w:val="16"/>
          <w:szCs w:val="16"/>
          <w:lang w:val="en-US"/>
        </w:rPr>
      </w:pPr>
      <w:r w:rsidRPr="003D6C80">
        <w:rPr>
          <w:rFonts w:ascii="Tahoma" w:hAnsi="Tahoma"/>
          <w:sz w:val="16"/>
          <w:lang w:val="en-US"/>
        </w:rPr>
        <w:t>51.</w:t>
      </w:r>
      <w:r w:rsidRPr="003D6C80">
        <w:rPr>
          <w:lang w:val="en-US"/>
        </w:rPr>
        <w:tab/>
      </w:r>
      <w:r w:rsidRPr="003D6C80">
        <w:rPr>
          <w:rFonts w:ascii="Tahoma" w:hAnsi="Tahoma"/>
          <w:sz w:val="16"/>
          <w:lang w:val="en-US"/>
        </w:rPr>
        <w:t>Sotgiu G, D'Ambrosio L, Centis R, Bothamley G, Cirillo DM, De Lorenzo S, et al. TB and M/XDR-TB infection control in European TB reference centres: the Achilles' heel? Eur Respir J. 2011;38(5):1221-1223.</w:t>
      </w:r>
    </w:p>
    <w:p w:rsidR="00DA3A70" w:rsidRPr="003D6C80" w:rsidP="0028467E" w14:paraId="7F104F05" w14:textId="77777777">
      <w:pPr>
        <w:pStyle w:val="EndNoteBibliography"/>
        <w:spacing w:after="0"/>
        <w:ind w:left="426" w:hanging="426"/>
        <w:jc w:val="left"/>
        <w:rPr>
          <w:rFonts w:ascii="Tahoma" w:hAnsi="Tahoma" w:cs="Tahoma"/>
          <w:sz w:val="16"/>
          <w:szCs w:val="16"/>
          <w:lang w:val="en-US"/>
        </w:rPr>
      </w:pPr>
      <w:r w:rsidRPr="003D6C80">
        <w:rPr>
          <w:rFonts w:ascii="Tahoma" w:hAnsi="Tahoma"/>
          <w:sz w:val="16"/>
          <w:lang w:val="en-US"/>
        </w:rPr>
        <w:t>52.</w:t>
      </w:r>
      <w:r w:rsidRPr="003D6C80">
        <w:rPr>
          <w:lang w:val="en-US"/>
        </w:rPr>
        <w:tab/>
      </w:r>
      <w:r w:rsidRPr="003D6C80">
        <w:rPr>
          <w:rFonts w:ascii="Tahoma" w:hAnsi="Tahoma"/>
          <w:sz w:val="16"/>
          <w:lang w:val="en-US"/>
        </w:rPr>
        <w:t>Matteelli A, Centis R, D'Ambrosio L, Sotgiu G, Tadolini M, Pontali E, et al. WHO strategies for the programmatic management of drug-resistant tuberculosis. Expert Rev Respir Med. 2016;10(9):991-1002.</w:t>
      </w:r>
    </w:p>
    <w:p w:rsidR="00DA3A70" w:rsidRPr="003D6C80" w:rsidP="0028467E" w14:paraId="2FB47CE9" w14:textId="77777777">
      <w:pPr>
        <w:pStyle w:val="EndNoteBibliography"/>
        <w:spacing w:after="0"/>
        <w:ind w:left="426" w:hanging="426"/>
        <w:jc w:val="left"/>
        <w:rPr>
          <w:rFonts w:ascii="Tahoma" w:hAnsi="Tahoma" w:cs="Tahoma"/>
          <w:sz w:val="16"/>
          <w:szCs w:val="16"/>
          <w:lang w:val="en-US"/>
        </w:rPr>
      </w:pPr>
      <w:r w:rsidRPr="003D6C80">
        <w:rPr>
          <w:rFonts w:ascii="Tahoma" w:hAnsi="Tahoma"/>
          <w:sz w:val="16"/>
          <w:lang w:val="en-US"/>
        </w:rPr>
        <w:t>53.</w:t>
      </w:r>
      <w:r w:rsidRPr="003D6C80">
        <w:rPr>
          <w:lang w:val="en-US"/>
        </w:rPr>
        <w:tab/>
      </w:r>
      <w:r w:rsidRPr="003D6C80">
        <w:rPr>
          <w:rFonts w:ascii="Tahoma" w:hAnsi="Tahoma"/>
          <w:sz w:val="16"/>
          <w:lang w:val="en-US"/>
        </w:rPr>
        <w:t>Laserson KF, Thorpe LE, Leimane V, Weyer K, Mitnick CD, Riekstina V, et al. Speaking the same language: treatment outcome definitions for multidrug-resistant tuberculosis. Int J Tuberc Lung Dis. 2005;9(6):640-645.</w:t>
      </w:r>
    </w:p>
    <w:p w:rsidR="00DA3A70" w:rsidRPr="003D6C80" w:rsidP="0028467E" w14:paraId="3A28C77E" w14:textId="77777777">
      <w:pPr>
        <w:pStyle w:val="EndNoteBibliography"/>
        <w:spacing w:after="0"/>
        <w:ind w:left="426" w:hanging="426"/>
        <w:jc w:val="left"/>
        <w:rPr>
          <w:rFonts w:ascii="Tahoma" w:hAnsi="Tahoma" w:cs="Tahoma"/>
          <w:sz w:val="16"/>
          <w:szCs w:val="16"/>
          <w:lang w:val="en-US"/>
        </w:rPr>
      </w:pPr>
      <w:r w:rsidRPr="003D6C80">
        <w:rPr>
          <w:rFonts w:ascii="Tahoma" w:hAnsi="Tahoma"/>
          <w:sz w:val="16"/>
          <w:lang w:val="en-US"/>
        </w:rPr>
        <w:t>54.</w:t>
      </w:r>
      <w:r w:rsidRPr="003D6C80">
        <w:rPr>
          <w:lang w:val="en-US"/>
        </w:rPr>
        <w:tab/>
      </w:r>
      <w:r w:rsidRPr="003D6C80">
        <w:rPr>
          <w:rFonts w:ascii="Tahoma" w:hAnsi="Tahoma"/>
          <w:sz w:val="16"/>
          <w:lang w:val="en-US"/>
        </w:rPr>
        <w:t>European Centre for Disease Prevention and Control, World Health Organization. Regional Office for Europe. Tuberculosis surveillance and monitoring in Europe: 2017. Stockholm: ECDC; 2017. Available from: http://dx.doi.org/10.2900/2767.</w:t>
      </w:r>
    </w:p>
    <w:p w:rsidR="00DA3A70" w:rsidRPr="003D6C80" w:rsidP="0028467E" w14:paraId="497A063D" w14:textId="77777777">
      <w:pPr>
        <w:pStyle w:val="EndNoteBibliography"/>
        <w:spacing w:after="0"/>
        <w:ind w:left="426" w:hanging="426"/>
        <w:jc w:val="left"/>
        <w:rPr>
          <w:rFonts w:ascii="Tahoma" w:hAnsi="Tahoma" w:cs="Tahoma"/>
          <w:sz w:val="16"/>
          <w:szCs w:val="16"/>
          <w:lang w:val="en-US"/>
        </w:rPr>
      </w:pPr>
      <w:r w:rsidRPr="003D6C80">
        <w:rPr>
          <w:rFonts w:ascii="Tahoma" w:hAnsi="Tahoma"/>
          <w:sz w:val="16"/>
          <w:lang w:val="en-US"/>
        </w:rPr>
        <w:t>55.</w:t>
      </w:r>
      <w:r w:rsidRPr="003D6C80">
        <w:rPr>
          <w:lang w:val="en-US"/>
        </w:rPr>
        <w:tab/>
      </w:r>
      <w:r w:rsidRPr="003D6C80">
        <w:rPr>
          <w:rFonts w:ascii="Tahoma" w:hAnsi="Tahoma"/>
          <w:sz w:val="16"/>
          <w:lang w:val="en-US"/>
        </w:rPr>
        <w:t>Mor Z, Migliori GB, Althomsons SP, Loddenkemper R, Trnka L, Iademarco MF. Comparison of tuberculosis surveillance systems in low-incidence industrialised countries. Eur Respir J. 2008;32(6):1616-1624.</w:t>
      </w:r>
    </w:p>
    <w:p w:rsidR="00DA3A70" w:rsidRPr="00554AB0" w:rsidP="0028467E" w14:paraId="694E275A" w14:textId="77777777">
      <w:pPr>
        <w:pStyle w:val="EndNoteBibliography"/>
        <w:spacing w:after="0"/>
        <w:ind w:left="426" w:hanging="426"/>
        <w:jc w:val="left"/>
        <w:rPr>
          <w:rFonts w:ascii="Tahoma" w:hAnsi="Tahoma" w:cs="Tahoma"/>
          <w:sz w:val="16"/>
          <w:szCs w:val="16"/>
        </w:rPr>
      </w:pPr>
      <w:r w:rsidRPr="003D6C80">
        <w:rPr>
          <w:rFonts w:ascii="Tahoma" w:hAnsi="Tahoma"/>
          <w:sz w:val="16"/>
          <w:lang w:val="en-US"/>
        </w:rPr>
        <w:t>56.</w:t>
      </w:r>
      <w:r w:rsidRPr="003D6C80">
        <w:rPr>
          <w:lang w:val="en-US"/>
        </w:rPr>
        <w:tab/>
      </w:r>
      <w:r w:rsidRPr="003D6C80">
        <w:rPr>
          <w:rFonts w:ascii="Tahoma" w:hAnsi="Tahoma"/>
          <w:sz w:val="16"/>
          <w:lang w:val="en-US"/>
        </w:rPr>
        <w:t xml:space="preserve">Uplekar M, Atre S, Wells WA, Weil D, Lopez R, Migliori G, et al. Mandatory tuberculosis case notification in high tuberculosis-incidence countries: policy and practices. </w:t>
      </w:r>
      <w:r w:rsidRPr="00554AB0" w:rsidR="00455819">
        <w:rPr>
          <w:rFonts w:ascii="Tahoma" w:hAnsi="Tahoma"/>
          <w:sz w:val="16"/>
        </w:rPr>
        <w:t>Eur Respir J. 2016(48):1571-1581.</w:t>
      </w:r>
    </w:p>
    <w:p w:rsidR="008B2FFB" w:rsidRPr="00554AB0" w:rsidP="0028467E" w14:paraId="764895B0" w14:textId="77777777">
      <w:pPr>
        <w:pStyle w:val="EndNoteBibliography"/>
        <w:ind w:left="426" w:hanging="426"/>
        <w:jc w:val="left"/>
      </w:pPr>
      <w:r w:rsidRPr="00554AB0">
        <w:rPr>
          <w:rFonts w:ascii="Tahoma" w:hAnsi="Tahoma"/>
          <w:sz w:val="16"/>
        </w:rPr>
        <w:t>57.</w:t>
      </w:r>
      <w:r w:rsidRPr="00554AB0">
        <w:tab/>
      </w:r>
      <w:r w:rsidRPr="00554AB0">
        <w:rPr>
          <w:rFonts w:ascii="Tahoma" w:hAnsi="Tahoma"/>
          <w:sz w:val="16"/>
        </w:rPr>
        <w:t xml:space="preserve">Heldal E, Kuyvenhoven JV, Wares F, Migliori GB, Ditiu L, Fernandez de la Hoz K, et al. </w:t>
      </w:r>
      <w:r w:rsidRPr="003D6C80" w:rsidR="0037060F">
        <w:rPr>
          <w:rFonts w:ascii="Tahoma" w:hAnsi="Tahoma"/>
          <w:sz w:val="16"/>
          <w:lang w:val="en-US"/>
        </w:rPr>
        <w:t xml:space="preserve">Diagnosis and treatment of tuberculosis in undocumented migrants in low- or intermediate-incidence countries. </w:t>
      </w:r>
      <w:r w:rsidRPr="00554AB0">
        <w:rPr>
          <w:rFonts w:ascii="Tahoma" w:hAnsi="Tahoma"/>
          <w:sz w:val="16"/>
        </w:rPr>
        <w:t>Int J Tuberc Lung Dis. 2008;12(8):878-888.</w:t>
      </w:r>
    </w:p>
    <w:sectPr w:rsidSect="000D0DB0">
      <w:footerReference w:type="default" r:id="rId5"/>
      <w:pgSz w:w="11906" w:h="16838"/>
      <w:pgMar w:top="567"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inion Pro">
    <w:panose1 w:val="00000000000000000000"/>
    <w:charset w:val="00"/>
    <w:family w:val="roman"/>
    <w:notTrueType/>
    <w:pitch w:val="variable"/>
    <w:sig w:usb0="60000287" w:usb1="00000001"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A1637" w:rsidRPr="00554AB0" w:rsidP="00847A9F" w14:paraId="3BEC5290" w14:textId="77777777">
    <w:pPr>
      <w:pStyle w:val="Footer"/>
      <w:spacing w:after="0" w:line="240" w:lineRule="auto"/>
      <w:jc w:val="center"/>
      <w:rPr>
        <w:rFonts w:ascii="Arial" w:hAnsi="Arial" w:cs="Arial"/>
        <w:sz w:val="20"/>
        <w:szCs w:val="20"/>
      </w:rPr>
    </w:pPr>
  </w:p>
  <w:p w:rsidR="002A1637" w:rsidRPr="00554AB0" w:rsidP="00847A9F" w14:paraId="74282FE8" w14:textId="77777777">
    <w:pPr>
      <w:pStyle w:val="Footer"/>
      <w:spacing w:after="0" w:line="240" w:lineRule="auto"/>
      <w:jc w:val="center"/>
      <w:rPr>
        <w:rFonts w:ascii="Arial" w:hAnsi="Arial" w:cs="Arial"/>
        <w:sz w:val="20"/>
        <w:szCs w:val="20"/>
      </w:rPr>
    </w:pPr>
    <w:r w:rsidRPr="00554AB0">
      <w:rPr>
        <w:rFonts w:ascii="Arial" w:hAnsi="Arial"/>
        <w:sz w:val="20"/>
      </w:rPr>
      <w:t xml:space="preserve">- </w:t>
    </w:r>
    <w:r w:rsidRPr="00554AB0">
      <w:rPr>
        <w:rFonts w:ascii="Arial" w:hAnsi="Arial" w:cs="Arial"/>
        <w:sz w:val="20"/>
        <w:szCs w:val="20"/>
      </w:rPr>
      <w:fldChar w:fldCharType="begin"/>
    </w:r>
    <w:r w:rsidRPr="00554AB0">
      <w:rPr>
        <w:rFonts w:ascii="Arial" w:hAnsi="Arial" w:cs="Arial"/>
        <w:sz w:val="20"/>
        <w:szCs w:val="20"/>
      </w:rPr>
      <w:instrText xml:space="preserve"> PAGE   \* MERGEFORMAT </w:instrText>
    </w:r>
    <w:r w:rsidRPr="00554AB0">
      <w:rPr>
        <w:rFonts w:ascii="Arial" w:hAnsi="Arial" w:cs="Arial"/>
        <w:sz w:val="20"/>
        <w:szCs w:val="20"/>
      </w:rPr>
      <w:fldChar w:fldCharType="separate"/>
    </w:r>
    <w:r w:rsidR="00CF0C88">
      <w:rPr>
        <w:rFonts w:ascii="Arial" w:hAnsi="Arial" w:cs="Arial"/>
        <w:noProof/>
        <w:sz w:val="20"/>
        <w:szCs w:val="20"/>
      </w:rPr>
      <w:t>10</w:t>
    </w:r>
    <w:r w:rsidRPr="00554AB0">
      <w:rPr>
        <w:rFonts w:ascii="Arial" w:hAnsi="Arial" w:cs="Arial"/>
        <w:sz w:val="20"/>
        <w:szCs w:val="20"/>
      </w:rPr>
      <w:fldChar w:fldCharType="end"/>
    </w:r>
    <w:r w:rsidRPr="00554AB0">
      <w:rPr>
        <w:rFonts w:ascii="Arial" w:hAnsi="Arial"/>
        <w:sz w:val="20"/>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4C0C01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9E6CF02"/>
    <w:lvl w:ilvl="0">
      <w:start w:val="1"/>
      <w:numFmt w:val="decimal"/>
      <w:lvlText w:val="%1."/>
      <w:lvlJc w:val="left"/>
      <w:pPr>
        <w:tabs>
          <w:tab w:val="num" w:pos="1492"/>
        </w:tabs>
        <w:ind w:left="1492" w:hanging="360"/>
      </w:pPr>
    </w:lvl>
  </w:abstractNum>
  <w:abstractNum w:abstractNumId="2">
    <w:nsid w:val="FFFFFF7D"/>
    <w:multiLevelType w:val="singleLevel"/>
    <w:tmpl w:val="99EEE6BA"/>
    <w:lvl w:ilvl="0">
      <w:start w:val="1"/>
      <w:numFmt w:val="decimal"/>
      <w:lvlText w:val="%1."/>
      <w:lvlJc w:val="left"/>
      <w:pPr>
        <w:tabs>
          <w:tab w:val="num" w:pos="1209"/>
        </w:tabs>
        <w:ind w:left="1209" w:hanging="360"/>
      </w:pPr>
    </w:lvl>
  </w:abstractNum>
  <w:abstractNum w:abstractNumId="3">
    <w:nsid w:val="FFFFFF7E"/>
    <w:multiLevelType w:val="singleLevel"/>
    <w:tmpl w:val="72D86C2A"/>
    <w:lvl w:ilvl="0">
      <w:start w:val="1"/>
      <w:numFmt w:val="decimal"/>
      <w:lvlText w:val="%1."/>
      <w:lvlJc w:val="left"/>
      <w:pPr>
        <w:tabs>
          <w:tab w:val="num" w:pos="926"/>
        </w:tabs>
        <w:ind w:left="926" w:hanging="360"/>
      </w:pPr>
    </w:lvl>
  </w:abstractNum>
  <w:abstractNum w:abstractNumId="4">
    <w:nsid w:val="FFFFFF7F"/>
    <w:multiLevelType w:val="singleLevel"/>
    <w:tmpl w:val="A70AAB4A"/>
    <w:lvl w:ilvl="0">
      <w:start w:val="1"/>
      <w:numFmt w:val="decimal"/>
      <w:lvlText w:val="%1."/>
      <w:lvlJc w:val="left"/>
      <w:pPr>
        <w:tabs>
          <w:tab w:val="num" w:pos="643"/>
        </w:tabs>
        <w:ind w:left="643" w:hanging="360"/>
      </w:pPr>
    </w:lvl>
  </w:abstractNum>
  <w:abstractNum w:abstractNumId="5">
    <w:nsid w:val="FFFFFF80"/>
    <w:multiLevelType w:val="singleLevel"/>
    <w:tmpl w:val="70443C5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1208272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186664C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F407482"/>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8E47074"/>
    <w:lvl w:ilvl="0">
      <w:start w:val="1"/>
      <w:numFmt w:val="decimal"/>
      <w:lvlText w:val="%1."/>
      <w:lvlJc w:val="left"/>
      <w:pPr>
        <w:tabs>
          <w:tab w:val="num" w:pos="360"/>
        </w:tabs>
        <w:ind w:left="360" w:hanging="360"/>
      </w:pPr>
    </w:lvl>
  </w:abstractNum>
  <w:abstractNum w:abstractNumId="10">
    <w:nsid w:val="FFFFFF89"/>
    <w:multiLevelType w:val="singleLevel"/>
    <w:tmpl w:val="D75C68EC"/>
    <w:lvl w:ilvl="0">
      <w:start w:val="1"/>
      <w:numFmt w:val="bullet"/>
      <w:lvlText w:val=""/>
      <w:lvlJc w:val="left"/>
      <w:pPr>
        <w:tabs>
          <w:tab w:val="num" w:pos="360"/>
        </w:tabs>
        <w:ind w:left="360" w:hanging="360"/>
      </w:pPr>
      <w:rPr>
        <w:rFonts w:ascii="Symbol" w:hAnsi="Symbol" w:hint="default"/>
      </w:rPr>
    </w:lvl>
  </w:abstractNum>
  <w:abstractNum w:abstractNumId="11">
    <w:nsid w:val="00155751"/>
    <w:multiLevelType w:val="hybridMultilevel"/>
    <w:tmpl w:val="B3A8BCD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055784F"/>
    <w:multiLevelType w:val="hybridMultilevel"/>
    <w:tmpl w:val="81F29F4C"/>
    <w:lvl w:ilvl="0">
      <w:start w:val="1"/>
      <w:numFmt w:val="decimal"/>
      <w:lvlText w:val="%1."/>
      <w:lvlJc w:val="left"/>
      <w:pPr>
        <w:ind w:left="720" w:hanging="360"/>
      </w:pPr>
      <w:rPr>
        <w:b w:val="0"/>
        <w:i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C5302E4"/>
    <w:multiLevelType w:val="hybridMultilevel"/>
    <w:tmpl w:val="40FA02F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E6A1D1C"/>
    <w:multiLevelType w:val="hybridMultilevel"/>
    <w:tmpl w:val="D9367C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0F70A20"/>
    <w:multiLevelType w:val="hybridMultilevel"/>
    <w:tmpl w:val="3AD68A96"/>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11180650"/>
    <w:multiLevelType w:val="hybridMultilevel"/>
    <w:tmpl w:val="C21651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4D441C"/>
    <w:multiLevelType w:val="hybridMultilevel"/>
    <w:tmpl w:val="6BCC0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18A11B89"/>
    <w:multiLevelType w:val="hybridMultilevel"/>
    <w:tmpl w:val="ECD67F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E153C81"/>
    <w:multiLevelType w:val="hybridMultilevel"/>
    <w:tmpl w:val="B4BC1B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EC051EA"/>
    <w:multiLevelType w:val="hybridMultilevel"/>
    <w:tmpl w:val="709CAB64"/>
    <w:lvl w:ilvl="0">
      <w:start w:val="0"/>
      <w:numFmt w:val="bullet"/>
      <w:lvlText w:val="-"/>
      <w:lvlJc w:val="left"/>
      <w:pPr>
        <w:ind w:left="720" w:hanging="360"/>
      </w:pPr>
      <w:rPr>
        <w:rFonts w:ascii="Times New Roman" w:eastAsia="Times New Roman" w:hAnsi="Times New Roman" w:cs="Times New Roman"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ED43C67"/>
    <w:multiLevelType w:val="hybridMultilevel"/>
    <w:tmpl w:val="B9D8218C"/>
    <w:lvl w:ilvl="0">
      <w:start w:val="1"/>
      <w:numFmt w:val="upperLetter"/>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19A277D"/>
    <w:multiLevelType w:val="hybridMultilevel"/>
    <w:tmpl w:val="58A2B94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8DC1440"/>
    <w:multiLevelType w:val="hybridMultilevel"/>
    <w:tmpl w:val="43F808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6555F88"/>
    <w:multiLevelType w:val="hybridMultilevel"/>
    <w:tmpl w:val="74DA41A0"/>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5">
    <w:nsid w:val="57577DC4"/>
    <w:multiLevelType w:val="hybridMultilevel"/>
    <w:tmpl w:val="6DC476D2"/>
    <w:lvl w:ilvl="0">
      <w:start w:val="1"/>
      <w:numFmt w:val="decimal"/>
      <w:lvlText w:val="%1."/>
      <w:lvlJc w:val="left"/>
      <w:pPr>
        <w:ind w:left="720" w:hanging="360"/>
      </w:pPr>
      <w:rPr>
        <w:color w:val="FF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8AB5821"/>
    <w:multiLevelType w:val="hybridMultilevel"/>
    <w:tmpl w:val="F00CB6B6"/>
    <w:lvl w:ilvl="0">
      <w:start w:val="1"/>
      <w:numFmt w:val="decimal"/>
      <w:pStyle w:val="Paragrafoelenco1"/>
      <w:lvlText w:val="%1."/>
      <w:lvlJc w:val="left"/>
      <w:pPr>
        <w:ind w:left="720" w:hanging="360"/>
      </w:pPr>
      <w:rPr>
        <w:rFonts w:ascii="Tahoma" w:hAnsi="Tahoma" w:cs="Tahoma" w:hint="default"/>
        <w:b w:val="0"/>
        <w:i w:val="0"/>
        <w:caps w:val="0"/>
        <w:color w:val="auto"/>
        <w:sz w:val="20"/>
        <w:szCs w:val="2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AD85BAD"/>
    <w:multiLevelType w:val="hybridMultilevel"/>
    <w:tmpl w:val="902A218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717867A3"/>
    <w:multiLevelType w:val="hybridMultilevel"/>
    <w:tmpl w:val="F15E2EA6"/>
    <w:lvl w:ilvl="0">
      <w:start w:val="1"/>
      <w:numFmt w:val="upperLetter"/>
      <w:suff w:val="space"/>
      <w:lvlText w:val="%1."/>
      <w:lvlJc w:val="lef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6F4432E"/>
    <w:multiLevelType w:val="hybridMultilevel"/>
    <w:tmpl w:val="8A7EA14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91F7A9A"/>
    <w:multiLevelType w:val="hybridMultilevel"/>
    <w:tmpl w:val="83FCF31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AF564D6"/>
    <w:multiLevelType w:val="hybridMultilevel"/>
    <w:tmpl w:val="D26AC7E6"/>
    <w:lvl w:ilvl="0">
      <w:start w:val="1"/>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1"/>
  </w:num>
  <w:num w:numId="2">
    <w:abstractNumId w:val="21"/>
  </w:num>
  <w:num w:numId="3">
    <w:abstractNumId w:val="15"/>
  </w:num>
  <w:num w:numId="4">
    <w:abstractNumId w:val="20"/>
  </w:num>
  <w:num w:numId="5">
    <w:abstractNumId w:val="12"/>
  </w:num>
  <w:num w:numId="6">
    <w:abstractNumId w:val="11"/>
  </w:num>
  <w:num w:numId="7">
    <w:abstractNumId w:val="26"/>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29"/>
  </w:num>
  <w:num w:numId="19">
    <w:abstractNumId w:val="24"/>
  </w:num>
  <w:num w:numId="20">
    <w:abstractNumId w:val="19"/>
  </w:num>
  <w:num w:numId="21">
    <w:abstractNumId w:val="22"/>
  </w:num>
  <w:num w:numId="22">
    <w:abstractNumId w:val="30"/>
  </w:num>
  <w:num w:numId="23">
    <w:abstractNumId w:val="25"/>
  </w:num>
  <w:num w:numId="24">
    <w:abstractNumId w:val="0"/>
  </w:num>
  <w:num w:numId="25">
    <w:abstractNumId w:val="14"/>
  </w:num>
  <w:num w:numId="26">
    <w:abstractNumId w:val="18"/>
  </w:num>
  <w:num w:numId="27">
    <w:abstractNumId w:val="17"/>
  </w:num>
  <w:num w:numId="28">
    <w:abstractNumId w:val="27"/>
  </w:num>
  <w:num w:numId="29">
    <w:abstractNumId w:val="23"/>
  </w:num>
  <w:num w:numId="30">
    <w:abstractNumId w:val="13"/>
  </w:num>
  <w:num w:numId="31">
    <w:abstractNumId w:val="16"/>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A70"/>
    <w:rsid w:val="00000350"/>
    <w:rsid w:val="000026F4"/>
    <w:rsid w:val="00002EF3"/>
    <w:rsid w:val="000034CF"/>
    <w:rsid w:val="000071D2"/>
    <w:rsid w:val="000124B6"/>
    <w:rsid w:val="00012ADD"/>
    <w:rsid w:val="00014162"/>
    <w:rsid w:val="0001487C"/>
    <w:rsid w:val="000153EC"/>
    <w:rsid w:val="000166E5"/>
    <w:rsid w:val="00024F83"/>
    <w:rsid w:val="00026A77"/>
    <w:rsid w:val="000279A6"/>
    <w:rsid w:val="00032C1C"/>
    <w:rsid w:val="0003464B"/>
    <w:rsid w:val="000347EA"/>
    <w:rsid w:val="00037B0F"/>
    <w:rsid w:val="00041534"/>
    <w:rsid w:val="0004182E"/>
    <w:rsid w:val="00042858"/>
    <w:rsid w:val="000466F2"/>
    <w:rsid w:val="000479A2"/>
    <w:rsid w:val="000514B5"/>
    <w:rsid w:val="00051BB3"/>
    <w:rsid w:val="00052E50"/>
    <w:rsid w:val="00053CE8"/>
    <w:rsid w:val="0005456E"/>
    <w:rsid w:val="00054BA2"/>
    <w:rsid w:val="00055EC2"/>
    <w:rsid w:val="00056E42"/>
    <w:rsid w:val="00057333"/>
    <w:rsid w:val="000606C7"/>
    <w:rsid w:val="000634B3"/>
    <w:rsid w:val="000654B5"/>
    <w:rsid w:val="00067414"/>
    <w:rsid w:val="0007118B"/>
    <w:rsid w:val="00071A2E"/>
    <w:rsid w:val="00071CA9"/>
    <w:rsid w:val="000726E4"/>
    <w:rsid w:val="00073EA2"/>
    <w:rsid w:val="000740EA"/>
    <w:rsid w:val="000753CB"/>
    <w:rsid w:val="00083CEE"/>
    <w:rsid w:val="000840C5"/>
    <w:rsid w:val="000872D3"/>
    <w:rsid w:val="00090759"/>
    <w:rsid w:val="00091034"/>
    <w:rsid w:val="00093100"/>
    <w:rsid w:val="00093675"/>
    <w:rsid w:val="00094E61"/>
    <w:rsid w:val="000953B5"/>
    <w:rsid w:val="00097EA7"/>
    <w:rsid w:val="000A0729"/>
    <w:rsid w:val="000A2B79"/>
    <w:rsid w:val="000A2B9B"/>
    <w:rsid w:val="000A2C31"/>
    <w:rsid w:val="000A3A87"/>
    <w:rsid w:val="000A3E29"/>
    <w:rsid w:val="000A3F03"/>
    <w:rsid w:val="000A40BC"/>
    <w:rsid w:val="000A60C4"/>
    <w:rsid w:val="000A7B26"/>
    <w:rsid w:val="000B0623"/>
    <w:rsid w:val="000B0CFE"/>
    <w:rsid w:val="000B0D43"/>
    <w:rsid w:val="000B2922"/>
    <w:rsid w:val="000B7864"/>
    <w:rsid w:val="000C1461"/>
    <w:rsid w:val="000C2136"/>
    <w:rsid w:val="000C21E9"/>
    <w:rsid w:val="000C28F4"/>
    <w:rsid w:val="000C3973"/>
    <w:rsid w:val="000C46C9"/>
    <w:rsid w:val="000C4F54"/>
    <w:rsid w:val="000C5921"/>
    <w:rsid w:val="000C5E86"/>
    <w:rsid w:val="000C672A"/>
    <w:rsid w:val="000C6EA1"/>
    <w:rsid w:val="000D0DB0"/>
    <w:rsid w:val="000D1274"/>
    <w:rsid w:val="000D1427"/>
    <w:rsid w:val="000D1B85"/>
    <w:rsid w:val="000D3A2D"/>
    <w:rsid w:val="000D5670"/>
    <w:rsid w:val="000E02F1"/>
    <w:rsid w:val="000E1278"/>
    <w:rsid w:val="000F23C9"/>
    <w:rsid w:val="000F2946"/>
    <w:rsid w:val="000F2C5B"/>
    <w:rsid w:val="000F4226"/>
    <w:rsid w:val="000F5AA3"/>
    <w:rsid w:val="000F5F9C"/>
    <w:rsid w:val="000F76CA"/>
    <w:rsid w:val="001035A5"/>
    <w:rsid w:val="00110B63"/>
    <w:rsid w:val="00121291"/>
    <w:rsid w:val="001235C7"/>
    <w:rsid w:val="00125B6D"/>
    <w:rsid w:val="00126616"/>
    <w:rsid w:val="001269EE"/>
    <w:rsid w:val="001304C7"/>
    <w:rsid w:val="00136802"/>
    <w:rsid w:val="00136E20"/>
    <w:rsid w:val="00136ED6"/>
    <w:rsid w:val="0014061E"/>
    <w:rsid w:val="0014258F"/>
    <w:rsid w:val="00143D62"/>
    <w:rsid w:val="001449C6"/>
    <w:rsid w:val="00146FC2"/>
    <w:rsid w:val="0015365C"/>
    <w:rsid w:val="00154147"/>
    <w:rsid w:val="0015455B"/>
    <w:rsid w:val="00155B28"/>
    <w:rsid w:val="00162F60"/>
    <w:rsid w:val="0016337C"/>
    <w:rsid w:val="00163959"/>
    <w:rsid w:val="00166790"/>
    <w:rsid w:val="00170B6E"/>
    <w:rsid w:val="00171A18"/>
    <w:rsid w:val="00172D5C"/>
    <w:rsid w:val="001730CE"/>
    <w:rsid w:val="001736AD"/>
    <w:rsid w:val="00173820"/>
    <w:rsid w:val="0017517E"/>
    <w:rsid w:val="001752D3"/>
    <w:rsid w:val="00176AC3"/>
    <w:rsid w:val="001771D6"/>
    <w:rsid w:val="001855AB"/>
    <w:rsid w:val="00185AFB"/>
    <w:rsid w:val="00192273"/>
    <w:rsid w:val="00192B0D"/>
    <w:rsid w:val="00193DC5"/>
    <w:rsid w:val="001959C6"/>
    <w:rsid w:val="00196487"/>
    <w:rsid w:val="001A3531"/>
    <w:rsid w:val="001A4728"/>
    <w:rsid w:val="001A4CCF"/>
    <w:rsid w:val="001A5261"/>
    <w:rsid w:val="001B1BA1"/>
    <w:rsid w:val="001B5D93"/>
    <w:rsid w:val="001B6412"/>
    <w:rsid w:val="001B68DA"/>
    <w:rsid w:val="001B791B"/>
    <w:rsid w:val="001C393A"/>
    <w:rsid w:val="001C5792"/>
    <w:rsid w:val="001C5873"/>
    <w:rsid w:val="001C6951"/>
    <w:rsid w:val="001C6E94"/>
    <w:rsid w:val="001C779B"/>
    <w:rsid w:val="001C77C5"/>
    <w:rsid w:val="001D233F"/>
    <w:rsid w:val="001D3415"/>
    <w:rsid w:val="001D4C47"/>
    <w:rsid w:val="001D515B"/>
    <w:rsid w:val="001D536F"/>
    <w:rsid w:val="001D70E6"/>
    <w:rsid w:val="001E19FE"/>
    <w:rsid w:val="001E20E9"/>
    <w:rsid w:val="001E2F2E"/>
    <w:rsid w:val="001E4CEB"/>
    <w:rsid w:val="001E6775"/>
    <w:rsid w:val="001F10C9"/>
    <w:rsid w:val="001F47EF"/>
    <w:rsid w:val="001F5C22"/>
    <w:rsid w:val="001F6F3E"/>
    <w:rsid w:val="002059D7"/>
    <w:rsid w:val="0020640B"/>
    <w:rsid w:val="002076D3"/>
    <w:rsid w:val="0021121E"/>
    <w:rsid w:val="00211980"/>
    <w:rsid w:val="00213427"/>
    <w:rsid w:val="00215B87"/>
    <w:rsid w:val="00217017"/>
    <w:rsid w:val="00222311"/>
    <w:rsid w:val="002227A7"/>
    <w:rsid w:val="002250CC"/>
    <w:rsid w:val="0023067B"/>
    <w:rsid w:val="00230B5C"/>
    <w:rsid w:val="0023121D"/>
    <w:rsid w:val="00232D78"/>
    <w:rsid w:val="00232E0C"/>
    <w:rsid w:val="00234417"/>
    <w:rsid w:val="00236007"/>
    <w:rsid w:val="002362B5"/>
    <w:rsid w:val="002377D4"/>
    <w:rsid w:val="00237A50"/>
    <w:rsid w:val="00240F94"/>
    <w:rsid w:val="00242164"/>
    <w:rsid w:val="002425A4"/>
    <w:rsid w:val="00243203"/>
    <w:rsid w:val="00243FFC"/>
    <w:rsid w:val="002444B5"/>
    <w:rsid w:val="00250D1C"/>
    <w:rsid w:val="00251222"/>
    <w:rsid w:val="00251710"/>
    <w:rsid w:val="00251911"/>
    <w:rsid w:val="00251953"/>
    <w:rsid w:val="00251BE7"/>
    <w:rsid w:val="00252ABC"/>
    <w:rsid w:val="00252DFE"/>
    <w:rsid w:val="002534DD"/>
    <w:rsid w:val="00254EDF"/>
    <w:rsid w:val="00256D28"/>
    <w:rsid w:val="00257944"/>
    <w:rsid w:val="00264E5E"/>
    <w:rsid w:val="00267443"/>
    <w:rsid w:val="002701E1"/>
    <w:rsid w:val="0027030B"/>
    <w:rsid w:val="0027045A"/>
    <w:rsid w:val="00270D45"/>
    <w:rsid w:val="00274D20"/>
    <w:rsid w:val="0027624E"/>
    <w:rsid w:val="0027775B"/>
    <w:rsid w:val="00283609"/>
    <w:rsid w:val="0028467E"/>
    <w:rsid w:val="00287121"/>
    <w:rsid w:val="0029231A"/>
    <w:rsid w:val="002939B8"/>
    <w:rsid w:val="0029556C"/>
    <w:rsid w:val="002961B5"/>
    <w:rsid w:val="00297557"/>
    <w:rsid w:val="0029793E"/>
    <w:rsid w:val="002A11F0"/>
    <w:rsid w:val="002A1361"/>
    <w:rsid w:val="002A1637"/>
    <w:rsid w:val="002A533F"/>
    <w:rsid w:val="002A5D0B"/>
    <w:rsid w:val="002B346A"/>
    <w:rsid w:val="002B4136"/>
    <w:rsid w:val="002B5EF0"/>
    <w:rsid w:val="002B6751"/>
    <w:rsid w:val="002C278C"/>
    <w:rsid w:val="002C2A75"/>
    <w:rsid w:val="002C5489"/>
    <w:rsid w:val="002C5A7D"/>
    <w:rsid w:val="002C5F15"/>
    <w:rsid w:val="002D0D81"/>
    <w:rsid w:val="002D130E"/>
    <w:rsid w:val="002D2934"/>
    <w:rsid w:val="002D4BDD"/>
    <w:rsid w:val="002D6B2B"/>
    <w:rsid w:val="002D71A7"/>
    <w:rsid w:val="002E0B13"/>
    <w:rsid w:val="002E27D1"/>
    <w:rsid w:val="002E4529"/>
    <w:rsid w:val="002E47FD"/>
    <w:rsid w:val="002E5F96"/>
    <w:rsid w:val="002E69D3"/>
    <w:rsid w:val="002E714E"/>
    <w:rsid w:val="002F2A5A"/>
    <w:rsid w:val="002F3F70"/>
    <w:rsid w:val="002F409B"/>
    <w:rsid w:val="002F45F2"/>
    <w:rsid w:val="002F4926"/>
    <w:rsid w:val="002F49F5"/>
    <w:rsid w:val="002F623E"/>
    <w:rsid w:val="002F6F3E"/>
    <w:rsid w:val="003003DA"/>
    <w:rsid w:val="003073B3"/>
    <w:rsid w:val="00313CA4"/>
    <w:rsid w:val="00314886"/>
    <w:rsid w:val="00314A47"/>
    <w:rsid w:val="00320064"/>
    <w:rsid w:val="00320170"/>
    <w:rsid w:val="00322570"/>
    <w:rsid w:val="00322F85"/>
    <w:rsid w:val="003247C6"/>
    <w:rsid w:val="00325CF7"/>
    <w:rsid w:val="00327791"/>
    <w:rsid w:val="00327D7E"/>
    <w:rsid w:val="0033246A"/>
    <w:rsid w:val="00332575"/>
    <w:rsid w:val="0033381B"/>
    <w:rsid w:val="00334B37"/>
    <w:rsid w:val="00340B09"/>
    <w:rsid w:val="003450AE"/>
    <w:rsid w:val="003479CB"/>
    <w:rsid w:val="00352241"/>
    <w:rsid w:val="00352431"/>
    <w:rsid w:val="00353103"/>
    <w:rsid w:val="0035545C"/>
    <w:rsid w:val="003562DF"/>
    <w:rsid w:val="003571C8"/>
    <w:rsid w:val="00360484"/>
    <w:rsid w:val="00360784"/>
    <w:rsid w:val="00360A97"/>
    <w:rsid w:val="00363A61"/>
    <w:rsid w:val="00363B8A"/>
    <w:rsid w:val="00363C6B"/>
    <w:rsid w:val="00363D85"/>
    <w:rsid w:val="00364A59"/>
    <w:rsid w:val="0036628D"/>
    <w:rsid w:val="003663F5"/>
    <w:rsid w:val="00366496"/>
    <w:rsid w:val="0037060F"/>
    <w:rsid w:val="00370A99"/>
    <w:rsid w:val="00371C9C"/>
    <w:rsid w:val="00371D7A"/>
    <w:rsid w:val="00372ACE"/>
    <w:rsid w:val="0037414E"/>
    <w:rsid w:val="003751DE"/>
    <w:rsid w:val="003771C2"/>
    <w:rsid w:val="00377D0B"/>
    <w:rsid w:val="00380057"/>
    <w:rsid w:val="00381656"/>
    <w:rsid w:val="00382546"/>
    <w:rsid w:val="003830D8"/>
    <w:rsid w:val="00387647"/>
    <w:rsid w:val="00390C65"/>
    <w:rsid w:val="00391B04"/>
    <w:rsid w:val="00392E2D"/>
    <w:rsid w:val="0039417A"/>
    <w:rsid w:val="00394C0B"/>
    <w:rsid w:val="00394E0D"/>
    <w:rsid w:val="00396373"/>
    <w:rsid w:val="00396855"/>
    <w:rsid w:val="00397D0C"/>
    <w:rsid w:val="003A4098"/>
    <w:rsid w:val="003A4444"/>
    <w:rsid w:val="003B02DC"/>
    <w:rsid w:val="003B07C8"/>
    <w:rsid w:val="003B106F"/>
    <w:rsid w:val="003B431F"/>
    <w:rsid w:val="003B608D"/>
    <w:rsid w:val="003C0153"/>
    <w:rsid w:val="003C06B1"/>
    <w:rsid w:val="003C083A"/>
    <w:rsid w:val="003C0936"/>
    <w:rsid w:val="003C0B22"/>
    <w:rsid w:val="003C18EB"/>
    <w:rsid w:val="003C3ACF"/>
    <w:rsid w:val="003C40FE"/>
    <w:rsid w:val="003C545A"/>
    <w:rsid w:val="003C75A7"/>
    <w:rsid w:val="003D04FB"/>
    <w:rsid w:val="003D0D61"/>
    <w:rsid w:val="003D248B"/>
    <w:rsid w:val="003D3F58"/>
    <w:rsid w:val="003D6C80"/>
    <w:rsid w:val="003E2A85"/>
    <w:rsid w:val="003E4C55"/>
    <w:rsid w:val="003E5976"/>
    <w:rsid w:val="003E5F1C"/>
    <w:rsid w:val="003E66D6"/>
    <w:rsid w:val="003E69A1"/>
    <w:rsid w:val="003E76A2"/>
    <w:rsid w:val="003E7B0F"/>
    <w:rsid w:val="003E7DFF"/>
    <w:rsid w:val="003F0B0C"/>
    <w:rsid w:val="003F1CE8"/>
    <w:rsid w:val="003F5EEE"/>
    <w:rsid w:val="003F7599"/>
    <w:rsid w:val="004025D9"/>
    <w:rsid w:val="00402E1D"/>
    <w:rsid w:val="00403259"/>
    <w:rsid w:val="00406F24"/>
    <w:rsid w:val="004076FC"/>
    <w:rsid w:val="00407FFD"/>
    <w:rsid w:val="00410A6B"/>
    <w:rsid w:val="00410EF0"/>
    <w:rsid w:val="00411296"/>
    <w:rsid w:val="004141A8"/>
    <w:rsid w:val="0041589D"/>
    <w:rsid w:val="00415CD3"/>
    <w:rsid w:val="0041632C"/>
    <w:rsid w:val="004222D7"/>
    <w:rsid w:val="004238D6"/>
    <w:rsid w:val="004246F1"/>
    <w:rsid w:val="00424941"/>
    <w:rsid w:val="00425C05"/>
    <w:rsid w:val="00427F35"/>
    <w:rsid w:val="00431534"/>
    <w:rsid w:val="0043285B"/>
    <w:rsid w:val="00434411"/>
    <w:rsid w:val="00437D86"/>
    <w:rsid w:val="0044267B"/>
    <w:rsid w:val="004446C0"/>
    <w:rsid w:val="00446C50"/>
    <w:rsid w:val="0044763D"/>
    <w:rsid w:val="00450C22"/>
    <w:rsid w:val="0045142D"/>
    <w:rsid w:val="00452236"/>
    <w:rsid w:val="00455180"/>
    <w:rsid w:val="00455819"/>
    <w:rsid w:val="0046235A"/>
    <w:rsid w:val="00463005"/>
    <w:rsid w:val="004646B1"/>
    <w:rsid w:val="004647E8"/>
    <w:rsid w:val="004658A8"/>
    <w:rsid w:val="0046786F"/>
    <w:rsid w:val="004739EF"/>
    <w:rsid w:val="0047445E"/>
    <w:rsid w:val="00477D39"/>
    <w:rsid w:val="00481C51"/>
    <w:rsid w:val="00481EB6"/>
    <w:rsid w:val="004827ED"/>
    <w:rsid w:val="00482B66"/>
    <w:rsid w:val="004839B6"/>
    <w:rsid w:val="0048487E"/>
    <w:rsid w:val="00484D43"/>
    <w:rsid w:val="0048703C"/>
    <w:rsid w:val="00490393"/>
    <w:rsid w:val="00491664"/>
    <w:rsid w:val="00491EF4"/>
    <w:rsid w:val="00492ED6"/>
    <w:rsid w:val="00494D55"/>
    <w:rsid w:val="004956D4"/>
    <w:rsid w:val="004957EF"/>
    <w:rsid w:val="00495E27"/>
    <w:rsid w:val="00496312"/>
    <w:rsid w:val="00497B7C"/>
    <w:rsid w:val="004A0599"/>
    <w:rsid w:val="004A2C44"/>
    <w:rsid w:val="004A2D43"/>
    <w:rsid w:val="004A39B1"/>
    <w:rsid w:val="004B1F0B"/>
    <w:rsid w:val="004B1FDD"/>
    <w:rsid w:val="004B3425"/>
    <w:rsid w:val="004B4AA2"/>
    <w:rsid w:val="004B4EB0"/>
    <w:rsid w:val="004B5890"/>
    <w:rsid w:val="004B69FD"/>
    <w:rsid w:val="004B6FC5"/>
    <w:rsid w:val="004B799F"/>
    <w:rsid w:val="004C18C1"/>
    <w:rsid w:val="004C1C75"/>
    <w:rsid w:val="004C28FB"/>
    <w:rsid w:val="004C3DD6"/>
    <w:rsid w:val="004C4531"/>
    <w:rsid w:val="004D2373"/>
    <w:rsid w:val="004D36BF"/>
    <w:rsid w:val="004D3907"/>
    <w:rsid w:val="004D4F8D"/>
    <w:rsid w:val="004D55B3"/>
    <w:rsid w:val="004D6F34"/>
    <w:rsid w:val="004D724D"/>
    <w:rsid w:val="004E0655"/>
    <w:rsid w:val="004E08F4"/>
    <w:rsid w:val="004E1242"/>
    <w:rsid w:val="004E36AA"/>
    <w:rsid w:val="004E72AD"/>
    <w:rsid w:val="004E7878"/>
    <w:rsid w:val="004F1574"/>
    <w:rsid w:val="004F1FA2"/>
    <w:rsid w:val="004F2590"/>
    <w:rsid w:val="004F2FA7"/>
    <w:rsid w:val="004F344C"/>
    <w:rsid w:val="004F5376"/>
    <w:rsid w:val="004F618E"/>
    <w:rsid w:val="004F7210"/>
    <w:rsid w:val="004F7661"/>
    <w:rsid w:val="00507351"/>
    <w:rsid w:val="00507844"/>
    <w:rsid w:val="00510CF2"/>
    <w:rsid w:val="00510F35"/>
    <w:rsid w:val="00511A12"/>
    <w:rsid w:val="00514487"/>
    <w:rsid w:val="00515792"/>
    <w:rsid w:val="00517228"/>
    <w:rsid w:val="00521D21"/>
    <w:rsid w:val="00524376"/>
    <w:rsid w:val="005257F9"/>
    <w:rsid w:val="00525E02"/>
    <w:rsid w:val="005267C9"/>
    <w:rsid w:val="00526D61"/>
    <w:rsid w:val="00527778"/>
    <w:rsid w:val="00530616"/>
    <w:rsid w:val="00532606"/>
    <w:rsid w:val="00533CE4"/>
    <w:rsid w:val="0053661F"/>
    <w:rsid w:val="00536FB6"/>
    <w:rsid w:val="0054062F"/>
    <w:rsid w:val="00543015"/>
    <w:rsid w:val="00546107"/>
    <w:rsid w:val="00546BCD"/>
    <w:rsid w:val="005503FE"/>
    <w:rsid w:val="00550A13"/>
    <w:rsid w:val="00552208"/>
    <w:rsid w:val="00552593"/>
    <w:rsid w:val="00554AB0"/>
    <w:rsid w:val="00555543"/>
    <w:rsid w:val="0055593C"/>
    <w:rsid w:val="0055733C"/>
    <w:rsid w:val="005619F1"/>
    <w:rsid w:val="00563401"/>
    <w:rsid w:val="00563928"/>
    <w:rsid w:val="00563F8F"/>
    <w:rsid w:val="00564730"/>
    <w:rsid w:val="005708D3"/>
    <w:rsid w:val="00571926"/>
    <w:rsid w:val="00571BCD"/>
    <w:rsid w:val="005731B7"/>
    <w:rsid w:val="005739A7"/>
    <w:rsid w:val="0057481C"/>
    <w:rsid w:val="00577395"/>
    <w:rsid w:val="0058068E"/>
    <w:rsid w:val="00583785"/>
    <w:rsid w:val="005849B0"/>
    <w:rsid w:val="00586908"/>
    <w:rsid w:val="00587A44"/>
    <w:rsid w:val="00592DCC"/>
    <w:rsid w:val="00593AC8"/>
    <w:rsid w:val="00593C5A"/>
    <w:rsid w:val="00595BCD"/>
    <w:rsid w:val="005A045B"/>
    <w:rsid w:val="005A06E9"/>
    <w:rsid w:val="005A08DD"/>
    <w:rsid w:val="005A09E8"/>
    <w:rsid w:val="005A0DF5"/>
    <w:rsid w:val="005A29FD"/>
    <w:rsid w:val="005A57F3"/>
    <w:rsid w:val="005A714F"/>
    <w:rsid w:val="005A7A30"/>
    <w:rsid w:val="005B0D9E"/>
    <w:rsid w:val="005B2A34"/>
    <w:rsid w:val="005B2BDD"/>
    <w:rsid w:val="005B361F"/>
    <w:rsid w:val="005C0D3B"/>
    <w:rsid w:val="005C16A7"/>
    <w:rsid w:val="005C2159"/>
    <w:rsid w:val="005C26AD"/>
    <w:rsid w:val="005C564F"/>
    <w:rsid w:val="005C62D9"/>
    <w:rsid w:val="005C6532"/>
    <w:rsid w:val="005C6765"/>
    <w:rsid w:val="005C7523"/>
    <w:rsid w:val="005D1D2E"/>
    <w:rsid w:val="005D2955"/>
    <w:rsid w:val="005D52C6"/>
    <w:rsid w:val="005D600A"/>
    <w:rsid w:val="005D7F2E"/>
    <w:rsid w:val="005E1110"/>
    <w:rsid w:val="005E673D"/>
    <w:rsid w:val="005F0264"/>
    <w:rsid w:val="005F0BA4"/>
    <w:rsid w:val="005F3B1D"/>
    <w:rsid w:val="005F7187"/>
    <w:rsid w:val="005F7C8B"/>
    <w:rsid w:val="00601169"/>
    <w:rsid w:val="00601545"/>
    <w:rsid w:val="00602E21"/>
    <w:rsid w:val="00604B0D"/>
    <w:rsid w:val="00607054"/>
    <w:rsid w:val="00607AE7"/>
    <w:rsid w:val="00611252"/>
    <w:rsid w:val="0061345F"/>
    <w:rsid w:val="006167B1"/>
    <w:rsid w:val="00617F98"/>
    <w:rsid w:val="00620817"/>
    <w:rsid w:val="00627127"/>
    <w:rsid w:val="006314E3"/>
    <w:rsid w:val="00632004"/>
    <w:rsid w:val="006348B6"/>
    <w:rsid w:val="00640C2F"/>
    <w:rsid w:val="00644B49"/>
    <w:rsid w:val="00644C23"/>
    <w:rsid w:val="00652197"/>
    <w:rsid w:val="00654620"/>
    <w:rsid w:val="006553B5"/>
    <w:rsid w:val="00656283"/>
    <w:rsid w:val="0065761A"/>
    <w:rsid w:val="006631F0"/>
    <w:rsid w:val="00663E32"/>
    <w:rsid w:val="00664E84"/>
    <w:rsid w:val="00664FB0"/>
    <w:rsid w:val="006659AF"/>
    <w:rsid w:val="00665A11"/>
    <w:rsid w:val="00665BF3"/>
    <w:rsid w:val="00667584"/>
    <w:rsid w:val="00667CB2"/>
    <w:rsid w:val="00671197"/>
    <w:rsid w:val="00672326"/>
    <w:rsid w:val="0067307F"/>
    <w:rsid w:val="00673E0F"/>
    <w:rsid w:val="00675E72"/>
    <w:rsid w:val="00676223"/>
    <w:rsid w:val="00676A69"/>
    <w:rsid w:val="00676D5D"/>
    <w:rsid w:val="00680ED8"/>
    <w:rsid w:val="006920D1"/>
    <w:rsid w:val="0069291B"/>
    <w:rsid w:val="006933C9"/>
    <w:rsid w:val="0069416F"/>
    <w:rsid w:val="00695293"/>
    <w:rsid w:val="00696357"/>
    <w:rsid w:val="00696485"/>
    <w:rsid w:val="00696D47"/>
    <w:rsid w:val="006A6423"/>
    <w:rsid w:val="006A6F25"/>
    <w:rsid w:val="006A7047"/>
    <w:rsid w:val="006B0DBA"/>
    <w:rsid w:val="006B0F4C"/>
    <w:rsid w:val="006B249E"/>
    <w:rsid w:val="006B3571"/>
    <w:rsid w:val="006B4C9A"/>
    <w:rsid w:val="006B50B6"/>
    <w:rsid w:val="006B520C"/>
    <w:rsid w:val="006B58F2"/>
    <w:rsid w:val="006C1882"/>
    <w:rsid w:val="006C1FAD"/>
    <w:rsid w:val="006C2B1A"/>
    <w:rsid w:val="006C2BDC"/>
    <w:rsid w:val="006C38C1"/>
    <w:rsid w:val="006C3D4F"/>
    <w:rsid w:val="006C3DFF"/>
    <w:rsid w:val="006C40D1"/>
    <w:rsid w:val="006C4A0E"/>
    <w:rsid w:val="006C5383"/>
    <w:rsid w:val="006C5A10"/>
    <w:rsid w:val="006C5DBB"/>
    <w:rsid w:val="006C7512"/>
    <w:rsid w:val="006D08E4"/>
    <w:rsid w:val="006D0C4D"/>
    <w:rsid w:val="006D2DF4"/>
    <w:rsid w:val="006D2DF6"/>
    <w:rsid w:val="006D31DF"/>
    <w:rsid w:val="006D41FD"/>
    <w:rsid w:val="006D44DF"/>
    <w:rsid w:val="006D5205"/>
    <w:rsid w:val="006D6A8C"/>
    <w:rsid w:val="006D6E79"/>
    <w:rsid w:val="006D7F79"/>
    <w:rsid w:val="006E0574"/>
    <w:rsid w:val="006E24D4"/>
    <w:rsid w:val="006E4834"/>
    <w:rsid w:val="006E5773"/>
    <w:rsid w:val="006E58D6"/>
    <w:rsid w:val="006E74A2"/>
    <w:rsid w:val="006E7CB1"/>
    <w:rsid w:val="006F1D43"/>
    <w:rsid w:val="006F20BA"/>
    <w:rsid w:val="006F3340"/>
    <w:rsid w:val="006F6381"/>
    <w:rsid w:val="006F7186"/>
    <w:rsid w:val="006F7CE6"/>
    <w:rsid w:val="0070136A"/>
    <w:rsid w:val="00703112"/>
    <w:rsid w:val="007062DA"/>
    <w:rsid w:val="00707676"/>
    <w:rsid w:val="00710388"/>
    <w:rsid w:val="007174B8"/>
    <w:rsid w:val="00717C8B"/>
    <w:rsid w:val="00720FE4"/>
    <w:rsid w:val="0072270C"/>
    <w:rsid w:val="007231CD"/>
    <w:rsid w:val="0072496D"/>
    <w:rsid w:val="00727553"/>
    <w:rsid w:val="0073144A"/>
    <w:rsid w:val="0073150F"/>
    <w:rsid w:val="0073288F"/>
    <w:rsid w:val="00732DAC"/>
    <w:rsid w:val="00735157"/>
    <w:rsid w:val="00737730"/>
    <w:rsid w:val="0074004A"/>
    <w:rsid w:val="0074309E"/>
    <w:rsid w:val="00743643"/>
    <w:rsid w:val="00743DD5"/>
    <w:rsid w:val="00745E86"/>
    <w:rsid w:val="00746BB9"/>
    <w:rsid w:val="00750858"/>
    <w:rsid w:val="00751A70"/>
    <w:rsid w:val="007529D3"/>
    <w:rsid w:val="0075326E"/>
    <w:rsid w:val="0075422C"/>
    <w:rsid w:val="007542ED"/>
    <w:rsid w:val="00754629"/>
    <w:rsid w:val="007579EF"/>
    <w:rsid w:val="00760DA0"/>
    <w:rsid w:val="0076186B"/>
    <w:rsid w:val="00763F72"/>
    <w:rsid w:val="007646A2"/>
    <w:rsid w:val="00764807"/>
    <w:rsid w:val="0076561E"/>
    <w:rsid w:val="00772B5A"/>
    <w:rsid w:val="00775C7E"/>
    <w:rsid w:val="00777A8A"/>
    <w:rsid w:val="00781944"/>
    <w:rsid w:val="00781A3D"/>
    <w:rsid w:val="00785886"/>
    <w:rsid w:val="00785BB3"/>
    <w:rsid w:val="00785BC6"/>
    <w:rsid w:val="007863DB"/>
    <w:rsid w:val="007874B0"/>
    <w:rsid w:val="00787F0F"/>
    <w:rsid w:val="007917B2"/>
    <w:rsid w:val="00792037"/>
    <w:rsid w:val="007925C3"/>
    <w:rsid w:val="00792C6D"/>
    <w:rsid w:val="00792D92"/>
    <w:rsid w:val="007965F5"/>
    <w:rsid w:val="007A2CA0"/>
    <w:rsid w:val="007A49DA"/>
    <w:rsid w:val="007A4BFB"/>
    <w:rsid w:val="007A5A67"/>
    <w:rsid w:val="007A684B"/>
    <w:rsid w:val="007A6A97"/>
    <w:rsid w:val="007A7103"/>
    <w:rsid w:val="007A7392"/>
    <w:rsid w:val="007A7AAD"/>
    <w:rsid w:val="007B0370"/>
    <w:rsid w:val="007B1A06"/>
    <w:rsid w:val="007B23B1"/>
    <w:rsid w:val="007B437C"/>
    <w:rsid w:val="007B57C5"/>
    <w:rsid w:val="007B5F88"/>
    <w:rsid w:val="007C4A53"/>
    <w:rsid w:val="007C5582"/>
    <w:rsid w:val="007C5935"/>
    <w:rsid w:val="007C69B5"/>
    <w:rsid w:val="007C6E10"/>
    <w:rsid w:val="007D278F"/>
    <w:rsid w:val="007D44A8"/>
    <w:rsid w:val="007D59EB"/>
    <w:rsid w:val="007D6F72"/>
    <w:rsid w:val="007D76FC"/>
    <w:rsid w:val="007E12F8"/>
    <w:rsid w:val="007E1382"/>
    <w:rsid w:val="007E1A15"/>
    <w:rsid w:val="007E296E"/>
    <w:rsid w:val="007E3481"/>
    <w:rsid w:val="007E4364"/>
    <w:rsid w:val="007E447B"/>
    <w:rsid w:val="007E7600"/>
    <w:rsid w:val="007F0D85"/>
    <w:rsid w:val="007F27F1"/>
    <w:rsid w:val="008071EA"/>
    <w:rsid w:val="00807369"/>
    <w:rsid w:val="00807EF2"/>
    <w:rsid w:val="008104F9"/>
    <w:rsid w:val="00810EF4"/>
    <w:rsid w:val="00811D92"/>
    <w:rsid w:val="00811E0D"/>
    <w:rsid w:val="00814325"/>
    <w:rsid w:val="00816443"/>
    <w:rsid w:val="00817DFE"/>
    <w:rsid w:val="00822B41"/>
    <w:rsid w:val="00824235"/>
    <w:rsid w:val="008249D1"/>
    <w:rsid w:val="008260F5"/>
    <w:rsid w:val="0082752D"/>
    <w:rsid w:val="008309DB"/>
    <w:rsid w:val="00830F53"/>
    <w:rsid w:val="008319FE"/>
    <w:rsid w:val="00832224"/>
    <w:rsid w:val="0083234E"/>
    <w:rsid w:val="00832AE9"/>
    <w:rsid w:val="00832CE5"/>
    <w:rsid w:val="00835340"/>
    <w:rsid w:val="00836DC0"/>
    <w:rsid w:val="00837587"/>
    <w:rsid w:val="00837CE6"/>
    <w:rsid w:val="00837EF1"/>
    <w:rsid w:val="00842B2B"/>
    <w:rsid w:val="0084330E"/>
    <w:rsid w:val="00843845"/>
    <w:rsid w:val="0084583C"/>
    <w:rsid w:val="00847A9F"/>
    <w:rsid w:val="00847E1B"/>
    <w:rsid w:val="0085308C"/>
    <w:rsid w:val="00854F21"/>
    <w:rsid w:val="00855741"/>
    <w:rsid w:val="0086025C"/>
    <w:rsid w:val="0086228D"/>
    <w:rsid w:val="00862A04"/>
    <w:rsid w:val="00863950"/>
    <w:rsid w:val="00864464"/>
    <w:rsid w:val="00864C0C"/>
    <w:rsid w:val="0086570A"/>
    <w:rsid w:val="00865AE2"/>
    <w:rsid w:val="0086705F"/>
    <w:rsid w:val="00867981"/>
    <w:rsid w:val="0087368A"/>
    <w:rsid w:val="00874579"/>
    <w:rsid w:val="008745B1"/>
    <w:rsid w:val="00876060"/>
    <w:rsid w:val="008770BF"/>
    <w:rsid w:val="00880A30"/>
    <w:rsid w:val="00880EAF"/>
    <w:rsid w:val="00893043"/>
    <w:rsid w:val="00894F6F"/>
    <w:rsid w:val="0089621F"/>
    <w:rsid w:val="008A049F"/>
    <w:rsid w:val="008A39C9"/>
    <w:rsid w:val="008A4017"/>
    <w:rsid w:val="008A4A71"/>
    <w:rsid w:val="008A5017"/>
    <w:rsid w:val="008B0B11"/>
    <w:rsid w:val="008B2FFB"/>
    <w:rsid w:val="008B3297"/>
    <w:rsid w:val="008B5D95"/>
    <w:rsid w:val="008B6A9D"/>
    <w:rsid w:val="008C003E"/>
    <w:rsid w:val="008C154E"/>
    <w:rsid w:val="008C2AB2"/>
    <w:rsid w:val="008C7B4C"/>
    <w:rsid w:val="008D07DC"/>
    <w:rsid w:val="008D3402"/>
    <w:rsid w:val="008D49FE"/>
    <w:rsid w:val="008D5CCE"/>
    <w:rsid w:val="008D6E3C"/>
    <w:rsid w:val="008D6F89"/>
    <w:rsid w:val="008E4323"/>
    <w:rsid w:val="008E6EBA"/>
    <w:rsid w:val="008F22B9"/>
    <w:rsid w:val="008F2C33"/>
    <w:rsid w:val="008F673E"/>
    <w:rsid w:val="009004A9"/>
    <w:rsid w:val="00900879"/>
    <w:rsid w:val="009056D0"/>
    <w:rsid w:val="00906041"/>
    <w:rsid w:val="00906B47"/>
    <w:rsid w:val="009112EB"/>
    <w:rsid w:val="00911D9F"/>
    <w:rsid w:val="009124F5"/>
    <w:rsid w:val="00912F2C"/>
    <w:rsid w:val="00913A9A"/>
    <w:rsid w:val="00920292"/>
    <w:rsid w:val="0092204B"/>
    <w:rsid w:val="00922199"/>
    <w:rsid w:val="00923E13"/>
    <w:rsid w:val="00924D06"/>
    <w:rsid w:val="009269A4"/>
    <w:rsid w:val="00927EF3"/>
    <w:rsid w:val="00930028"/>
    <w:rsid w:val="00931F4C"/>
    <w:rsid w:val="00934088"/>
    <w:rsid w:val="00935647"/>
    <w:rsid w:val="0093566D"/>
    <w:rsid w:val="009366BB"/>
    <w:rsid w:val="009426D1"/>
    <w:rsid w:val="00942D10"/>
    <w:rsid w:val="009469FE"/>
    <w:rsid w:val="00955166"/>
    <w:rsid w:val="00957744"/>
    <w:rsid w:val="00957B73"/>
    <w:rsid w:val="009614A0"/>
    <w:rsid w:val="0096318E"/>
    <w:rsid w:val="00963B1E"/>
    <w:rsid w:val="0096551B"/>
    <w:rsid w:val="00965857"/>
    <w:rsid w:val="0097021B"/>
    <w:rsid w:val="0097049A"/>
    <w:rsid w:val="009707BE"/>
    <w:rsid w:val="00970FCE"/>
    <w:rsid w:val="00974920"/>
    <w:rsid w:val="00974937"/>
    <w:rsid w:val="00974C94"/>
    <w:rsid w:val="009757A6"/>
    <w:rsid w:val="0097587B"/>
    <w:rsid w:val="0098145B"/>
    <w:rsid w:val="00984A6B"/>
    <w:rsid w:val="00992305"/>
    <w:rsid w:val="009930DB"/>
    <w:rsid w:val="009A210F"/>
    <w:rsid w:val="009A2B5F"/>
    <w:rsid w:val="009A3645"/>
    <w:rsid w:val="009A4574"/>
    <w:rsid w:val="009A50CB"/>
    <w:rsid w:val="009A57EF"/>
    <w:rsid w:val="009A5874"/>
    <w:rsid w:val="009A602D"/>
    <w:rsid w:val="009A617A"/>
    <w:rsid w:val="009B0993"/>
    <w:rsid w:val="009B225F"/>
    <w:rsid w:val="009B2476"/>
    <w:rsid w:val="009B3DCE"/>
    <w:rsid w:val="009B492C"/>
    <w:rsid w:val="009B4C93"/>
    <w:rsid w:val="009B5451"/>
    <w:rsid w:val="009B5FA7"/>
    <w:rsid w:val="009B7835"/>
    <w:rsid w:val="009B7BDE"/>
    <w:rsid w:val="009C03B7"/>
    <w:rsid w:val="009C1651"/>
    <w:rsid w:val="009C4579"/>
    <w:rsid w:val="009C4B08"/>
    <w:rsid w:val="009C60B2"/>
    <w:rsid w:val="009C7F17"/>
    <w:rsid w:val="009D066D"/>
    <w:rsid w:val="009D31FC"/>
    <w:rsid w:val="009D7A44"/>
    <w:rsid w:val="009E0BD0"/>
    <w:rsid w:val="009E2C4D"/>
    <w:rsid w:val="009E4055"/>
    <w:rsid w:val="009E52F3"/>
    <w:rsid w:val="009E6DDE"/>
    <w:rsid w:val="009F0F2D"/>
    <w:rsid w:val="009F453B"/>
    <w:rsid w:val="009F55BF"/>
    <w:rsid w:val="009F6E6C"/>
    <w:rsid w:val="009F7408"/>
    <w:rsid w:val="009F7CCE"/>
    <w:rsid w:val="00A0112E"/>
    <w:rsid w:val="00A019DC"/>
    <w:rsid w:val="00A02375"/>
    <w:rsid w:val="00A02690"/>
    <w:rsid w:val="00A11047"/>
    <w:rsid w:val="00A11C1B"/>
    <w:rsid w:val="00A120A9"/>
    <w:rsid w:val="00A13E19"/>
    <w:rsid w:val="00A145DF"/>
    <w:rsid w:val="00A152C5"/>
    <w:rsid w:val="00A175B5"/>
    <w:rsid w:val="00A17E48"/>
    <w:rsid w:val="00A2029B"/>
    <w:rsid w:val="00A202C1"/>
    <w:rsid w:val="00A22950"/>
    <w:rsid w:val="00A2538B"/>
    <w:rsid w:val="00A26450"/>
    <w:rsid w:val="00A3398D"/>
    <w:rsid w:val="00A343E7"/>
    <w:rsid w:val="00A34B2E"/>
    <w:rsid w:val="00A34F15"/>
    <w:rsid w:val="00A430FC"/>
    <w:rsid w:val="00A4560A"/>
    <w:rsid w:val="00A505E6"/>
    <w:rsid w:val="00A52960"/>
    <w:rsid w:val="00A55398"/>
    <w:rsid w:val="00A57641"/>
    <w:rsid w:val="00A6098B"/>
    <w:rsid w:val="00A702A0"/>
    <w:rsid w:val="00A70C68"/>
    <w:rsid w:val="00A752BF"/>
    <w:rsid w:val="00A75603"/>
    <w:rsid w:val="00A7718D"/>
    <w:rsid w:val="00A8041B"/>
    <w:rsid w:val="00A804B2"/>
    <w:rsid w:val="00A80996"/>
    <w:rsid w:val="00A82B43"/>
    <w:rsid w:val="00A84A13"/>
    <w:rsid w:val="00A85363"/>
    <w:rsid w:val="00A92F11"/>
    <w:rsid w:val="00A93840"/>
    <w:rsid w:val="00A9429F"/>
    <w:rsid w:val="00A9572C"/>
    <w:rsid w:val="00AA1BDB"/>
    <w:rsid w:val="00AA2831"/>
    <w:rsid w:val="00AA2C08"/>
    <w:rsid w:val="00AA440D"/>
    <w:rsid w:val="00AA5B0E"/>
    <w:rsid w:val="00AA5E4B"/>
    <w:rsid w:val="00AA6545"/>
    <w:rsid w:val="00AA7E97"/>
    <w:rsid w:val="00AA7FB1"/>
    <w:rsid w:val="00AB088E"/>
    <w:rsid w:val="00AB3A45"/>
    <w:rsid w:val="00AB3BC7"/>
    <w:rsid w:val="00AB587B"/>
    <w:rsid w:val="00AB5F63"/>
    <w:rsid w:val="00AC0886"/>
    <w:rsid w:val="00AC099B"/>
    <w:rsid w:val="00AC0B61"/>
    <w:rsid w:val="00AC3758"/>
    <w:rsid w:val="00AC37B6"/>
    <w:rsid w:val="00AC4B51"/>
    <w:rsid w:val="00AC503E"/>
    <w:rsid w:val="00AD18DC"/>
    <w:rsid w:val="00AD3B70"/>
    <w:rsid w:val="00AD3E99"/>
    <w:rsid w:val="00AD5F2F"/>
    <w:rsid w:val="00AD77A9"/>
    <w:rsid w:val="00AE377E"/>
    <w:rsid w:val="00AE43F6"/>
    <w:rsid w:val="00AE4BA0"/>
    <w:rsid w:val="00AE5691"/>
    <w:rsid w:val="00AE6410"/>
    <w:rsid w:val="00AE6DD8"/>
    <w:rsid w:val="00AF02DC"/>
    <w:rsid w:val="00AF0569"/>
    <w:rsid w:val="00AF0FD4"/>
    <w:rsid w:val="00AF35A2"/>
    <w:rsid w:val="00AF5F04"/>
    <w:rsid w:val="00B005DF"/>
    <w:rsid w:val="00B0261E"/>
    <w:rsid w:val="00B10CB2"/>
    <w:rsid w:val="00B11786"/>
    <w:rsid w:val="00B12846"/>
    <w:rsid w:val="00B13454"/>
    <w:rsid w:val="00B177FA"/>
    <w:rsid w:val="00B17E3C"/>
    <w:rsid w:val="00B210E1"/>
    <w:rsid w:val="00B2130F"/>
    <w:rsid w:val="00B213D6"/>
    <w:rsid w:val="00B23375"/>
    <w:rsid w:val="00B23C2D"/>
    <w:rsid w:val="00B264D1"/>
    <w:rsid w:val="00B267BF"/>
    <w:rsid w:val="00B273B6"/>
    <w:rsid w:val="00B27A6E"/>
    <w:rsid w:val="00B30874"/>
    <w:rsid w:val="00B311C4"/>
    <w:rsid w:val="00B3424A"/>
    <w:rsid w:val="00B34820"/>
    <w:rsid w:val="00B3568F"/>
    <w:rsid w:val="00B3586E"/>
    <w:rsid w:val="00B37B9F"/>
    <w:rsid w:val="00B41685"/>
    <w:rsid w:val="00B41E6C"/>
    <w:rsid w:val="00B42BAC"/>
    <w:rsid w:val="00B44601"/>
    <w:rsid w:val="00B45340"/>
    <w:rsid w:val="00B469E9"/>
    <w:rsid w:val="00B52CB3"/>
    <w:rsid w:val="00B540EF"/>
    <w:rsid w:val="00B54212"/>
    <w:rsid w:val="00B56A06"/>
    <w:rsid w:val="00B63F33"/>
    <w:rsid w:val="00B65A54"/>
    <w:rsid w:val="00B70192"/>
    <w:rsid w:val="00B70D4F"/>
    <w:rsid w:val="00B73333"/>
    <w:rsid w:val="00B73A3E"/>
    <w:rsid w:val="00B7516C"/>
    <w:rsid w:val="00B76236"/>
    <w:rsid w:val="00B76E6F"/>
    <w:rsid w:val="00B80A1E"/>
    <w:rsid w:val="00B84874"/>
    <w:rsid w:val="00B90A35"/>
    <w:rsid w:val="00B932CB"/>
    <w:rsid w:val="00B94AE8"/>
    <w:rsid w:val="00B94CF8"/>
    <w:rsid w:val="00B94FAC"/>
    <w:rsid w:val="00B9537F"/>
    <w:rsid w:val="00B95859"/>
    <w:rsid w:val="00BA0DE0"/>
    <w:rsid w:val="00BA12C8"/>
    <w:rsid w:val="00BA1C3F"/>
    <w:rsid w:val="00BA2181"/>
    <w:rsid w:val="00BB0F20"/>
    <w:rsid w:val="00BB213F"/>
    <w:rsid w:val="00BB6FA9"/>
    <w:rsid w:val="00BB72E3"/>
    <w:rsid w:val="00BC44A1"/>
    <w:rsid w:val="00BC662A"/>
    <w:rsid w:val="00BD3F81"/>
    <w:rsid w:val="00BD4FDA"/>
    <w:rsid w:val="00BD7FD4"/>
    <w:rsid w:val="00BE0183"/>
    <w:rsid w:val="00BE11F5"/>
    <w:rsid w:val="00BE259C"/>
    <w:rsid w:val="00BE2B69"/>
    <w:rsid w:val="00BE59AD"/>
    <w:rsid w:val="00BE5AF1"/>
    <w:rsid w:val="00BE7A45"/>
    <w:rsid w:val="00BF0AEA"/>
    <w:rsid w:val="00BF1369"/>
    <w:rsid w:val="00BF40D6"/>
    <w:rsid w:val="00BF55F1"/>
    <w:rsid w:val="00BF5B9D"/>
    <w:rsid w:val="00BF6E2E"/>
    <w:rsid w:val="00BF6EC0"/>
    <w:rsid w:val="00C02311"/>
    <w:rsid w:val="00C03958"/>
    <w:rsid w:val="00C05265"/>
    <w:rsid w:val="00C05635"/>
    <w:rsid w:val="00C0627D"/>
    <w:rsid w:val="00C06763"/>
    <w:rsid w:val="00C06D61"/>
    <w:rsid w:val="00C0704B"/>
    <w:rsid w:val="00C074DD"/>
    <w:rsid w:val="00C1171A"/>
    <w:rsid w:val="00C163AC"/>
    <w:rsid w:val="00C16C42"/>
    <w:rsid w:val="00C17704"/>
    <w:rsid w:val="00C206D2"/>
    <w:rsid w:val="00C21E09"/>
    <w:rsid w:val="00C21ED3"/>
    <w:rsid w:val="00C23FEF"/>
    <w:rsid w:val="00C252B8"/>
    <w:rsid w:val="00C26BF7"/>
    <w:rsid w:val="00C302C4"/>
    <w:rsid w:val="00C31164"/>
    <w:rsid w:val="00C318AA"/>
    <w:rsid w:val="00C36EB3"/>
    <w:rsid w:val="00C3772F"/>
    <w:rsid w:val="00C37C78"/>
    <w:rsid w:val="00C4198B"/>
    <w:rsid w:val="00C423A2"/>
    <w:rsid w:val="00C424EC"/>
    <w:rsid w:val="00C42A8E"/>
    <w:rsid w:val="00C44BC5"/>
    <w:rsid w:val="00C4507B"/>
    <w:rsid w:val="00C50B06"/>
    <w:rsid w:val="00C53A13"/>
    <w:rsid w:val="00C54FDC"/>
    <w:rsid w:val="00C55457"/>
    <w:rsid w:val="00C55A05"/>
    <w:rsid w:val="00C568C1"/>
    <w:rsid w:val="00C57F2D"/>
    <w:rsid w:val="00C6031A"/>
    <w:rsid w:val="00C62897"/>
    <w:rsid w:val="00C63523"/>
    <w:rsid w:val="00C63F5C"/>
    <w:rsid w:val="00C6426D"/>
    <w:rsid w:val="00C65C5D"/>
    <w:rsid w:val="00C6614D"/>
    <w:rsid w:val="00C664D5"/>
    <w:rsid w:val="00C72FE5"/>
    <w:rsid w:val="00C76C44"/>
    <w:rsid w:val="00C828C8"/>
    <w:rsid w:val="00C8316A"/>
    <w:rsid w:val="00C86081"/>
    <w:rsid w:val="00C9140C"/>
    <w:rsid w:val="00C91D61"/>
    <w:rsid w:val="00C91E4A"/>
    <w:rsid w:val="00C94426"/>
    <w:rsid w:val="00C95058"/>
    <w:rsid w:val="00C9683A"/>
    <w:rsid w:val="00C96E63"/>
    <w:rsid w:val="00C971FB"/>
    <w:rsid w:val="00CA17B5"/>
    <w:rsid w:val="00CA3721"/>
    <w:rsid w:val="00CA3C2A"/>
    <w:rsid w:val="00CA41E3"/>
    <w:rsid w:val="00CA57C6"/>
    <w:rsid w:val="00CA5846"/>
    <w:rsid w:val="00CB0709"/>
    <w:rsid w:val="00CB1237"/>
    <w:rsid w:val="00CB1970"/>
    <w:rsid w:val="00CB238E"/>
    <w:rsid w:val="00CC0F38"/>
    <w:rsid w:val="00CC174D"/>
    <w:rsid w:val="00CC1C3E"/>
    <w:rsid w:val="00CC4A51"/>
    <w:rsid w:val="00CC51EA"/>
    <w:rsid w:val="00CC61BE"/>
    <w:rsid w:val="00CC655F"/>
    <w:rsid w:val="00CC6A64"/>
    <w:rsid w:val="00CC749A"/>
    <w:rsid w:val="00CD08C9"/>
    <w:rsid w:val="00CD2374"/>
    <w:rsid w:val="00CD29B6"/>
    <w:rsid w:val="00CD38FE"/>
    <w:rsid w:val="00CD3C91"/>
    <w:rsid w:val="00CD414E"/>
    <w:rsid w:val="00CD42C5"/>
    <w:rsid w:val="00CD4CB1"/>
    <w:rsid w:val="00CD767D"/>
    <w:rsid w:val="00CE1923"/>
    <w:rsid w:val="00CE446F"/>
    <w:rsid w:val="00CE57FD"/>
    <w:rsid w:val="00CF061D"/>
    <w:rsid w:val="00CF0C88"/>
    <w:rsid w:val="00CF5449"/>
    <w:rsid w:val="00D02891"/>
    <w:rsid w:val="00D02C21"/>
    <w:rsid w:val="00D05118"/>
    <w:rsid w:val="00D05149"/>
    <w:rsid w:val="00D05A69"/>
    <w:rsid w:val="00D10293"/>
    <w:rsid w:val="00D10ABC"/>
    <w:rsid w:val="00D15364"/>
    <w:rsid w:val="00D15DD0"/>
    <w:rsid w:val="00D1675C"/>
    <w:rsid w:val="00D22BD5"/>
    <w:rsid w:val="00D25736"/>
    <w:rsid w:val="00D25A72"/>
    <w:rsid w:val="00D25B20"/>
    <w:rsid w:val="00D25CDC"/>
    <w:rsid w:val="00D316E4"/>
    <w:rsid w:val="00D31A43"/>
    <w:rsid w:val="00D3465F"/>
    <w:rsid w:val="00D35CC1"/>
    <w:rsid w:val="00D3644F"/>
    <w:rsid w:val="00D36572"/>
    <w:rsid w:val="00D37C4C"/>
    <w:rsid w:val="00D40336"/>
    <w:rsid w:val="00D40AC5"/>
    <w:rsid w:val="00D414FB"/>
    <w:rsid w:val="00D41552"/>
    <w:rsid w:val="00D41663"/>
    <w:rsid w:val="00D4329B"/>
    <w:rsid w:val="00D43D65"/>
    <w:rsid w:val="00D44641"/>
    <w:rsid w:val="00D45D56"/>
    <w:rsid w:val="00D461A8"/>
    <w:rsid w:val="00D46DB7"/>
    <w:rsid w:val="00D556ED"/>
    <w:rsid w:val="00D577A9"/>
    <w:rsid w:val="00D62849"/>
    <w:rsid w:val="00D64EE2"/>
    <w:rsid w:val="00D6572E"/>
    <w:rsid w:val="00D6674E"/>
    <w:rsid w:val="00D66FE3"/>
    <w:rsid w:val="00D67988"/>
    <w:rsid w:val="00D70E63"/>
    <w:rsid w:val="00D71D71"/>
    <w:rsid w:val="00D75507"/>
    <w:rsid w:val="00D767F4"/>
    <w:rsid w:val="00D800C6"/>
    <w:rsid w:val="00D80A65"/>
    <w:rsid w:val="00D81CC5"/>
    <w:rsid w:val="00D830C5"/>
    <w:rsid w:val="00D836ED"/>
    <w:rsid w:val="00D83D8D"/>
    <w:rsid w:val="00D8437A"/>
    <w:rsid w:val="00D93188"/>
    <w:rsid w:val="00D936F3"/>
    <w:rsid w:val="00D93FA9"/>
    <w:rsid w:val="00D96C94"/>
    <w:rsid w:val="00DA035C"/>
    <w:rsid w:val="00DA2283"/>
    <w:rsid w:val="00DA3177"/>
    <w:rsid w:val="00DA3A70"/>
    <w:rsid w:val="00DA4AB9"/>
    <w:rsid w:val="00DA4E53"/>
    <w:rsid w:val="00DA5C61"/>
    <w:rsid w:val="00DA5EBB"/>
    <w:rsid w:val="00DA7E9E"/>
    <w:rsid w:val="00DB08BC"/>
    <w:rsid w:val="00DB12C5"/>
    <w:rsid w:val="00DB1560"/>
    <w:rsid w:val="00DB42C7"/>
    <w:rsid w:val="00DB4D60"/>
    <w:rsid w:val="00DB519A"/>
    <w:rsid w:val="00DB5CCC"/>
    <w:rsid w:val="00DB6B14"/>
    <w:rsid w:val="00DC0ED9"/>
    <w:rsid w:val="00DC0FA4"/>
    <w:rsid w:val="00DC2CD9"/>
    <w:rsid w:val="00DC2FBF"/>
    <w:rsid w:val="00DC4763"/>
    <w:rsid w:val="00DC4792"/>
    <w:rsid w:val="00DC7D07"/>
    <w:rsid w:val="00DD04E9"/>
    <w:rsid w:val="00DD0CA8"/>
    <w:rsid w:val="00DD3AF9"/>
    <w:rsid w:val="00DD51DC"/>
    <w:rsid w:val="00DD6054"/>
    <w:rsid w:val="00DD7BE3"/>
    <w:rsid w:val="00DE0849"/>
    <w:rsid w:val="00DE1379"/>
    <w:rsid w:val="00DE2EE9"/>
    <w:rsid w:val="00DE3C64"/>
    <w:rsid w:val="00DE41F7"/>
    <w:rsid w:val="00DE4FB8"/>
    <w:rsid w:val="00DE7BD5"/>
    <w:rsid w:val="00DF0FCE"/>
    <w:rsid w:val="00DF2117"/>
    <w:rsid w:val="00DF2AF7"/>
    <w:rsid w:val="00DF2CA0"/>
    <w:rsid w:val="00DF31F5"/>
    <w:rsid w:val="00DF337F"/>
    <w:rsid w:val="00DF5B05"/>
    <w:rsid w:val="00DF60B9"/>
    <w:rsid w:val="00DF6561"/>
    <w:rsid w:val="00DF6F62"/>
    <w:rsid w:val="00E063A5"/>
    <w:rsid w:val="00E10EDD"/>
    <w:rsid w:val="00E12236"/>
    <w:rsid w:val="00E130AA"/>
    <w:rsid w:val="00E153DB"/>
    <w:rsid w:val="00E1556C"/>
    <w:rsid w:val="00E1592C"/>
    <w:rsid w:val="00E203CD"/>
    <w:rsid w:val="00E2106F"/>
    <w:rsid w:val="00E23086"/>
    <w:rsid w:val="00E23785"/>
    <w:rsid w:val="00E24A10"/>
    <w:rsid w:val="00E25A06"/>
    <w:rsid w:val="00E25E96"/>
    <w:rsid w:val="00E26AA5"/>
    <w:rsid w:val="00E26B34"/>
    <w:rsid w:val="00E3006B"/>
    <w:rsid w:val="00E335F1"/>
    <w:rsid w:val="00E33787"/>
    <w:rsid w:val="00E33EB8"/>
    <w:rsid w:val="00E34A79"/>
    <w:rsid w:val="00E34C47"/>
    <w:rsid w:val="00E34DF9"/>
    <w:rsid w:val="00E372E9"/>
    <w:rsid w:val="00E37A38"/>
    <w:rsid w:val="00E430BD"/>
    <w:rsid w:val="00E44496"/>
    <w:rsid w:val="00E47DA6"/>
    <w:rsid w:val="00E50DAF"/>
    <w:rsid w:val="00E51858"/>
    <w:rsid w:val="00E54190"/>
    <w:rsid w:val="00E60016"/>
    <w:rsid w:val="00E6221C"/>
    <w:rsid w:val="00E62B81"/>
    <w:rsid w:val="00E6325E"/>
    <w:rsid w:val="00E6687B"/>
    <w:rsid w:val="00E7294B"/>
    <w:rsid w:val="00E73019"/>
    <w:rsid w:val="00E80312"/>
    <w:rsid w:val="00E804AE"/>
    <w:rsid w:val="00E81791"/>
    <w:rsid w:val="00E81EA6"/>
    <w:rsid w:val="00E90D6E"/>
    <w:rsid w:val="00E91237"/>
    <w:rsid w:val="00E92173"/>
    <w:rsid w:val="00E9311A"/>
    <w:rsid w:val="00E9347F"/>
    <w:rsid w:val="00E93802"/>
    <w:rsid w:val="00E95FBF"/>
    <w:rsid w:val="00EA078F"/>
    <w:rsid w:val="00EA1C4B"/>
    <w:rsid w:val="00EA1DD2"/>
    <w:rsid w:val="00EA274D"/>
    <w:rsid w:val="00EB2C2C"/>
    <w:rsid w:val="00EB5B09"/>
    <w:rsid w:val="00EB5E82"/>
    <w:rsid w:val="00EB6BBA"/>
    <w:rsid w:val="00EB6E51"/>
    <w:rsid w:val="00EB7B12"/>
    <w:rsid w:val="00EC16FB"/>
    <w:rsid w:val="00EC6C62"/>
    <w:rsid w:val="00EC75FD"/>
    <w:rsid w:val="00EC7CD2"/>
    <w:rsid w:val="00ED19B7"/>
    <w:rsid w:val="00ED245D"/>
    <w:rsid w:val="00ED3A13"/>
    <w:rsid w:val="00ED3CC7"/>
    <w:rsid w:val="00ED4793"/>
    <w:rsid w:val="00ED51D9"/>
    <w:rsid w:val="00ED5411"/>
    <w:rsid w:val="00ED5B42"/>
    <w:rsid w:val="00EE0213"/>
    <w:rsid w:val="00EE4F53"/>
    <w:rsid w:val="00EE7670"/>
    <w:rsid w:val="00EE7EB5"/>
    <w:rsid w:val="00EF355D"/>
    <w:rsid w:val="00EF6C85"/>
    <w:rsid w:val="00F00A3E"/>
    <w:rsid w:val="00F026FA"/>
    <w:rsid w:val="00F02794"/>
    <w:rsid w:val="00F032B0"/>
    <w:rsid w:val="00F03325"/>
    <w:rsid w:val="00F035A9"/>
    <w:rsid w:val="00F061B5"/>
    <w:rsid w:val="00F0729E"/>
    <w:rsid w:val="00F10761"/>
    <w:rsid w:val="00F11E69"/>
    <w:rsid w:val="00F1602D"/>
    <w:rsid w:val="00F16ACF"/>
    <w:rsid w:val="00F17E1D"/>
    <w:rsid w:val="00F25799"/>
    <w:rsid w:val="00F25BD5"/>
    <w:rsid w:val="00F34357"/>
    <w:rsid w:val="00F34F3F"/>
    <w:rsid w:val="00F37A02"/>
    <w:rsid w:val="00F40B94"/>
    <w:rsid w:val="00F4135D"/>
    <w:rsid w:val="00F41679"/>
    <w:rsid w:val="00F41717"/>
    <w:rsid w:val="00F433DB"/>
    <w:rsid w:val="00F4410E"/>
    <w:rsid w:val="00F448E2"/>
    <w:rsid w:val="00F54A6D"/>
    <w:rsid w:val="00F54C7F"/>
    <w:rsid w:val="00F55903"/>
    <w:rsid w:val="00F56E40"/>
    <w:rsid w:val="00F573EC"/>
    <w:rsid w:val="00F57F53"/>
    <w:rsid w:val="00F57F8E"/>
    <w:rsid w:val="00F62D06"/>
    <w:rsid w:val="00F63EDC"/>
    <w:rsid w:val="00F65845"/>
    <w:rsid w:val="00F66278"/>
    <w:rsid w:val="00F66D96"/>
    <w:rsid w:val="00F67273"/>
    <w:rsid w:val="00F70396"/>
    <w:rsid w:val="00F74C87"/>
    <w:rsid w:val="00F75F1E"/>
    <w:rsid w:val="00F77573"/>
    <w:rsid w:val="00F80660"/>
    <w:rsid w:val="00F80C60"/>
    <w:rsid w:val="00F81A31"/>
    <w:rsid w:val="00F82610"/>
    <w:rsid w:val="00F85B51"/>
    <w:rsid w:val="00F85C82"/>
    <w:rsid w:val="00F87529"/>
    <w:rsid w:val="00F90721"/>
    <w:rsid w:val="00F90E5D"/>
    <w:rsid w:val="00F9239E"/>
    <w:rsid w:val="00F945B0"/>
    <w:rsid w:val="00F94D5D"/>
    <w:rsid w:val="00F95109"/>
    <w:rsid w:val="00FA0B5B"/>
    <w:rsid w:val="00FA1C0D"/>
    <w:rsid w:val="00FA2674"/>
    <w:rsid w:val="00FA474C"/>
    <w:rsid w:val="00FA4F59"/>
    <w:rsid w:val="00FA6D58"/>
    <w:rsid w:val="00FA770D"/>
    <w:rsid w:val="00FA7AA5"/>
    <w:rsid w:val="00FB0E61"/>
    <w:rsid w:val="00FB187F"/>
    <w:rsid w:val="00FB221B"/>
    <w:rsid w:val="00FB3A94"/>
    <w:rsid w:val="00FB3B9B"/>
    <w:rsid w:val="00FB4430"/>
    <w:rsid w:val="00FB4C6F"/>
    <w:rsid w:val="00FB5475"/>
    <w:rsid w:val="00FB5F1D"/>
    <w:rsid w:val="00FB63E9"/>
    <w:rsid w:val="00FC0D47"/>
    <w:rsid w:val="00FC0ED1"/>
    <w:rsid w:val="00FC3191"/>
    <w:rsid w:val="00FC3C12"/>
    <w:rsid w:val="00FC60B8"/>
    <w:rsid w:val="00FD005A"/>
    <w:rsid w:val="00FD17E9"/>
    <w:rsid w:val="00FD1BD5"/>
    <w:rsid w:val="00FD43CF"/>
    <w:rsid w:val="00FD4584"/>
    <w:rsid w:val="00FE1001"/>
    <w:rsid w:val="00FE168B"/>
    <w:rsid w:val="00FE234E"/>
    <w:rsid w:val="00FE2CB3"/>
    <w:rsid w:val="00FE3B7B"/>
    <w:rsid w:val="00FE546B"/>
    <w:rsid w:val="00FE54CE"/>
    <w:rsid w:val="00FE67B0"/>
    <w:rsid w:val="00FF1160"/>
    <w:rsid w:val="00FF3DF1"/>
    <w:rsid w:val="00FF424F"/>
    <w:rsid w:val="00FF5A6F"/>
    <w:rsid w:val="00FF7711"/>
  </w:rsids>
  <w:docVars>
    <w:docVar w:name="EN.InstantFormat" w:val="&lt;ENInstantFormat&gt;&lt;Enabled&gt;1&lt;/Enabled&gt;&lt;ScanUnformatted&gt;1&lt;/ScanUnformatted&gt;&lt;ScanChanges&gt;1&lt;/ScanChanges&gt;&lt;Suspended&gt;1&lt;/Suspended&gt;&lt;/ENInstantFormat&gt;"/>
  </w:docVars>
  <m:mathPr>
    <m:mathFont m:val="Cambria Math"/>
  </m:mathPr>
  <w:themeFontLang w:val="de-DE"/>
  <w:clrSchemeMapping w:bg1="light1" w:t1="dark1" w:bg2="light2" w:t2="dark2" w:accent1="accent1" w:accent2="accent2" w:accent3="accent3" w:accent4="accent4" w:accent5="accent5" w:accent6="accent6" w:hyperlink="hyperlink" w:followedHyperlink="followedHyperlink"/>
  <w15:docId w15:val="{7760DCFF-FB67-4334-B5C6-8D8A1AC9B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0"/>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0"/>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A70"/>
    <w:pPr>
      <w:spacing w:after="200" w:line="276" w:lineRule="auto"/>
    </w:pPr>
    <w:rPr>
      <w:rFonts w:ascii="Calibri" w:eastAsia="Times New Roman" w:hAnsi="Calibri" w:cs="Times New Roman"/>
    </w:rPr>
  </w:style>
  <w:style w:type="paragraph" w:styleId="Heading1">
    <w:name w:val="heading 1"/>
    <w:aliases w:val="ECDC AF Heading 1"/>
    <w:basedOn w:val="Normal"/>
    <w:next w:val="Normal"/>
    <w:link w:val="Heading1Char"/>
    <w:qFormat/>
    <w:rsid w:val="00DA3A70"/>
    <w:pPr>
      <w:keepNext/>
      <w:spacing w:after="0" w:line="240" w:lineRule="auto"/>
      <w:outlineLvl w:val="0"/>
    </w:pPr>
    <w:rPr>
      <w:rFonts w:ascii="Times New Roman" w:eastAsia="MS Mincho" w:hAnsi="Times New Roman"/>
      <w:b/>
      <w:sz w:val="24"/>
      <w:szCs w:val="24"/>
    </w:rPr>
  </w:style>
  <w:style w:type="paragraph" w:styleId="Heading2">
    <w:name w:val="heading 2"/>
    <w:aliases w:val="ECDC AF Heading 2"/>
    <w:basedOn w:val="Normal"/>
    <w:next w:val="Paragrafoelenco1"/>
    <w:link w:val="Heading2Char"/>
    <w:autoRedefine/>
    <w:uiPriority w:val="9"/>
    <w:qFormat/>
    <w:rsid w:val="00DA3A70"/>
    <w:pPr>
      <w:keepNext/>
      <w:keepLines/>
      <w:spacing w:before="240" w:after="240" w:line="240" w:lineRule="auto"/>
      <w:jc w:val="both"/>
      <w:outlineLvl w:val="1"/>
    </w:pPr>
    <w:rPr>
      <w:rFonts w:ascii="Tahoma" w:hAnsi="Tahoma"/>
      <w:b/>
      <w:bCs/>
      <w:i/>
      <w:color w:val="008000"/>
      <w:sz w:val="26"/>
      <w:szCs w:val="26"/>
    </w:rPr>
  </w:style>
  <w:style w:type="paragraph" w:styleId="Heading3">
    <w:name w:val="heading 3"/>
    <w:aliases w:val="ECDC AF Heading 3"/>
    <w:basedOn w:val="Normal"/>
    <w:next w:val="Normal"/>
    <w:link w:val="Heading3Char"/>
    <w:autoRedefine/>
    <w:uiPriority w:val="9"/>
    <w:qFormat/>
    <w:rsid w:val="00DA3A70"/>
    <w:pPr>
      <w:keepNext/>
      <w:keepLines/>
      <w:spacing w:before="240" w:after="240" w:line="240" w:lineRule="auto"/>
      <w:outlineLvl w:val="2"/>
    </w:pPr>
    <w:rPr>
      <w:rFonts w:ascii="Tahoma" w:hAnsi="Tahoma"/>
      <w:b/>
      <w:bCs/>
      <w:color w:val="1F497D"/>
      <w:szCs w:val="20"/>
    </w:rPr>
  </w:style>
  <w:style w:type="paragraph" w:styleId="Heading4">
    <w:name w:val="heading 4"/>
    <w:basedOn w:val="Normal"/>
    <w:next w:val="Normal"/>
    <w:link w:val="Heading4Char"/>
    <w:uiPriority w:val="9"/>
    <w:unhideWhenUsed/>
    <w:qFormat/>
    <w:rsid w:val="00EA1DD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E9380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DC AF Heading 1 Char"/>
    <w:link w:val="Heading1"/>
    <w:rsid w:val="00DA3A70"/>
    <w:rPr>
      <w:rFonts w:ascii="Times New Roman" w:eastAsia="MS Mincho" w:hAnsi="Times New Roman" w:cs="Times New Roman"/>
      <w:b/>
      <w:sz w:val="24"/>
      <w:szCs w:val="24"/>
      <w:lang w:eastAsia="de-DE"/>
    </w:rPr>
  </w:style>
  <w:style w:type="character" w:customStyle="1" w:styleId="Heading2Char">
    <w:name w:val="Heading 2 Char"/>
    <w:aliases w:val="ECDC AF Heading 2 Char"/>
    <w:link w:val="Heading2"/>
    <w:uiPriority w:val="9"/>
    <w:rsid w:val="00DA3A70"/>
    <w:rPr>
      <w:rFonts w:ascii="Tahoma" w:eastAsia="Times New Roman" w:hAnsi="Tahoma" w:cs="Times New Roman"/>
      <w:b/>
      <w:bCs/>
      <w:i/>
      <w:color w:val="008000"/>
      <w:sz w:val="26"/>
      <w:szCs w:val="26"/>
    </w:rPr>
  </w:style>
  <w:style w:type="character" w:customStyle="1" w:styleId="Heading3Char">
    <w:name w:val="Heading 3 Char"/>
    <w:aliases w:val="ECDC AF Heading 3 Char"/>
    <w:link w:val="Heading3"/>
    <w:uiPriority w:val="9"/>
    <w:rsid w:val="00DA3A70"/>
    <w:rPr>
      <w:rFonts w:ascii="Tahoma" w:eastAsia="Times New Roman" w:hAnsi="Tahoma" w:cs="Times New Roman"/>
      <w:b/>
      <w:bCs/>
      <w:color w:val="1F497D"/>
      <w:szCs w:val="20"/>
    </w:rPr>
  </w:style>
  <w:style w:type="paragraph" w:styleId="BalloonText">
    <w:name w:val="Balloon Text"/>
    <w:basedOn w:val="Normal"/>
    <w:link w:val="BalloonTextChar"/>
    <w:semiHidden/>
    <w:unhideWhenUsed/>
    <w:rsid w:val="00DA3A70"/>
    <w:pPr>
      <w:spacing w:after="0" w:line="240" w:lineRule="auto"/>
    </w:pPr>
    <w:rPr>
      <w:rFonts w:ascii="Tahoma" w:hAnsi="Tahoma"/>
      <w:sz w:val="16"/>
      <w:szCs w:val="16"/>
    </w:rPr>
  </w:style>
  <w:style w:type="character" w:customStyle="1" w:styleId="BalloonTextChar">
    <w:name w:val="Balloon Text Char"/>
    <w:link w:val="BalloonText"/>
    <w:semiHidden/>
    <w:rsid w:val="00DA3A70"/>
    <w:rPr>
      <w:rFonts w:ascii="Tahoma" w:eastAsia="Times New Roman" w:hAnsi="Tahoma" w:cs="Times New Roman"/>
      <w:sz w:val="16"/>
      <w:szCs w:val="16"/>
      <w:lang w:val="de-DE" w:eastAsia="de-DE"/>
    </w:rPr>
  </w:style>
  <w:style w:type="paragraph" w:customStyle="1" w:styleId="ListParagraph1">
    <w:name w:val="List Paragraph1"/>
    <w:basedOn w:val="Normal"/>
    <w:uiPriority w:val="34"/>
    <w:qFormat/>
    <w:rsid w:val="00DA3A70"/>
    <w:pPr>
      <w:ind w:left="720"/>
      <w:contextualSpacing/>
    </w:pPr>
  </w:style>
  <w:style w:type="character" w:styleId="Hyperlink">
    <w:name w:val="Hyperlink"/>
    <w:rsid w:val="00DA3A70"/>
    <w:rPr>
      <w:color w:val="0000FF"/>
      <w:u w:val="single"/>
    </w:rPr>
  </w:style>
  <w:style w:type="paragraph" w:styleId="CommentText">
    <w:name w:val="annotation text"/>
    <w:basedOn w:val="Normal"/>
    <w:link w:val="CommentTextChar1"/>
    <w:uiPriority w:val="99"/>
    <w:unhideWhenUsed/>
    <w:rsid w:val="00DA3A70"/>
    <w:pPr>
      <w:spacing w:line="240" w:lineRule="auto"/>
    </w:pPr>
    <w:rPr>
      <w:rFonts w:eastAsia="Calibri"/>
      <w:sz w:val="20"/>
      <w:szCs w:val="20"/>
    </w:rPr>
  </w:style>
  <w:style w:type="character" w:customStyle="1" w:styleId="CommentTextChar">
    <w:name w:val="Comment Text Char"/>
    <w:uiPriority w:val="99"/>
    <w:rsid w:val="00DA3A70"/>
    <w:rPr>
      <w:rFonts w:eastAsia="Times New Roman" w:cs="Times New Roman"/>
      <w:lang w:val="de-DE" w:eastAsia="de-DE"/>
    </w:rPr>
  </w:style>
  <w:style w:type="character" w:customStyle="1" w:styleId="CommentTextChar1">
    <w:name w:val="Comment Text Char1"/>
    <w:link w:val="CommentText"/>
    <w:uiPriority w:val="99"/>
    <w:rsid w:val="00DA3A70"/>
    <w:rPr>
      <w:rFonts w:ascii="Calibri" w:eastAsia="Calibri" w:hAnsi="Calibri" w:cs="Times New Roman"/>
      <w:sz w:val="20"/>
      <w:szCs w:val="20"/>
      <w:lang w:val="de-DE"/>
    </w:rPr>
  </w:style>
  <w:style w:type="paragraph" w:styleId="HTMLPreformatted">
    <w:name w:val="HTML Preformatted"/>
    <w:basedOn w:val="Normal"/>
    <w:link w:val="HTMLPreformattedChar"/>
    <w:uiPriority w:val="99"/>
    <w:semiHidden/>
    <w:unhideWhenUsed/>
    <w:rsid w:val="00DA3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PreformattedChar">
    <w:name w:val="HTML Preformatted Char"/>
    <w:link w:val="HTMLPreformatted"/>
    <w:uiPriority w:val="99"/>
    <w:semiHidden/>
    <w:rsid w:val="00DA3A70"/>
    <w:rPr>
      <w:rFonts w:ascii="Courier New" w:eastAsia="Times New Roman" w:hAnsi="Courier New" w:cs="Times New Roman"/>
      <w:sz w:val="20"/>
      <w:szCs w:val="20"/>
      <w:lang w:val="de-DE" w:eastAsia="de-DE"/>
    </w:rPr>
  </w:style>
  <w:style w:type="character" w:styleId="CommentReference">
    <w:name w:val="annotation reference"/>
    <w:uiPriority w:val="99"/>
    <w:semiHidden/>
    <w:unhideWhenUsed/>
    <w:rsid w:val="00DA3A70"/>
    <w:rPr>
      <w:sz w:val="16"/>
      <w:szCs w:val="16"/>
    </w:rPr>
  </w:style>
  <w:style w:type="paragraph" w:styleId="CommentSubject">
    <w:name w:val="annotation subject"/>
    <w:basedOn w:val="CommentText"/>
    <w:next w:val="CommentText"/>
    <w:link w:val="CommentSubjectChar"/>
    <w:uiPriority w:val="99"/>
    <w:semiHidden/>
    <w:unhideWhenUsed/>
    <w:rsid w:val="00DA3A70"/>
    <w:pPr>
      <w:spacing w:line="276" w:lineRule="auto"/>
    </w:pPr>
    <w:rPr>
      <w:b/>
      <w:bCs/>
    </w:rPr>
  </w:style>
  <w:style w:type="character" w:customStyle="1" w:styleId="CommentSubjectChar">
    <w:name w:val="Comment Subject Char"/>
    <w:link w:val="CommentSubject"/>
    <w:uiPriority w:val="99"/>
    <w:semiHidden/>
    <w:rsid w:val="00DA3A70"/>
    <w:rPr>
      <w:rFonts w:ascii="Calibri" w:eastAsia="Calibri" w:hAnsi="Calibri" w:cs="Times New Roman"/>
      <w:b/>
      <w:bCs/>
      <w:sz w:val="20"/>
      <w:szCs w:val="20"/>
      <w:lang w:val="de-DE"/>
    </w:rPr>
  </w:style>
  <w:style w:type="paragraph" w:styleId="Header">
    <w:name w:val="header"/>
    <w:basedOn w:val="Normal"/>
    <w:link w:val="HeaderChar"/>
    <w:uiPriority w:val="99"/>
    <w:unhideWhenUsed/>
    <w:rsid w:val="00DA3A70"/>
    <w:pPr>
      <w:tabs>
        <w:tab w:val="center" w:pos="4819"/>
        <w:tab w:val="right" w:pos="9638"/>
      </w:tabs>
    </w:pPr>
  </w:style>
  <w:style w:type="character" w:customStyle="1" w:styleId="HeaderChar">
    <w:name w:val="Header Char"/>
    <w:link w:val="Header"/>
    <w:uiPriority w:val="99"/>
    <w:rsid w:val="00DA3A70"/>
    <w:rPr>
      <w:rFonts w:ascii="Calibri" w:eastAsia="Times New Roman" w:hAnsi="Calibri" w:cs="Times New Roman"/>
      <w:lang w:val="de-DE" w:eastAsia="de-DE"/>
    </w:rPr>
  </w:style>
  <w:style w:type="paragraph" w:styleId="Footer">
    <w:name w:val="footer"/>
    <w:basedOn w:val="Normal"/>
    <w:link w:val="FooterChar"/>
    <w:uiPriority w:val="99"/>
    <w:unhideWhenUsed/>
    <w:rsid w:val="00DA3A70"/>
    <w:pPr>
      <w:tabs>
        <w:tab w:val="center" w:pos="4819"/>
        <w:tab w:val="right" w:pos="9638"/>
      </w:tabs>
    </w:pPr>
  </w:style>
  <w:style w:type="character" w:customStyle="1" w:styleId="FooterChar">
    <w:name w:val="Footer Char"/>
    <w:link w:val="Footer"/>
    <w:uiPriority w:val="99"/>
    <w:rsid w:val="00DA3A70"/>
    <w:rPr>
      <w:rFonts w:ascii="Calibri" w:eastAsia="Times New Roman" w:hAnsi="Calibri" w:cs="Times New Roman"/>
      <w:lang w:val="de-DE" w:eastAsia="de-DE"/>
    </w:rPr>
  </w:style>
  <w:style w:type="paragraph" w:styleId="FootnoteText">
    <w:name w:val="footnote text"/>
    <w:basedOn w:val="Normal"/>
    <w:link w:val="FootnoteTextChar"/>
    <w:unhideWhenUsed/>
    <w:rsid w:val="00DA3A70"/>
    <w:rPr>
      <w:sz w:val="20"/>
      <w:szCs w:val="20"/>
    </w:rPr>
  </w:style>
  <w:style w:type="character" w:customStyle="1" w:styleId="FootnoteTextChar">
    <w:name w:val="Footnote Text Char"/>
    <w:link w:val="FootnoteText"/>
    <w:rsid w:val="00DA3A70"/>
    <w:rPr>
      <w:rFonts w:ascii="Calibri" w:eastAsia="Times New Roman" w:hAnsi="Calibri" w:cs="Times New Roman"/>
      <w:sz w:val="20"/>
      <w:szCs w:val="20"/>
      <w:lang w:val="de-DE" w:eastAsia="de-DE"/>
    </w:rPr>
  </w:style>
  <w:style w:type="character" w:styleId="FootnoteReference">
    <w:name w:val="footnote reference"/>
    <w:unhideWhenUsed/>
    <w:rsid w:val="00DA3A70"/>
    <w:rPr>
      <w:vertAlign w:val="superscript"/>
    </w:rPr>
  </w:style>
  <w:style w:type="paragraph" w:styleId="PlainText">
    <w:name w:val="Plain Text"/>
    <w:basedOn w:val="Normal"/>
    <w:link w:val="PlainTextChar"/>
    <w:uiPriority w:val="99"/>
    <w:semiHidden/>
    <w:unhideWhenUsed/>
    <w:rsid w:val="00DA3A70"/>
    <w:pPr>
      <w:spacing w:after="0" w:line="240" w:lineRule="auto"/>
    </w:pPr>
    <w:rPr>
      <w:rFonts w:ascii="Consolas" w:eastAsia="Calibri" w:hAnsi="Consolas"/>
      <w:sz w:val="21"/>
      <w:szCs w:val="21"/>
    </w:rPr>
  </w:style>
  <w:style w:type="character" w:customStyle="1" w:styleId="PlainTextChar">
    <w:name w:val="Plain Text Char"/>
    <w:link w:val="PlainText"/>
    <w:uiPriority w:val="99"/>
    <w:semiHidden/>
    <w:rsid w:val="00DA3A70"/>
    <w:rPr>
      <w:rFonts w:ascii="Consolas" w:eastAsia="Calibri" w:hAnsi="Consolas" w:cs="Times New Roman"/>
      <w:sz w:val="21"/>
      <w:szCs w:val="21"/>
      <w:lang w:val="de-DE"/>
    </w:rPr>
  </w:style>
  <w:style w:type="paragraph" w:customStyle="1" w:styleId="Revision1">
    <w:name w:val="Revision1"/>
    <w:hidden/>
    <w:uiPriority w:val="99"/>
    <w:semiHidden/>
    <w:rsid w:val="00DA3A70"/>
    <w:pPr>
      <w:spacing w:after="0" w:line="240" w:lineRule="auto"/>
    </w:pPr>
    <w:rPr>
      <w:rFonts w:ascii="Calibri" w:eastAsia="Times New Roman" w:hAnsi="Calibri" w:cs="Times New Roman"/>
    </w:rPr>
  </w:style>
  <w:style w:type="character" w:styleId="Emphasis">
    <w:name w:val="Emphasis"/>
    <w:uiPriority w:val="20"/>
    <w:qFormat/>
    <w:rsid w:val="00DA3A70"/>
    <w:rPr>
      <w:i/>
      <w:iCs/>
    </w:rPr>
  </w:style>
  <w:style w:type="character" w:styleId="Strong">
    <w:name w:val="Strong"/>
    <w:uiPriority w:val="22"/>
    <w:qFormat/>
    <w:rsid w:val="00DA3A70"/>
    <w:rPr>
      <w:b/>
      <w:bCs/>
    </w:rPr>
  </w:style>
  <w:style w:type="character" w:customStyle="1" w:styleId="cit-sep3">
    <w:name w:val="cit-sep3"/>
    <w:basedOn w:val="DefaultParagraphFont"/>
    <w:rsid w:val="00DA3A70"/>
  </w:style>
  <w:style w:type="character" w:styleId="HTMLCite">
    <w:name w:val="HTML Cite"/>
    <w:uiPriority w:val="99"/>
    <w:semiHidden/>
    <w:unhideWhenUsed/>
    <w:rsid w:val="00DA3A70"/>
    <w:rPr>
      <w:i/>
      <w:iCs/>
    </w:rPr>
  </w:style>
  <w:style w:type="character" w:customStyle="1" w:styleId="cit-title3">
    <w:name w:val="cit-title3"/>
    <w:basedOn w:val="DefaultParagraphFont"/>
    <w:rsid w:val="00DA3A70"/>
  </w:style>
  <w:style w:type="character" w:customStyle="1" w:styleId="cit-print-date">
    <w:name w:val="cit-print-date"/>
    <w:basedOn w:val="DefaultParagraphFont"/>
    <w:rsid w:val="00DA3A70"/>
  </w:style>
  <w:style w:type="character" w:customStyle="1" w:styleId="cit-vol">
    <w:name w:val="cit-vol"/>
    <w:basedOn w:val="DefaultParagraphFont"/>
    <w:rsid w:val="00DA3A70"/>
  </w:style>
  <w:style w:type="character" w:customStyle="1" w:styleId="cit-first-page">
    <w:name w:val="cit-first-page"/>
    <w:basedOn w:val="DefaultParagraphFont"/>
    <w:rsid w:val="00DA3A70"/>
  </w:style>
  <w:style w:type="character" w:customStyle="1" w:styleId="cit-last-page">
    <w:name w:val="cit-last-page"/>
    <w:basedOn w:val="DefaultParagraphFont"/>
    <w:rsid w:val="00DA3A70"/>
  </w:style>
  <w:style w:type="character" w:customStyle="1" w:styleId="search-result-highlight1">
    <w:name w:val="search-result-highlight1"/>
    <w:rsid w:val="00DA3A70"/>
    <w:rPr>
      <w:b/>
      <w:bCs/>
      <w:color w:val="CC0000"/>
    </w:rPr>
  </w:style>
  <w:style w:type="character" w:customStyle="1" w:styleId="cit-auth2">
    <w:name w:val="cit-auth2"/>
    <w:basedOn w:val="DefaultParagraphFont"/>
    <w:rsid w:val="00DA3A70"/>
  </w:style>
  <w:style w:type="character" w:customStyle="1" w:styleId="cit-sep4">
    <w:name w:val="cit-sep4"/>
    <w:basedOn w:val="DefaultParagraphFont"/>
    <w:rsid w:val="00DA3A70"/>
  </w:style>
  <w:style w:type="character" w:customStyle="1" w:styleId="cit-title9">
    <w:name w:val="cit-title9"/>
    <w:basedOn w:val="DefaultParagraphFont"/>
    <w:rsid w:val="00DA3A70"/>
  </w:style>
  <w:style w:type="character" w:customStyle="1" w:styleId="cit-subtitle">
    <w:name w:val="cit-subtitle"/>
    <w:basedOn w:val="DefaultParagraphFont"/>
    <w:rsid w:val="00DA3A70"/>
  </w:style>
  <w:style w:type="character" w:customStyle="1" w:styleId="cit-vol2">
    <w:name w:val="cit-vol2"/>
    <w:basedOn w:val="DefaultParagraphFont"/>
    <w:rsid w:val="00DA3A70"/>
  </w:style>
  <w:style w:type="character" w:customStyle="1" w:styleId="cit-issue">
    <w:name w:val="cit-issue"/>
    <w:basedOn w:val="DefaultParagraphFont"/>
    <w:rsid w:val="00DA3A70"/>
  </w:style>
  <w:style w:type="character" w:customStyle="1" w:styleId="cit-last-page2">
    <w:name w:val="cit-last-page2"/>
    <w:basedOn w:val="DefaultParagraphFont"/>
    <w:rsid w:val="00DA3A70"/>
  </w:style>
  <w:style w:type="paragraph" w:customStyle="1" w:styleId="Pa4">
    <w:name w:val="Pa4"/>
    <w:basedOn w:val="Normal"/>
    <w:next w:val="Normal"/>
    <w:uiPriority w:val="99"/>
    <w:rsid w:val="00DA3A70"/>
    <w:pPr>
      <w:autoSpaceDE w:val="0"/>
      <w:autoSpaceDN w:val="0"/>
      <w:adjustRightInd w:val="0"/>
      <w:spacing w:after="0" w:line="201" w:lineRule="atLeast"/>
    </w:pPr>
    <w:rPr>
      <w:rFonts w:ascii="Minion Pro" w:eastAsia="MS Mincho" w:hAnsi="Minion Pro"/>
      <w:sz w:val="24"/>
      <w:szCs w:val="24"/>
    </w:rPr>
  </w:style>
  <w:style w:type="character" w:customStyle="1" w:styleId="ja50-ce-author1">
    <w:name w:val="ja50-ce-author1"/>
    <w:rsid w:val="00DA3A70"/>
    <w:rPr>
      <w:color w:val="808080"/>
      <w:sz w:val="23"/>
      <w:szCs w:val="23"/>
    </w:rPr>
  </w:style>
  <w:style w:type="character" w:customStyle="1" w:styleId="ja50-ce-title2">
    <w:name w:val="ja50-ce-title2"/>
    <w:rsid w:val="00DA3A70"/>
    <w:rPr>
      <w:b/>
      <w:bCs/>
      <w:color w:val="000000"/>
      <w:sz w:val="24"/>
      <w:szCs w:val="24"/>
    </w:rPr>
  </w:style>
  <w:style w:type="paragraph" w:customStyle="1" w:styleId="Elencoacolori-Colore11">
    <w:name w:val="Elenco a colori - Colore 11"/>
    <w:basedOn w:val="Normal"/>
    <w:uiPriority w:val="34"/>
    <w:qFormat/>
    <w:rsid w:val="00DA3A70"/>
    <w:pPr>
      <w:ind w:left="720"/>
      <w:contextualSpacing/>
    </w:pPr>
  </w:style>
  <w:style w:type="paragraph" w:customStyle="1" w:styleId="Elencoacolori-Colore12">
    <w:name w:val="Elenco a colori - Colore 12"/>
    <w:basedOn w:val="Normal"/>
    <w:qFormat/>
    <w:rsid w:val="00DA3A70"/>
    <w:pPr>
      <w:ind w:left="720"/>
      <w:contextualSpacing/>
    </w:pPr>
  </w:style>
  <w:style w:type="table" w:styleId="TableGrid">
    <w:name w:val="Table Grid"/>
    <w:basedOn w:val="TableNormal"/>
    <w:uiPriority w:val="39"/>
    <w:rsid w:val="00DA3A70"/>
    <w:pPr>
      <w:spacing w:after="200" w:line="276"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3">
    <w:name w:val="Medium Grid 3 Accent 3"/>
    <w:basedOn w:val="TableNormal"/>
    <w:uiPriority w:val="60"/>
    <w:rsid w:val="00DA3A70"/>
    <w:pPr>
      <w:spacing w:after="0" w:line="240" w:lineRule="auto"/>
    </w:pPr>
    <w:rPr>
      <w:rFonts w:ascii="Tahoma" w:eastAsia="Calibri" w:hAnsi="Tahoma" w:cs="Times New Roman"/>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TOCHeading">
    <w:name w:val="TOC Heading"/>
    <w:basedOn w:val="Heading1"/>
    <w:next w:val="Normal"/>
    <w:uiPriority w:val="39"/>
    <w:qFormat/>
    <w:rsid w:val="00DA3A70"/>
    <w:pPr>
      <w:keepLines/>
      <w:spacing w:before="240" w:after="600"/>
      <w:jc w:val="center"/>
      <w:outlineLvl w:val="9"/>
    </w:pPr>
    <w:rPr>
      <w:rFonts w:ascii="Tahoma" w:eastAsia="Times New Roman" w:hAnsi="Tahoma"/>
      <w:bCs/>
      <w:color w:val="008000"/>
      <w:sz w:val="28"/>
      <w:szCs w:val="28"/>
    </w:rPr>
  </w:style>
  <w:style w:type="paragraph" w:styleId="Title">
    <w:name w:val="Title"/>
    <w:aliases w:val="ECDC AF Title"/>
    <w:basedOn w:val="Normal"/>
    <w:next w:val="Normal"/>
    <w:link w:val="TitleChar"/>
    <w:autoRedefine/>
    <w:uiPriority w:val="10"/>
    <w:qFormat/>
    <w:rsid w:val="00DA3A70"/>
    <w:pPr>
      <w:spacing w:before="240" w:after="360" w:line="240" w:lineRule="auto"/>
      <w:jc w:val="center"/>
    </w:pPr>
    <w:rPr>
      <w:rFonts w:ascii="Tahoma" w:hAnsi="Tahoma"/>
      <w:b/>
      <w:spacing w:val="5"/>
      <w:kern w:val="28"/>
      <w:sz w:val="28"/>
      <w:szCs w:val="52"/>
    </w:rPr>
  </w:style>
  <w:style w:type="character" w:customStyle="1" w:styleId="TitleChar">
    <w:name w:val="Title Char"/>
    <w:aliases w:val="ECDC AF Title Char"/>
    <w:link w:val="Title"/>
    <w:uiPriority w:val="10"/>
    <w:rsid w:val="00DA3A70"/>
    <w:rPr>
      <w:rFonts w:ascii="Tahoma" w:eastAsia="Times New Roman" w:hAnsi="Tahoma" w:cs="Times New Roman"/>
      <w:b/>
      <w:spacing w:val="5"/>
      <w:kern w:val="28"/>
      <w:sz w:val="28"/>
      <w:szCs w:val="52"/>
    </w:rPr>
  </w:style>
  <w:style w:type="paragraph" w:customStyle="1" w:styleId="Paragrafoelenco1">
    <w:name w:val="Paragrafo elenco1"/>
    <w:aliases w:val="ECDC AF Paragraph"/>
    <w:basedOn w:val="Normal"/>
    <w:autoRedefine/>
    <w:uiPriority w:val="34"/>
    <w:qFormat/>
    <w:rsid w:val="00DA3A70"/>
    <w:pPr>
      <w:numPr>
        <w:numId w:val="7"/>
      </w:numPr>
      <w:tabs>
        <w:tab w:val="left" w:pos="567"/>
      </w:tabs>
      <w:spacing w:before="120" w:after="120" w:line="240" w:lineRule="auto"/>
      <w:ind w:left="0" w:firstLine="0"/>
      <w:jc w:val="both"/>
    </w:pPr>
    <w:rPr>
      <w:rFonts w:ascii="Tahoma" w:eastAsia="Calibri" w:hAnsi="Tahoma"/>
      <w:sz w:val="20"/>
      <w:szCs w:val="20"/>
    </w:rPr>
  </w:style>
  <w:style w:type="paragraph" w:styleId="TOC1">
    <w:name w:val="toc 1"/>
    <w:basedOn w:val="Normal"/>
    <w:next w:val="Normal"/>
    <w:autoRedefine/>
    <w:uiPriority w:val="39"/>
    <w:unhideWhenUsed/>
    <w:rsid w:val="00DA3A70"/>
    <w:pPr>
      <w:spacing w:before="120" w:after="100" w:line="240" w:lineRule="auto"/>
    </w:pPr>
    <w:rPr>
      <w:rFonts w:ascii="Tahoma" w:eastAsia="Calibri" w:hAnsi="Tahoma"/>
      <w:sz w:val="20"/>
      <w:szCs w:val="20"/>
    </w:rPr>
  </w:style>
  <w:style w:type="paragraph" w:styleId="TOC2">
    <w:name w:val="toc 2"/>
    <w:basedOn w:val="Normal"/>
    <w:next w:val="Normal"/>
    <w:autoRedefine/>
    <w:uiPriority w:val="39"/>
    <w:unhideWhenUsed/>
    <w:rsid w:val="00DA3A70"/>
    <w:pPr>
      <w:spacing w:before="120" w:after="100" w:line="240" w:lineRule="auto"/>
      <w:ind w:left="200"/>
    </w:pPr>
    <w:rPr>
      <w:rFonts w:ascii="Tahoma" w:eastAsia="Calibri" w:hAnsi="Tahoma"/>
      <w:sz w:val="20"/>
      <w:szCs w:val="20"/>
    </w:rPr>
  </w:style>
  <w:style w:type="paragraph" w:styleId="TOC3">
    <w:name w:val="toc 3"/>
    <w:basedOn w:val="Normal"/>
    <w:next w:val="Normal"/>
    <w:autoRedefine/>
    <w:uiPriority w:val="39"/>
    <w:unhideWhenUsed/>
    <w:rsid w:val="00DA3A70"/>
    <w:pPr>
      <w:spacing w:before="120" w:after="100" w:line="240" w:lineRule="auto"/>
      <w:ind w:left="400"/>
    </w:pPr>
    <w:rPr>
      <w:rFonts w:ascii="Tahoma" w:eastAsia="Calibri" w:hAnsi="Tahoma"/>
      <w:sz w:val="20"/>
      <w:szCs w:val="20"/>
    </w:rPr>
  </w:style>
  <w:style w:type="paragraph" w:customStyle="1" w:styleId="ColorfulShading-Accent11">
    <w:name w:val="Colorful Shading - Accent 11"/>
    <w:hidden/>
    <w:uiPriority w:val="99"/>
    <w:semiHidden/>
    <w:rsid w:val="00DA3A70"/>
    <w:pPr>
      <w:spacing w:after="0" w:line="240" w:lineRule="auto"/>
    </w:pPr>
    <w:rPr>
      <w:rFonts w:ascii="Calibri" w:eastAsia="Times New Roman" w:hAnsi="Calibri" w:cs="Times New Roman"/>
    </w:rPr>
  </w:style>
  <w:style w:type="paragraph" w:customStyle="1" w:styleId="ColorfulList-Accent11">
    <w:name w:val="Colorful List - Accent 11"/>
    <w:basedOn w:val="Normal"/>
    <w:uiPriority w:val="34"/>
    <w:qFormat/>
    <w:rsid w:val="00DA3A70"/>
    <w:pPr>
      <w:ind w:left="708"/>
    </w:pPr>
  </w:style>
  <w:style w:type="paragraph" w:styleId="NormalWeb">
    <w:name w:val="Normal (Web)"/>
    <w:basedOn w:val="Normal"/>
    <w:uiPriority w:val="99"/>
    <w:semiHidden/>
    <w:unhideWhenUsed/>
    <w:rsid w:val="00DA3A70"/>
    <w:rPr>
      <w:rFonts w:ascii="Times New Roman" w:hAnsi="Times New Roman"/>
      <w:sz w:val="24"/>
      <w:szCs w:val="24"/>
    </w:rPr>
  </w:style>
  <w:style w:type="paragraph" w:customStyle="1" w:styleId="EndNoteBibliographyTitle">
    <w:name w:val="EndNote Bibliography Title"/>
    <w:basedOn w:val="Normal"/>
    <w:link w:val="EndNoteBibliographyTitleChar"/>
    <w:rsid w:val="00DA3A70"/>
    <w:pPr>
      <w:spacing w:after="0"/>
      <w:jc w:val="center"/>
    </w:pPr>
    <w:rPr>
      <w:noProof/>
      <w:sz w:val="20"/>
    </w:rPr>
  </w:style>
  <w:style w:type="character" w:customStyle="1" w:styleId="EndNoteBibliographyTitleChar">
    <w:name w:val="EndNote Bibliography Title Char"/>
    <w:link w:val="EndNoteBibliographyTitle"/>
    <w:rsid w:val="00DA3A70"/>
    <w:rPr>
      <w:rFonts w:ascii="Calibri" w:eastAsia="Times New Roman" w:hAnsi="Calibri" w:cs="Times New Roman"/>
      <w:noProof/>
      <w:sz w:val="20"/>
      <w:lang w:val="de-DE" w:eastAsia="de-DE"/>
    </w:rPr>
  </w:style>
  <w:style w:type="paragraph" w:customStyle="1" w:styleId="EndNoteBibliography">
    <w:name w:val="EndNote Bibliography"/>
    <w:basedOn w:val="Normal"/>
    <w:link w:val="EndNoteBibliographyChar"/>
    <w:rsid w:val="00DA3A70"/>
    <w:pPr>
      <w:spacing w:line="240" w:lineRule="auto"/>
      <w:jc w:val="both"/>
    </w:pPr>
    <w:rPr>
      <w:noProof/>
      <w:sz w:val="20"/>
    </w:rPr>
  </w:style>
  <w:style w:type="character" w:customStyle="1" w:styleId="EndNoteBibliographyChar">
    <w:name w:val="EndNote Bibliography Char"/>
    <w:link w:val="EndNoteBibliography"/>
    <w:rsid w:val="00DA3A70"/>
    <w:rPr>
      <w:rFonts w:ascii="Calibri" w:eastAsia="Times New Roman" w:hAnsi="Calibri" w:cs="Times New Roman"/>
      <w:noProof/>
      <w:sz w:val="20"/>
      <w:lang w:val="de-DE" w:eastAsia="de-DE"/>
    </w:rPr>
  </w:style>
  <w:style w:type="character" w:styleId="FollowedHyperlink">
    <w:name w:val="FollowedHyperlink"/>
    <w:uiPriority w:val="99"/>
    <w:semiHidden/>
    <w:unhideWhenUsed/>
    <w:rsid w:val="00DA3A70"/>
    <w:rPr>
      <w:color w:val="954F72"/>
      <w:u w:val="single"/>
    </w:rPr>
  </w:style>
  <w:style w:type="paragraph" w:customStyle="1" w:styleId="MediumGrid21">
    <w:name w:val="Medium Grid 21"/>
    <w:uiPriority w:val="1"/>
    <w:qFormat/>
    <w:rsid w:val="00DA3A7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customStyle="1" w:styleId="Hyperlink0">
    <w:name w:val="Hyperlink.0"/>
    <w:rsid w:val="00DA3A70"/>
  </w:style>
  <w:style w:type="character" w:customStyle="1" w:styleId="hide1">
    <w:name w:val="hide1"/>
    <w:rsid w:val="00DA3A70"/>
    <w:rPr>
      <w:vanish/>
      <w:webHidden w:val="0"/>
      <w:specVanish w:val="0"/>
    </w:rPr>
  </w:style>
  <w:style w:type="paragraph" w:customStyle="1" w:styleId="Default">
    <w:name w:val="Default"/>
    <w:rsid w:val="00DA3A7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styleId="ListParagraph">
    <w:name w:val="List Paragraph"/>
    <w:basedOn w:val="Normal"/>
    <w:uiPriority w:val="34"/>
    <w:qFormat/>
    <w:rsid w:val="00DA3A70"/>
    <w:pPr>
      <w:ind w:left="720"/>
    </w:pPr>
  </w:style>
  <w:style w:type="table" w:customStyle="1" w:styleId="GridTable4-Accent31">
    <w:name w:val="Grid Table 4 - Accent 31"/>
    <w:basedOn w:val="TableNormal"/>
    <w:next w:val="GridTable4-Accent32"/>
    <w:uiPriority w:val="49"/>
    <w:rsid w:val="00DA3A70"/>
    <w:pPr>
      <w:spacing w:after="0" w:line="240" w:lineRule="auto"/>
    </w:pPr>
    <w:rPr>
      <w:rFonts w:ascii="Calibri" w:eastAsia="Calibri" w:hAnsi="Calibri" w:cs="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2">
    <w:name w:val="Grid Table 4 - Accent 32"/>
    <w:basedOn w:val="TableNormal"/>
    <w:uiPriority w:val="49"/>
    <w:rsid w:val="00DA3A70"/>
    <w:pPr>
      <w:spacing w:after="0" w:line="240" w:lineRule="auto"/>
    </w:pPr>
    <w:rPr>
      <w:rFonts w:ascii="Calibri" w:eastAsia="Times New Roman" w:hAnsi="Calibri" w:cs="Times New Roman"/>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m2344583173576020509msolistparagraph">
    <w:name w:val="m_2344583173576020509msolistparagraph"/>
    <w:basedOn w:val="Normal"/>
    <w:rsid w:val="00DA3A70"/>
    <w:pPr>
      <w:spacing w:before="100" w:beforeAutospacing="1" w:after="100" w:afterAutospacing="1" w:line="240" w:lineRule="auto"/>
    </w:pPr>
    <w:rPr>
      <w:rFonts w:ascii="Times New Roman" w:eastAsia="Calibri" w:hAnsi="Times New Roman"/>
      <w:sz w:val="24"/>
      <w:szCs w:val="24"/>
    </w:rPr>
  </w:style>
  <w:style w:type="table" w:styleId="MediumShading2Accent4">
    <w:name w:val="Medium Shading 2 Accent 4"/>
    <w:basedOn w:val="TableNormal"/>
    <w:uiPriority w:val="60"/>
    <w:rsid w:val="00DA3A70"/>
    <w:pPr>
      <w:spacing w:after="0" w:line="240" w:lineRule="auto"/>
    </w:pPr>
    <w:rPr>
      <w:rFonts w:ascii="Tahoma" w:eastAsia="Calibri" w:hAnsi="Tahoma" w:cs="Times New Roman"/>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BodyText">
    <w:name w:val="Body Text"/>
    <w:basedOn w:val="Normal"/>
    <w:link w:val="BodyTextChar"/>
    <w:uiPriority w:val="1"/>
    <w:qFormat/>
    <w:rsid w:val="00DA3A70"/>
    <w:pPr>
      <w:widowControl w:val="0"/>
      <w:spacing w:after="0" w:line="240" w:lineRule="auto"/>
    </w:pPr>
    <w:rPr>
      <w:rFonts w:eastAsia="Calibri" w:cs="Calibri"/>
    </w:rPr>
  </w:style>
  <w:style w:type="character" w:customStyle="1" w:styleId="BodyTextChar">
    <w:name w:val="Body Text Char"/>
    <w:basedOn w:val="DefaultParagraphFont"/>
    <w:link w:val="BodyText"/>
    <w:uiPriority w:val="1"/>
    <w:rsid w:val="00DA3A70"/>
    <w:rPr>
      <w:rFonts w:ascii="Calibri" w:eastAsia="Calibri" w:hAnsi="Calibri" w:cs="Calibri"/>
      <w:lang w:val="de-DE"/>
    </w:rPr>
  </w:style>
  <w:style w:type="character" w:customStyle="1" w:styleId="Heading4Char">
    <w:name w:val="Heading 4 Char"/>
    <w:basedOn w:val="DefaultParagraphFont"/>
    <w:link w:val="Heading4"/>
    <w:uiPriority w:val="9"/>
    <w:rsid w:val="00EA1DD2"/>
    <w:rPr>
      <w:rFonts w:asciiTheme="majorHAnsi" w:eastAsiaTheme="majorEastAsia" w:hAnsiTheme="majorHAnsi" w:cstheme="majorBidi"/>
      <w:i/>
      <w:iCs/>
      <w:color w:val="2E74B5" w:themeColor="accent1" w:themeShade="BF"/>
      <w:lang w:val="de-DE" w:eastAsia="de-DE"/>
    </w:rPr>
  </w:style>
  <w:style w:type="character" w:customStyle="1" w:styleId="Heading5Char">
    <w:name w:val="Heading 5 Char"/>
    <w:basedOn w:val="DefaultParagraphFont"/>
    <w:link w:val="Heading5"/>
    <w:uiPriority w:val="9"/>
    <w:rsid w:val="00E93802"/>
    <w:rPr>
      <w:rFonts w:asciiTheme="majorHAnsi" w:eastAsiaTheme="majorEastAsia" w:hAnsiTheme="majorHAnsi" w:cstheme="majorBidi"/>
      <w:color w:val="2E74B5" w:themeColor="accent1" w:themeShade="BF"/>
      <w:lang w:val="de-DE" w:eastAsia="de-DE"/>
    </w:rPr>
  </w:style>
  <w:style w:type="paragraph" w:customStyle="1" w:styleId="EC-Title-5">
    <w:name w:val="EC-Title-5"/>
    <w:next w:val="Normal"/>
    <w:link w:val="EC-Title-5CharChar"/>
    <w:qFormat/>
    <w:rsid w:val="00E93802"/>
    <w:pPr>
      <w:autoSpaceDE w:val="0"/>
      <w:autoSpaceDN w:val="0"/>
      <w:adjustRightInd w:val="0"/>
      <w:spacing w:before="240" w:after="120" w:line="241" w:lineRule="atLeast"/>
      <w:outlineLvl w:val="1"/>
    </w:pPr>
    <w:rPr>
      <w:rFonts w:ascii="Tahoma" w:eastAsia="Batang" w:hAnsi="Tahoma" w:cs="Tahoma"/>
      <w:b/>
      <w:bCs/>
      <w:color w:val="69AE23"/>
      <w:sz w:val="30"/>
      <w:szCs w:val="30"/>
    </w:rPr>
  </w:style>
  <w:style w:type="character" w:customStyle="1" w:styleId="EC-Title-5CharChar">
    <w:name w:val="EC-Title-5 Char Char"/>
    <w:basedOn w:val="DefaultParagraphFont"/>
    <w:link w:val="EC-Title-5"/>
    <w:rsid w:val="00E93802"/>
    <w:rPr>
      <w:rFonts w:ascii="Tahoma" w:eastAsia="Batang" w:hAnsi="Tahoma" w:cs="Tahoma"/>
      <w:b/>
      <w:bCs/>
      <w:color w:val="69AE23"/>
      <w:sz w:val="30"/>
      <w:szCs w:val="30"/>
    </w:rPr>
  </w:style>
  <w:style w:type="paragraph" w:customStyle="1" w:styleId="EC-Title-6">
    <w:name w:val="EC-Title-6"/>
    <w:next w:val="Normal"/>
    <w:link w:val="EC-Title-6CharChar"/>
    <w:qFormat/>
    <w:rsid w:val="00E93802"/>
    <w:pPr>
      <w:widowControl w:val="0"/>
      <w:spacing w:before="120" w:after="120" w:line="240" w:lineRule="auto"/>
      <w:outlineLvl w:val="2"/>
    </w:pPr>
    <w:rPr>
      <w:rFonts w:ascii="Tahoma" w:eastAsia="Batang" w:hAnsi="Tahoma" w:cs="Tahoma"/>
      <w:b/>
      <w:bCs/>
      <w:color w:val="69AE23"/>
      <w:sz w:val="26"/>
      <w:szCs w:val="26"/>
    </w:rPr>
  </w:style>
  <w:style w:type="character" w:customStyle="1" w:styleId="EC-Title-6CharChar">
    <w:name w:val="EC-Title-6 Char Char"/>
    <w:link w:val="EC-Title-6"/>
    <w:rsid w:val="00E93802"/>
    <w:rPr>
      <w:rFonts w:ascii="Tahoma" w:eastAsia="Batang" w:hAnsi="Tahoma" w:cs="Tahoma"/>
      <w:b/>
      <w:bCs/>
      <w:color w:val="69AE23"/>
      <w:sz w:val="26"/>
      <w:szCs w:val="26"/>
    </w:rPr>
  </w:style>
  <w:style w:type="paragraph" w:customStyle="1" w:styleId="EC-Title-7">
    <w:name w:val="EC-Title-7"/>
    <w:next w:val="Normal"/>
    <w:link w:val="EC-Title-7Char"/>
    <w:qFormat/>
    <w:rsid w:val="00083CEE"/>
    <w:pPr>
      <w:spacing w:before="120" w:after="0" w:line="240" w:lineRule="auto"/>
      <w:outlineLvl w:val="3"/>
    </w:pPr>
    <w:rPr>
      <w:rFonts w:ascii="Tahoma" w:eastAsia="Times New Roman" w:hAnsi="Tahoma" w:cs="Tahoma"/>
      <w:b/>
      <w:bCs/>
      <w:i/>
      <w:color w:val="69AE23"/>
    </w:rPr>
  </w:style>
  <w:style w:type="character" w:customStyle="1" w:styleId="EC-Title-7Char">
    <w:name w:val="EC-Title-7 Char"/>
    <w:basedOn w:val="DefaultParagraphFont"/>
    <w:link w:val="EC-Title-7"/>
    <w:rsid w:val="00083CEE"/>
    <w:rPr>
      <w:rFonts w:ascii="Tahoma" w:eastAsia="Times New Roman" w:hAnsi="Tahoma" w:cs="Tahoma"/>
      <w:b/>
      <w:bCs/>
      <w:i/>
      <w:color w:val="69AE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ED06A-2D8B-4A16-B16D-CEA6A2D4D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6166</Words>
  <Characters>38850</Characters>
  <Application>Microsoft Office Word</Application>
  <DocSecurity>0</DocSecurity>
  <Lines>323</Lines>
  <Paragraphs>89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CDT</Company>
  <LinksUpToDate>false</LinksUpToDate>
  <CharactersWithSpaces>44927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CDT</dc:creator>
  <cp:lastModifiedBy>CDT</cp:lastModifiedBy>
  <cp:revision>7</cp:revision>
  <cp:lastPrinted>2018-05-24T11:29:00Z</cp:lastPrinted>
  <dcterms:created xsi:type="dcterms:W3CDTF">2018-07-23T07:32:00Z</dcterms:created>
  <dcterms:modified xsi:type="dcterms:W3CDTF">2018-07-23T09:11:00Z</dcterms:modified>
</cp:coreProperties>
</file>