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 -->
  <w:body>
    <w:p w:rsidR="00DA3A70" w:rsidRPr="009B3B4D" w:rsidP="000D0DB0">
      <w:pPr>
        <w:pStyle w:val="EC-Title-5"/>
        <w:rPr>
          <w:b w:val="0"/>
          <w:spacing w:val="-10"/>
          <w:sz w:val="24"/>
        </w:rPr>
      </w:pPr>
      <w:bookmarkStart w:id="0" w:name="_GoBack"/>
      <w:bookmarkEnd w:id="0"/>
      <w:r w:rsidRPr="009B3B4D">
        <w:t>Den Europæiske Unions standarder for behandling af tuberkulose — 2017-opdatering</w:t>
      </w:r>
    </w:p>
    <w:p w:rsidR="008745B1" w:rsidRPr="009B3B4D" w:rsidP="000D0DB0">
      <w:pPr>
        <w:autoSpaceDE w:val="0"/>
        <w:autoSpaceDN w:val="0"/>
        <w:adjustRightInd w:val="0"/>
        <w:spacing w:before="120" w:after="0"/>
        <w:jc w:val="both"/>
        <w:rPr>
          <w:rFonts w:ascii="Tahoma" w:hAnsi="Tahoma" w:cs="Tahoma"/>
          <w:sz w:val="18"/>
          <w:szCs w:val="18"/>
        </w:rPr>
      </w:pPr>
      <w:r w:rsidRPr="009B3B4D">
        <w:rPr>
          <w:rFonts w:ascii="Tahoma" w:hAnsi="Tahoma"/>
          <w:sz w:val="18"/>
        </w:rPr>
        <w:t xml:space="preserve">Det Europæiske Center for Forebyggelse af og Kontrol med Sygdomme (ECDC) og European Respiratory Society (ERS — det europæiske lungeselskab) har udarbejdet </w:t>
      </w:r>
      <w:r w:rsidRPr="009B3B4D">
        <w:rPr>
          <w:rFonts w:ascii="Tahoma" w:hAnsi="Tahoma"/>
          <w:sz w:val="18"/>
        </w:rPr>
        <w:t>21 patientfokuserede standarder til vejledning af klinikere og sundhedspersoner i deres arbejde med at sikre optimal diagnosticering, behandling og forebyggelse af tuberkulose (TB) i Europa. I 2017 blev Den Europæiske Unions standarder for behandling af tu</w:t>
      </w:r>
      <w:r w:rsidRPr="009B3B4D">
        <w:rPr>
          <w:rFonts w:ascii="Tahoma" w:hAnsi="Tahoma"/>
          <w:sz w:val="18"/>
        </w:rPr>
        <w:t>berkulose (ESTC) opdateret, så de omfatter de seneste teknologiske landvindinger og internationale anbefalinger vedrørende diagnosticering, behandling og forebyggelse af TB.</w:t>
      </w:r>
    </w:p>
    <w:p w:rsidR="00E93802" w:rsidRPr="009B3B4D" w:rsidP="0028467E">
      <w:pPr>
        <w:pStyle w:val="EC-Title-6"/>
      </w:pPr>
      <w:bookmarkStart w:id="1" w:name="_Toc512588780"/>
      <w:r w:rsidRPr="009B3B4D">
        <w:t>Brug for højere standarder for eliminere TB i Den Europæiske Union</w:t>
      </w:r>
      <w:bookmarkEnd w:id="1"/>
    </w:p>
    <w:p w:rsidR="00083CEE" w:rsidRPr="009B3B4D" w:rsidP="00083CEE">
      <w:pPr>
        <w:pStyle w:val="EC-Title-7"/>
      </w:pPr>
      <w:r w:rsidRPr="009B3B4D">
        <w:t>Hvorfor EU-tilp</w:t>
      </w:r>
      <w:r w:rsidRPr="009B3B4D">
        <w:t>assede standarder?</w:t>
      </w:r>
    </w:p>
    <w:p w:rsidR="008745B1" w:rsidRPr="009B3B4D" w:rsidP="000D0DB0">
      <w:pPr>
        <w:autoSpaceDE w:val="0"/>
        <w:autoSpaceDN w:val="0"/>
        <w:adjustRightInd w:val="0"/>
        <w:spacing w:after="120"/>
        <w:jc w:val="both"/>
        <w:rPr>
          <w:rFonts w:ascii="Tahoma" w:hAnsi="Tahoma" w:cs="Tahoma"/>
          <w:sz w:val="18"/>
          <w:szCs w:val="18"/>
        </w:rPr>
      </w:pPr>
      <w:r w:rsidRPr="009B3B4D">
        <w:rPr>
          <w:rFonts w:ascii="Tahoma" w:hAnsi="Tahoma"/>
          <w:sz w:val="18"/>
        </w:rPr>
        <w:t>De internationale standarder for behandling af tuberkulose (ISTC) blev udgivet første gang i 2006 og er siden blevet opdateret i 2009 og 2014. ISTC-standarderne beskriver et almindeligt anerkendt niveau for behandling af TB, men har foku</w:t>
      </w:r>
      <w:r w:rsidRPr="009B3B4D">
        <w:rPr>
          <w:rFonts w:ascii="Tahoma" w:hAnsi="Tahoma"/>
          <w:sz w:val="18"/>
        </w:rPr>
        <w:t>s på populationer med stor sygdomsbyrde og lav indkomst.</w:t>
      </w:r>
    </w:p>
    <w:p w:rsidR="008745B1" w:rsidRPr="009B3B4D" w:rsidP="000D0DB0">
      <w:pPr>
        <w:autoSpaceDE w:val="0"/>
        <w:autoSpaceDN w:val="0"/>
        <w:adjustRightInd w:val="0"/>
        <w:spacing w:after="120"/>
        <w:jc w:val="both"/>
        <w:rPr>
          <w:rFonts w:ascii="Tahoma" w:hAnsi="Tahoma" w:cs="Tahoma"/>
          <w:sz w:val="18"/>
          <w:szCs w:val="18"/>
        </w:rPr>
      </w:pPr>
      <w:r w:rsidRPr="009B3B4D">
        <w:rPr>
          <w:rFonts w:ascii="Tahoma" w:hAnsi="Tahoma"/>
          <w:sz w:val="18"/>
        </w:rPr>
        <w:t>I EU/EØS er den epidemiologiske situation og tilgængeligheden af økonomiske ressourcer anderledes:</w:t>
      </w:r>
    </w:p>
    <w:p w:rsidR="00F03325" w:rsidRPr="009B3B4D"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9B3B4D">
        <w:rPr>
          <w:rFonts w:ascii="Tahoma" w:hAnsi="Tahoma"/>
          <w:sz w:val="18"/>
        </w:rPr>
        <w:t>Sygdomsbyrden er lav/middel, men heterogen</w:t>
      </w:r>
    </w:p>
    <w:p w:rsidR="008745B1" w:rsidRPr="009B3B4D"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9B3B4D">
        <w:rPr>
          <w:rFonts w:ascii="Tahoma" w:hAnsi="Tahoma"/>
          <w:sz w:val="18"/>
        </w:rPr>
        <w:t>Lang tradition for forebyggelse og kontrol af TB</w:t>
      </w:r>
    </w:p>
    <w:p w:rsidR="008745B1" w:rsidRPr="009B3B4D"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9B3B4D">
        <w:rPr>
          <w:rFonts w:ascii="Tahoma" w:hAnsi="Tahoma"/>
          <w:sz w:val="18"/>
        </w:rPr>
        <w:t>God ress</w:t>
      </w:r>
      <w:r w:rsidRPr="009B3B4D">
        <w:rPr>
          <w:rFonts w:ascii="Tahoma" w:hAnsi="Tahoma"/>
          <w:sz w:val="18"/>
        </w:rPr>
        <w:t>ourcetilgængelighed</w:t>
      </w:r>
    </w:p>
    <w:p w:rsidR="008745B1" w:rsidRPr="009B3B4D"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9B3B4D">
        <w:rPr>
          <w:rFonts w:ascii="Tahoma" w:hAnsi="Tahoma"/>
          <w:sz w:val="18"/>
        </w:rPr>
        <w:t>En optimal anvendelse af disse ressourcer skal sikres</w:t>
      </w:r>
    </w:p>
    <w:p w:rsidR="008745B1" w:rsidRPr="009B3B4D"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9B3B4D">
        <w:rPr>
          <w:rFonts w:ascii="Tahoma" w:hAnsi="Tahoma"/>
          <w:sz w:val="18"/>
        </w:rPr>
        <w:t>Forebyggelsen og behandlingen af TB er integreret i sundhedssystemet</w:t>
      </w:r>
    </w:p>
    <w:p w:rsidR="008745B1" w:rsidRPr="009B3B4D"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9B3B4D">
        <w:rPr>
          <w:rFonts w:ascii="Tahoma" w:hAnsi="Tahoma"/>
          <w:sz w:val="18"/>
        </w:rPr>
        <w:t>Alle patienter har ret til den bedst mulige behandling.</w:t>
      </w:r>
    </w:p>
    <w:p w:rsidR="008745B1" w:rsidRPr="009B3B4D" w:rsidP="0028467E">
      <w:pPr>
        <w:pStyle w:val="EC-Title-6"/>
        <w:rPr>
          <w:sz w:val="30"/>
          <w:szCs w:val="30"/>
        </w:rPr>
      </w:pPr>
      <w:r w:rsidRPr="009B3B4D">
        <w:rPr>
          <w:sz w:val="30"/>
        </w:rPr>
        <w:t>ESTC er patientfokuserede standarder, der er designet til</w:t>
      </w:r>
      <w:r w:rsidRPr="009B3B4D">
        <w:rPr>
          <w:sz w:val="30"/>
        </w:rPr>
        <w:t xml:space="preserve"> klinikere og sundhedspersoner</w:t>
      </w:r>
    </w:p>
    <w:p w:rsidR="008745B1" w:rsidRPr="009B3B4D" w:rsidP="0028467E">
      <w:pPr>
        <w:pStyle w:val="EC-Title-7"/>
        <w:rPr>
          <w:rFonts w:eastAsia="Batang"/>
        </w:rPr>
      </w:pPr>
      <w:r w:rsidRPr="009B3B4D">
        <w:t>Hvordan er ESTC-standarderne blevet udarbejdet og opdateret?</w:t>
      </w:r>
    </w:p>
    <w:p w:rsidR="008745B1" w:rsidRPr="009B3B4D" w:rsidP="008745B1">
      <w:pPr>
        <w:autoSpaceDE w:val="0"/>
        <w:autoSpaceDN w:val="0"/>
        <w:adjustRightInd w:val="0"/>
        <w:spacing w:after="0"/>
        <w:jc w:val="both"/>
        <w:rPr>
          <w:rFonts w:ascii="Tahoma" w:hAnsi="Tahoma" w:cs="Tahoma"/>
          <w:sz w:val="18"/>
          <w:szCs w:val="18"/>
        </w:rPr>
      </w:pPr>
      <w:r w:rsidRPr="009B3B4D">
        <w:rPr>
          <w:rFonts w:ascii="Tahoma" w:hAnsi="Tahoma"/>
          <w:sz w:val="18"/>
        </w:rPr>
        <w:t>I dette samarbejde er det europæiske lungeselskab (ERS) gået foran og har udarbejdet og opdateret de kliniske standarder, mens ECDC har udarbejdet og opdateret de f</w:t>
      </w:r>
      <w:r w:rsidRPr="009B3B4D">
        <w:rPr>
          <w:rFonts w:ascii="Tahoma" w:hAnsi="Tahoma"/>
          <w:sz w:val="18"/>
        </w:rPr>
        <w:t>olkesundhedsrelaterede standarder. Udarbejdelsen og opdateringen blev styret af en arbejdsgruppe af internationale eksperter inden for forskellige ekspertiseområder samt repræsentanter for relevante organisationer og TB-patienter. Evidensen blev gennemgået</w:t>
      </w:r>
      <w:r w:rsidRPr="009B3B4D">
        <w:rPr>
          <w:rFonts w:ascii="Tahoma" w:hAnsi="Tahoma"/>
          <w:sz w:val="18"/>
        </w:rPr>
        <w:t xml:space="preserve"> ud fra offentliggjorte internationale retningslinjer. Et skriveudvalg udarbejdede et dokumentudkast, som derefter blev gennemgået og godkendt af arbejdsgruppen. ESTC-standarderne er udarbejdet og opdateret for at supplere ISTC-standarderne og andre eksist</w:t>
      </w:r>
      <w:r w:rsidRPr="009B3B4D">
        <w:rPr>
          <w:rFonts w:ascii="Tahoma" w:hAnsi="Tahoma"/>
          <w:sz w:val="18"/>
        </w:rPr>
        <w:t xml:space="preserve">erende retningslinjer. </w:t>
      </w:r>
    </w:p>
    <w:p w:rsidR="008745B1" w:rsidRPr="009B3B4D" w:rsidP="000D0DB0">
      <w:pPr>
        <w:pStyle w:val="EC-Title-5"/>
        <w:spacing w:before="120"/>
        <w:rPr>
          <w:b w:val="0"/>
        </w:rPr>
      </w:pPr>
      <w:r w:rsidRPr="009B3B4D">
        <w:t>Et brugervenligt værktøj til sikring af optimal diagnosticering, behandling og forebyggelse af TB</w:t>
      </w:r>
    </w:p>
    <w:p w:rsidR="008745B1" w:rsidRPr="009B3B4D" w:rsidP="000D0DB0">
      <w:pPr>
        <w:pStyle w:val="EC-Title-6"/>
        <w:spacing w:after="0"/>
        <w:rPr>
          <w:b w:val="0"/>
        </w:rPr>
      </w:pPr>
      <w:r w:rsidRPr="009B3B4D">
        <w:t>Rationalet bag ESTC-standarderne</w:t>
      </w:r>
    </w:p>
    <w:p w:rsidR="008745B1" w:rsidRPr="009B3B4D" w:rsidP="008745B1">
      <w:pPr>
        <w:autoSpaceDE w:val="0"/>
        <w:autoSpaceDN w:val="0"/>
        <w:adjustRightInd w:val="0"/>
        <w:spacing w:after="0"/>
        <w:jc w:val="both"/>
        <w:rPr>
          <w:rFonts w:ascii="Tahoma" w:hAnsi="Tahoma" w:cs="Tahoma"/>
          <w:sz w:val="18"/>
          <w:szCs w:val="18"/>
        </w:rPr>
      </w:pPr>
      <w:r w:rsidRPr="009B3B4D">
        <w:rPr>
          <w:rFonts w:ascii="Tahoma" w:hAnsi="Tahoma"/>
          <w:sz w:val="18"/>
        </w:rPr>
        <w:t xml:space="preserve">ESTC-standarderne skal bygge bro over de aktuelle kløfter i sagsbehandlingen af TB i Den Europæiske Union/Det Europæiske Økonomiske Samarbejdsområde (EU/EØS). </w:t>
      </w:r>
    </w:p>
    <w:p w:rsidR="008745B1" w:rsidRPr="009B3B4D" w:rsidP="008745B1">
      <w:pPr>
        <w:autoSpaceDE w:val="0"/>
        <w:autoSpaceDN w:val="0"/>
        <w:adjustRightInd w:val="0"/>
        <w:spacing w:after="0"/>
        <w:jc w:val="both"/>
        <w:rPr>
          <w:rFonts w:ascii="Tahoma" w:hAnsi="Tahoma" w:cs="Tahoma"/>
          <w:sz w:val="18"/>
          <w:szCs w:val="18"/>
        </w:rPr>
      </w:pPr>
      <w:r w:rsidRPr="009B3B4D">
        <w:rPr>
          <w:rFonts w:ascii="Tahoma" w:hAnsi="Tahoma"/>
          <w:sz w:val="18"/>
        </w:rPr>
        <w:t>Formålet med ESTC-standarderne er at forsyne sundhedspersoner, klinikere og sundhedsprogrammer m</w:t>
      </w:r>
      <w:r w:rsidRPr="009B3B4D">
        <w:rPr>
          <w:rFonts w:ascii="Tahoma" w:hAnsi="Tahoma"/>
          <w:sz w:val="18"/>
        </w:rPr>
        <w:t>ed et sæt strukturerede, evidensbaserede standarder, der beskriver, hvad der mindst kræves for at sikre optimal behandling, forebyggelse og kontrol af TB.</w:t>
      </w:r>
    </w:p>
    <w:p w:rsidR="008745B1" w:rsidRPr="009B3B4D" w:rsidP="000D0DB0">
      <w:pPr>
        <w:pStyle w:val="EC-Title-5"/>
        <w:spacing w:before="120"/>
        <w:rPr>
          <w:b w:val="0"/>
        </w:rPr>
      </w:pPr>
      <w:r w:rsidRPr="009B3B4D">
        <w:t>For mere information</w:t>
      </w:r>
    </w:p>
    <w:p w:rsidR="008745B1" w:rsidRPr="009B3B4D" w:rsidP="000D0DB0">
      <w:pPr>
        <w:autoSpaceDE w:val="0"/>
        <w:autoSpaceDN w:val="0"/>
        <w:adjustRightInd w:val="0"/>
        <w:spacing w:before="120" w:after="120"/>
        <w:jc w:val="both"/>
        <w:rPr>
          <w:rFonts w:ascii="Tahoma" w:hAnsi="Tahoma" w:cs="Tahoma"/>
          <w:sz w:val="18"/>
          <w:szCs w:val="18"/>
        </w:rPr>
      </w:pPr>
      <w:r w:rsidRPr="009B3B4D">
        <w:rPr>
          <w:rFonts w:ascii="Tahoma" w:hAnsi="Tahoma"/>
          <w:sz w:val="18"/>
        </w:rPr>
        <w:t xml:space="preserve">ECDC er et EU-agentur, der har til opgave at identificere, vurdere og oplyse om </w:t>
      </w:r>
      <w:r w:rsidRPr="009B3B4D">
        <w:rPr>
          <w:rFonts w:ascii="Tahoma" w:hAnsi="Tahoma"/>
          <w:sz w:val="18"/>
        </w:rPr>
        <w:t>truslerne mod menneskets sundhed i forbindelse med infektionssygdomme. ECDC understøtter sundhedsmyndighederne i EU/EØS-medlemsstaterne.</w:t>
      </w:r>
    </w:p>
    <w:p w:rsidR="008745B1" w:rsidP="008745B1">
      <w:pPr>
        <w:autoSpaceDE w:val="0"/>
        <w:autoSpaceDN w:val="0"/>
        <w:adjustRightInd w:val="0"/>
        <w:spacing w:after="0"/>
        <w:jc w:val="both"/>
        <w:rPr>
          <w:rStyle w:val="Hyperlink"/>
          <w:rFonts w:ascii="Tahoma" w:hAnsi="Tahoma"/>
          <w:sz w:val="18"/>
        </w:rPr>
      </w:pPr>
      <w:r>
        <w:fldChar w:fldCharType="begin"/>
      </w:r>
      <w:r>
        <w:instrText xml:space="preserve"> HYPERLINK "https://ecdc.europa.eu/en/tuberculosis" </w:instrText>
      </w:r>
      <w:r>
        <w:fldChar w:fldCharType="separate"/>
      </w:r>
      <w:r w:rsidRPr="009B3B4D" w:rsidR="00F64940">
        <w:rPr>
          <w:rStyle w:val="Hyperlink"/>
          <w:rFonts w:ascii="Tahoma" w:hAnsi="Tahoma"/>
          <w:sz w:val="18"/>
        </w:rPr>
        <w:t>https://ecdc.europa.eu/en/tuberculosis</w:t>
      </w:r>
      <w:r>
        <w:fldChar w:fldCharType="end"/>
      </w:r>
    </w:p>
    <w:p w:rsidR="00D70D37" w:rsidRPr="009B3B4D" w:rsidP="008745B1">
      <w:pPr>
        <w:autoSpaceDE w:val="0"/>
        <w:autoSpaceDN w:val="0"/>
        <w:adjustRightInd w:val="0"/>
        <w:spacing w:after="0"/>
        <w:jc w:val="both"/>
        <w:rPr>
          <w:rFonts w:ascii="Tahoma" w:hAnsi="Tahoma" w:cs="Tahoma"/>
          <w:sz w:val="18"/>
          <w:szCs w:val="18"/>
        </w:rPr>
      </w:pPr>
    </w:p>
    <w:p w:rsidR="008745B1" w:rsidRPr="009B3B4D" w:rsidP="000D0DB0">
      <w:pPr>
        <w:autoSpaceDE w:val="0"/>
        <w:autoSpaceDN w:val="0"/>
        <w:adjustRightInd w:val="0"/>
        <w:spacing w:after="120"/>
        <w:jc w:val="both"/>
        <w:rPr>
          <w:rFonts w:ascii="Tahoma" w:hAnsi="Tahoma" w:cs="Tahoma"/>
          <w:sz w:val="18"/>
          <w:szCs w:val="18"/>
        </w:rPr>
      </w:pPr>
      <w:r w:rsidRPr="009B3B4D">
        <w:rPr>
          <w:rFonts w:ascii="Tahoma" w:hAnsi="Tahoma"/>
          <w:sz w:val="18"/>
        </w:rPr>
        <w:t xml:space="preserve">Det europæiske </w:t>
      </w:r>
      <w:r w:rsidRPr="009B3B4D">
        <w:rPr>
          <w:rFonts w:ascii="Tahoma" w:hAnsi="Tahoma"/>
          <w:sz w:val="18"/>
        </w:rPr>
        <w:t>lungeselskab (ERS) er den førende faglige organisation på sit område i Europa. ERS har over 30 000 medlemmer i over 160 lande. ERS arbejder for at hjælpe personer med luftvejssygdomme og fremme lungesundheden via forskning, videndeling og medicinsk uddanne</w:t>
      </w:r>
      <w:r w:rsidRPr="009B3B4D">
        <w:rPr>
          <w:rFonts w:ascii="Tahoma" w:hAnsi="Tahoma"/>
          <w:sz w:val="18"/>
        </w:rPr>
        <w:t>lse/oplysning.</w:t>
      </w:r>
    </w:p>
    <w:p w:rsidR="008745B1" w:rsidP="008745B1">
      <w:pPr>
        <w:autoSpaceDE w:val="0"/>
        <w:autoSpaceDN w:val="0"/>
        <w:adjustRightInd w:val="0"/>
        <w:spacing w:after="0"/>
        <w:jc w:val="both"/>
        <w:rPr>
          <w:rStyle w:val="Hyperlink"/>
          <w:rFonts w:ascii="Tahoma" w:hAnsi="Tahoma"/>
          <w:sz w:val="18"/>
        </w:rPr>
      </w:pPr>
      <w:r>
        <w:fldChar w:fldCharType="begin"/>
      </w:r>
      <w:r>
        <w:instrText xml:space="preserve"> HYPERLINK "http://www.ersnet.org/" </w:instrText>
      </w:r>
      <w:r>
        <w:fldChar w:fldCharType="separate"/>
      </w:r>
      <w:r w:rsidRPr="009B3B4D" w:rsidR="00F04026">
        <w:rPr>
          <w:rStyle w:val="Hyperlink"/>
          <w:rFonts w:ascii="Tahoma" w:hAnsi="Tahoma"/>
          <w:sz w:val="18"/>
        </w:rPr>
        <w:t>www.ersnet.org</w:t>
      </w:r>
      <w:r>
        <w:fldChar w:fldCharType="end"/>
      </w:r>
    </w:p>
    <w:p w:rsidR="00D70D37" w:rsidRPr="009B3B4D" w:rsidP="008745B1">
      <w:pPr>
        <w:autoSpaceDE w:val="0"/>
        <w:autoSpaceDN w:val="0"/>
        <w:adjustRightInd w:val="0"/>
        <w:spacing w:after="0"/>
        <w:jc w:val="both"/>
        <w:rPr>
          <w:rFonts w:ascii="Tahoma" w:hAnsi="Tahoma" w:cs="Tahoma"/>
          <w:sz w:val="18"/>
          <w:szCs w:val="18"/>
        </w:rPr>
      </w:pPr>
    </w:p>
    <w:p w:rsidR="008745B1" w:rsidRPr="009B3B4D" w:rsidP="008745B1">
      <w:pPr>
        <w:autoSpaceDE w:val="0"/>
        <w:autoSpaceDN w:val="0"/>
        <w:adjustRightInd w:val="0"/>
        <w:spacing w:after="0"/>
        <w:jc w:val="both"/>
        <w:rPr>
          <w:rFonts w:ascii="Tahoma" w:hAnsi="Tahoma" w:cs="Tahoma"/>
          <w:sz w:val="18"/>
          <w:szCs w:val="18"/>
        </w:rPr>
      </w:pPr>
      <w:r w:rsidRPr="009B3B4D">
        <w:rPr>
          <w:rFonts w:ascii="Tahoma" w:hAnsi="Tahoma"/>
          <w:sz w:val="18"/>
        </w:rPr>
        <w:t>Den fulde ESTC-opdatering blev offentliggjort i tidsskriftet European Respiratory Journal (ERJ) i maj 2018 (DOI: 10.1183/13993003.02678-2017)</w:t>
      </w:r>
    </w:p>
    <w:p w:rsidR="00792C6D" w:rsidRPr="009B3B4D">
      <w:pPr>
        <w:spacing w:after="160" w:line="259" w:lineRule="auto"/>
        <w:rPr>
          <w:rFonts w:ascii="Times New Roman" w:hAnsi="Times New Roman"/>
          <w:sz w:val="24"/>
          <w:szCs w:val="24"/>
        </w:rPr>
      </w:pPr>
      <w:r w:rsidRPr="009B3B4D">
        <w:br w:type="page"/>
      </w:r>
    </w:p>
    <w:p w:rsidR="00CC0F38" w:rsidRPr="009B3B4D" w:rsidP="0028467E">
      <w:pPr>
        <w:pStyle w:val="EC-Title-5"/>
        <w:spacing w:after="240"/>
      </w:pPr>
      <w:r w:rsidRPr="009B3B4D">
        <w:t>Standarder for diagnosticering af tuberkul</w:t>
      </w:r>
      <w:r w:rsidRPr="009B3B4D">
        <w:t>ose</w:t>
      </w:r>
    </w:p>
    <w:p w:rsidR="00DA3A70" w:rsidRPr="009B3B4D" w:rsidP="00A82B43">
      <w:pPr>
        <w:shd w:val="clear" w:color="auto" w:fill="D9D9D9"/>
        <w:autoSpaceDE w:val="0"/>
        <w:autoSpaceDN w:val="0"/>
        <w:adjustRightInd w:val="0"/>
        <w:spacing w:after="0"/>
        <w:jc w:val="both"/>
        <w:rPr>
          <w:rFonts w:ascii="Tahoma" w:hAnsi="Tahoma" w:cs="Tahoma"/>
          <w:b/>
          <w:sz w:val="24"/>
          <w:szCs w:val="24"/>
        </w:rPr>
      </w:pPr>
      <w:r w:rsidRPr="009B3B4D">
        <w:rPr>
          <w:rFonts w:ascii="Tahoma" w:hAnsi="Tahoma"/>
          <w:b/>
          <w:sz w:val="24"/>
        </w:rPr>
        <w:t>Standard 1</w:t>
      </w:r>
    </w:p>
    <w:p w:rsidR="00DA3A70" w:rsidRPr="009B3B4D" w:rsidP="0028467E">
      <w:pPr>
        <w:spacing w:after="120"/>
        <w:rPr>
          <w:rFonts w:ascii="Tahoma" w:hAnsi="Tahoma" w:cs="Tahoma"/>
          <w:sz w:val="18"/>
          <w:szCs w:val="18"/>
        </w:rPr>
      </w:pPr>
      <w:r w:rsidRPr="009B3B4D">
        <w:rPr>
          <w:rFonts w:ascii="Tahoma" w:hAnsi="Tahoma"/>
          <w:sz w:val="18"/>
        </w:rPr>
        <w:t>Alle personer med tegn, symptomer, anamnese eller risikofaktorer, der er forenelige med tuberkulose, bør undersøges for pulmonal og/eller ekstrapulmonal tuberkulose.</w:t>
      </w:r>
    </w:p>
    <w:p w:rsidR="00DA3A70" w:rsidRPr="009B3B4D" w:rsidP="00A82B43">
      <w:pPr>
        <w:shd w:val="clear" w:color="auto" w:fill="D9D9D9"/>
        <w:autoSpaceDE w:val="0"/>
        <w:autoSpaceDN w:val="0"/>
        <w:adjustRightInd w:val="0"/>
        <w:spacing w:after="0"/>
        <w:jc w:val="both"/>
        <w:rPr>
          <w:rFonts w:ascii="Tahoma" w:hAnsi="Tahoma" w:cs="Tahoma"/>
          <w:sz w:val="24"/>
          <w:szCs w:val="24"/>
        </w:rPr>
      </w:pPr>
      <w:r w:rsidRPr="009B3B4D">
        <w:rPr>
          <w:rFonts w:ascii="Tahoma" w:hAnsi="Tahoma"/>
          <w:b/>
          <w:sz w:val="24"/>
        </w:rPr>
        <w:t>Standard 2</w:t>
      </w:r>
    </w:p>
    <w:p w:rsidR="00DA3A70" w:rsidRPr="009B3B4D" w:rsidP="0028467E">
      <w:pPr>
        <w:spacing w:after="120"/>
        <w:rPr>
          <w:rFonts w:ascii="Tahoma" w:hAnsi="Tahoma" w:cs="Tahoma"/>
          <w:sz w:val="18"/>
          <w:szCs w:val="18"/>
        </w:rPr>
      </w:pPr>
      <w:r w:rsidRPr="009B3B4D">
        <w:rPr>
          <w:rFonts w:ascii="Tahoma" w:hAnsi="Tahoma"/>
          <w:sz w:val="18"/>
        </w:rPr>
        <w:t>Alle patienter (voksne, unge og børn, der kan producere sputum),</w:t>
      </w:r>
      <w:r w:rsidRPr="009B3B4D">
        <w:rPr>
          <w:rFonts w:ascii="Tahoma" w:hAnsi="Tahoma"/>
          <w:sz w:val="18"/>
        </w:rPr>
        <w:t xml:space="preserve"> som menes at have pulmonal tuberkulose, bør have taget mindst to sputumprøver, der sendes til mikroskopi, og én sputumprøve, der underkastes en internationalt anerkendt hurtig molekyl</w:t>
      </w:r>
      <w:r w:rsidR="00A62A50">
        <w:rPr>
          <w:rFonts w:ascii="Tahoma" w:hAnsi="Tahoma"/>
          <w:sz w:val="18"/>
        </w:rPr>
        <w:t>ær</w:t>
      </w:r>
      <w:r w:rsidRPr="009B3B4D">
        <w:rPr>
          <w:rFonts w:ascii="Tahoma" w:hAnsi="Tahoma"/>
          <w:sz w:val="18"/>
        </w:rPr>
        <w:t xml:space="preserve">test til identifikation af tuberkulose og lægemiddelresistens. Prøven bør sendes til </w:t>
      </w:r>
      <w:r w:rsidR="00A62A50">
        <w:rPr>
          <w:rFonts w:ascii="Tahoma" w:hAnsi="Tahoma"/>
          <w:sz w:val="18"/>
        </w:rPr>
        <w:t>dyrkning</w:t>
      </w:r>
      <w:r w:rsidRPr="009B3B4D" w:rsidR="00A62A50">
        <w:rPr>
          <w:rFonts w:ascii="Tahoma" w:hAnsi="Tahoma"/>
          <w:sz w:val="18"/>
        </w:rPr>
        <w:t xml:space="preserve"> </w:t>
      </w:r>
      <w:r w:rsidRPr="009B3B4D">
        <w:rPr>
          <w:rFonts w:ascii="Tahoma" w:hAnsi="Tahoma"/>
          <w:sz w:val="18"/>
        </w:rPr>
        <w:t xml:space="preserve">og, hvis den er positiv, underkastes </w:t>
      </w:r>
      <w:r w:rsidR="00A62A50">
        <w:rPr>
          <w:rFonts w:ascii="Tahoma" w:hAnsi="Tahoma"/>
          <w:sz w:val="18"/>
        </w:rPr>
        <w:t>dyrknings</w:t>
      </w:r>
      <w:r w:rsidRPr="009B3B4D" w:rsidR="00A62A50">
        <w:rPr>
          <w:rFonts w:ascii="Tahoma" w:hAnsi="Tahoma"/>
          <w:sz w:val="18"/>
        </w:rPr>
        <w:t xml:space="preserve">baseret </w:t>
      </w:r>
      <w:r w:rsidRPr="009B3B4D">
        <w:rPr>
          <w:rFonts w:ascii="Tahoma" w:hAnsi="Tahoma"/>
          <w:sz w:val="18"/>
        </w:rPr>
        <w:t>lægemiddelfølsomhedstest (DST) i et kvalitetssikret laboratorium. Hvis det er muli</w:t>
      </w:r>
      <w:r w:rsidRPr="009B3B4D">
        <w:rPr>
          <w:rFonts w:ascii="Tahoma" w:hAnsi="Tahoma"/>
          <w:sz w:val="18"/>
        </w:rPr>
        <w:t>gt, bør der indsamles mindst én sputumprøve tidligt om morgenen. Der kan også udføres en røntgenundersøgelse af brystkassen.</w:t>
      </w:r>
    </w:p>
    <w:p w:rsidR="00DA3A70" w:rsidRPr="009B3B4D" w:rsidP="00A82B43">
      <w:pPr>
        <w:shd w:val="clear" w:color="auto" w:fill="D9D9D9"/>
        <w:autoSpaceDE w:val="0"/>
        <w:autoSpaceDN w:val="0"/>
        <w:adjustRightInd w:val="0"/>
        <w:spacing w:after="0"/>
        <w:jc w:val="both"/>
        <w:rPr>
          <w:rFonts w:ascii="Tahoma" w:hAnsi="Tahoma" w:cs="Tahoma"/>
          <w:b/>
          <w:sz w:val="24"/>
          <w:szCs w:val="24"/>
        </w:rPr>
      </w:pPr>
      <w:r w:rsidRPr="009B3B4D">
        <w:rPr>
          <w:rFonts w:ascii="Tahoma" w:hAnsi="Tahoma"/>
          <w:b/>
          <w:sz w:val="24"/>
        </w:rPr>
        <w:t>Standard 3</w:t>
      </w:r>
    </w:p>
    <w:p w:rsidR="00DA3A70" w:rsidRPr="009B3B4D" w:rsidP="0028467E">
      <w:pPr>
        <w:spacing w:after="120"/>
        <w:rPr>
          <w:rFonts w:ascii="Tahoma" w:hAnsi="Tahoma" w:cs="Tahoma"/>
          <w:sz w:val="18"/>
          <w:szCs w:val="18"/>
        </w:rPr>
      </w:pPr>
      <w:r w:rsidRPr="009B3B4D">
        <w:rPr>
          <w:rFonts w:ascii="Tahoma" w:hAnsi="Tahoma"/>
          <w:sz w:val="18"/>
        </w:rPr>
        <w:t>Hos alle patienter (voksne, unge og børn), der formodes at have ekstrapulmonal tuberkulose, bør der tages tilstrækkelige</w:t>
      </w:r>
      <w:r w:rsidRPr="009B3B4D">
        <w:rPr>
          <w:rFonts w:ascii="Tahoma" w:hAnsi="Tahoma"/>
          <w:sz w:val="18"/>
        </w:rPr>
        <w:t xml:space="preserve"> prøver fra de mistænkte steder, der så sendes til mikrobiologisk analyse (mikroskopi, hurtig</w:t>
      </w:r>
      <w:r w:rsidRPr="009B3B4D">
        <w:rPr>
          <w:rFonts w:ascii="Tahoma" w:hAnsi="Tahoma"/>
          <w:sz w:val="18"/>
        </w:rPr>
        <w:t xml:space="preserve"> molekyl</w:t>
      </w:r>
      <w:r w:rsidR="00A62A50">
        <w:rPr>
          <w:rFonts w:ascii="Tahoma" w:hAnsi="Tahoma"/>
          <w:sz w:val="18"/>
        </w:rPr>
        <w:t>ær</w:t>
      </w:r>
      <w:r w:rsidRPr="009B3B4D">
        <w:rPr>
          <w:rFonts w:ascii="Tahoma" w:hAnsi="Tahoma"/>
          <w:sz w:val="18"/>
        </w:rPr>
        <w:t xml:space="preserve">test, </w:t>
      </w:r>
      <w:r w:rsidR="00A62A50">
        <w:rPr>
          <w:rFonts w:ascii="Tahoma" w:hAnsi="Tahoma"/>
          <w:sz w:val="18"/>
        </w:rPr>
        <w:t>dyrkning</w:t>
      </w:r>
      <w:r w:rsidRPr="009B3B4D">
        <w:rPr>
          <w:rFonts w:ascii="Tahoma" w:hAnsi="Tahoma"/>
          <w:sz w:val="18"/>
        </w:rPr>
        <w:t>, artsbestemmelse, lægemiddelfølsomhedstest ved brug af hurtig</w:t>
      </w:r>
      <w:r w:rsidRPr="009B3B4D">
        <w:rPr>
          <w:rFonts w:ascii="Tahoma" w:hAnsi="Tahoma"/>
          <w:sz w:val="18"/>
        </w:rPr>
        <w:t xml:space="preserve"> molekyl</w:t>
      </w:r>
      <w:r w:rsidR="00A62A50">
        <w:rPr>
          <w:rFonts w:ascii="Tahoma" w:hAnsi="Tahoma"/>
          <w:sz w:val="18"/>
        </w:rPr>
        <w:t>ær</w:t>
      </w:r>
      <w:r w:rsidRPr="009B3B4D">
        <w:rPr>
          <w:rFonts w:ascii="Tahoma" w:hAnsi="Tahoma"/>
          <w:sz w:val="18"/>
        </w:rPr>
        <w:t xml:space="preserve">test og </w:t>
      </w:r>
      <w:r w:rsidR="00A62A50">
        <w:rPr>
          <w:rFonts w:ascii="Tahoma" w:hAnsi="Tahoma"/>
          <w:sz w:val="18"/>
        </w:rPr>
        <w:t>dyrknings</w:t>
      </w:r>
      <w:r w:rsidRPr="009B3B4D" w:rsidR="00A62A50">
        <w:rPr>
          <w:rFonts w:ascii="Tahoma" w:hAnsi="Tahoma"/>
          <w:sz w:val="18"/>
        </w:rPr>
        <w:t xml:space="preserve">baserede </w:t>
      </w:r>
      <w:r w:rsidRPr="009B3B4D">
        <w:rPr>
          <w:rFonts w:ascii="Tahoma" w:hAnsi="Tahoma"/>
          <w:sz w:val="18"/>
        </w:rPr>
        <w:t xml:space="preserve">teknikker) samt </w:t>
      </w:r>
      <w:r w:rsidRPr="009B3B4D">
        <w:rPr>
          <w:rFonts w:ascii="Tahoma" w:hAnsi="Tahoma"/>
          <w:sz w:val="18"/>
        </w:rPr>
        <w:t xml:space="preserve">histopatologisk vurdering i kvalitetssikrede laboratorier. </w:t>
      </w:r>
    </w:p>
    <w:p w:rsidR="00CC0F38" w:rsidRPr="009B3B4D" w:rsidP="00CC0F38">
      <w:pPr>
        <w:shd w:val="clear" w:color="auto" w:fill="D9D9D9"/>
        <w:autoSpaceDE w:val="0"/>
        <w:autoSpaceDN w:val="0"/>
        <w:adjustRightInd w:val="0"/>
        <w:spacing w:after="0"/>
        <w:jc w:val="both"/>
        <w:rPr>
          <w:rFonts w:ascii="Tahoma" w:hAnsi="Tahoma" w:cs="Tahoma"/>
          <w:b/>
          <w:sz w:val="24"/>
          <w:szCs w:val="24"/>
        </w:rPr>
      </w:pPr>
      <w:r w:rsidRPr="009B3B4D">
        <w:rPr>
          <w:rFonts w:ascii="Tahoma" w:hAnsi="Tahoma"/>
          <w:b/>
          <w:sz w:val="24"/>
        </w:rPr>
        <w:t>Standard 4</w:t>
      </w:r>
    </w:p>
    <w:p w:rsidR="00DA3A70" w:rsidRPr="009B3B4D" w:rsidP="0028467E">
      <w:pPr>
        <w:spacing w:after="120"/>
        <w:rPr>
          <w:rFonts w:ascii="Tahoma" w:hAnsi="Tahoma" w:cs="Tahoma"/>
          <w:sz w:val="18"/>
          <w:szCs w:val="18"/>
        </w:rPr>
      </w:pPr>
      <w:r w:rsidRPr="009B3B4D">
        <w:rPr>
          <w:rFonts w:ascii="Tahoma" w:hAnsi="Tahoma"/>
          <w:sz w:val="18"/>
        </w:rPr>
        <w:t>Alle personer med røntgenfund, der peger på pulmonal tuberkulose, bør have taget sputumprøver, der sendes til mikroskopi, hurtig</w:t>
      </w:r>
      <w:r w:rsidRPr="009B3B4D">
        <w:rPr>
          <w:rFonts w:ascii="Tahoma" w:hAnsi="Tahoma"/>
          <w:sz w:val="18"/>
        </w:rPr>
        <w:t xml:space="preserve"> molekyl</w:t>
      </w:r>
      <w:r w:rsidR="00A62A50">
        <w:rPr>
          <w:rFonts w:ascii="Tahoma" w:hAnsi="Tahoma"/>
          <w:sz w:val="18"/>
        </w:rPr>
        <w:t>ær</w:t>
      </w:r>
      <w:r w:rsidRPr="009B3B4D">
        <w:rPr>
          <w:rFonts w:ascii="Tahoma" w:hAnsi="Tahoma"/>
          <w:sz w:val="18"/>
        </w:rPr>
        <w:t xml:space="preserve">test, </w:t>
      </w:r>
      <w:r w:rsidR="00A62A50">
        <w:rPr>
          <w:rFonts w:ascii="Tahoma" w:hAnsi="Tahoma"/>
          <w:sz w:val="18"/>
        </w:rPr>
        <w:t>dyrkning</w:t>
      </w:r>
      <w:r w:rsidRPr="009B3B4D">
        <w:rPr>
          <w:rFonts w:ascii="Tahoma" w:hAnsi="Tahoma"/>
          <w:sz w:val="18"/>
        </w:rPr>
        <w:t xml:space="preserve">, artsbestemmelse og </w:t>
      </w:r>
      <w:r w:rsidRPr="009B3B4D">
        <w:rPr>
          <w:rFonts w:ascii="Tahoma" w:hAnsi="Tahoma"/>
          <w:sz w:val="18"/>
        </w:rPr>
        <w:t>lægemiddelfølsomhedstest ved brug af hurtig</w:t>
      </w:r>
      <w:r w:rsidRPr="009B3B4D">
        <w:rPr>
          <w:rFonts w:ascii="Tahoma" w:hAnsi="Tahoma"/>
          <w:sz w:val="18"/>
        </w:rPr>
        <w:t xml:space="preserve"> molekyl</w:t>
      </w:r>
      <w:r w:rsidR="00A62A50">
        <w:rPr>
          <w:rFonts w:ascii="Tahoma" w:hAnsi="Tahoma"/>
          <w:sz w:val="18"/>
        </w:rPr>
        <w:t>ær</w:t>
      </w:r>
      <w:r w:rsidRPr="009B3B4D">
        <w:rPr>
          <w:rFonts w:ascii="Tahoma" w:hAnsi="Tahoma"/>
          <w:sz w:val="18"/>
        </w:rPr>
        <w:t xml:space="preserve">test og </w:t>
      </w:r>
      <w:r w:rsidR="00A62A50">
        <w:rPr>
          <w:rFonts w:ascii="Tahoma" w:hAnsi="Tahoma"/>
          <w:sz w:val="18"/>
        </w:rPr>
        <w:t>dyrknings</w:t>
      </w:r>
      <w:r w:rsidRPr="009B3B4D">
        <w:rPr>
          <w:rFonts w:ascii="Tahoma" w:hAnsi="Tahoma"/>
          <w:sz w:val="18"/>
        </w:rPr>
        <w:t>baserede teknikker i et kvalitetssikret laboratorium.</w:t>
      </w:r>
    </w:p>
    <w:p w:rsidR="00DA3A70" w:rsidRPr="009B3B4D" w:rsidP="00A82B43">
      <w:pPr>
        <w:shd w:val="clear" w:color="auto" w:fill="D9D9D9"/>
        <w:autoSpaceDE w:val="0"/>
        <w:autoSpaceDN w:val="0"/>
        <w:adjustRightInd w:val="0"/>
        <w:spacing w:after="0"/>
        <w:jc w:val="both"/>
        <w:rPr>
          <w:rFonts w:ascii="Tahoma" w:hAnsi="Tahoma" w:cs="Tahoma"/>
          <w:b/>
          <w:bCs/>
          <w:sz w:val="24"/>
          <w:szCs w:val="24"/>
        </w:rPr>
      </w:pPr>
      <w:r w:rsidRPr="009B3B4D">
        <w:rPr>
          <w:rFonts w:ascii="Tahoma" w:hAnsi="Tahoma"/>
          <w:b/>
          <w:sz w:val="24"/>
          <w:shd w:val="clear" w:color="auto" w:fill="D9D9D9"/>
        </w:rPr>
        <w:t>Standard 5</w:t>
      </w:r>
    </w:p>
    <w:p w:rsidR="00DA3A70" w:rsidRPr="009B3B4D" w:rsidP="0028467E">
      <w:pPr>
        <w:spacing w:after="120"/>
        <w:rPr>
          <w:rFonts w:ascii="Tahoma" w:hAnsi="Tahoma" w:cs="Tahoma"/>
          <w:sz w:val="18"/>
          <w:szCs w:val="18"/>
        </w:rPr>
      </w:pPr>
      <w:r w:rsidRPr="009B3B4D">
        <w:rPr>
          <w:rFonts w:ascii="Tahoma" w:hAnsi="Tahoma"/>
          <w:sz w:val="18"/>
        </w:rPr>
        <w:t xml:space="preserve">Diagnosticering af </w:t>
      </w:r>
      <w:r w:rsidR="00A62A50">
        <w:rPr>
          <w:rFonts w:ascii="Tahoma" w:hAnsi="Tahoma"/>
          <w:sz w:val="18"/>
        </w:rPr>
        <w:t>dyrknings</w:t>
      </w:r>
      <w:r w:rsidRPr="009B3B4D">
        <w:rPr>
          <w:rFonts w:ascii="Tahoma" w:hAnsi="Tahoma"/>
          <w:sz w:val="18"/>
        </w:rPr>
        <w:t xml:space="preserve">negativ </w:t>
      </w:r>
      <w:r w:rsidRPr="009B3B4D">
        <w:rPr>
          <w:rFonts w:ascii="Tahoma" w:hAnsi="Tahoma"/>
          <w:sz w:val="18"/>
        </w:rPr>
        <w:t>pulmonal</w:t>
      </w:r>
      <w:r w:rsidRPr="009B3B4D">
        <w:rPr>
          <w:rFonts w:ascii="Tahoma" w:hAnsi="Tahoma"/>
          <w:sz w:val="18"/>
        </w:rPr>
        <w:t xml:space="preserve"> tuberkulose bør baseres på følgende kriterier: Alle bakteriolo</w:t>
      </w:r>
      <w:r w:rsidRPr="009B3B4D">
        <w:rPr>
          <w:rFonts w:ascii="Tahoma" w:hAnsi="Tahoma"/>
          <w:sz w:val="18"/>
        </w:rPr>
        <w:t xml:space="preserve">giske test er negative (herunder direkte </w:t>
      </w:r>
      <w:r w:rsidRPr="009B3B4D">
        <w:rPr>
          <w:rFonts w:ascii="Tahoma" w:hAnsi="Tahoma"/>
          <w:sz w:val="18"/>
        </w:rPr>
        <w:t>sputum-smeartest</w:t>
      </w:r>
      <w:r w:rsidRPr="009B3B4D">
        <w:rPr>
          <w:rFonts w:ascii="Tahoma" w:hAnsi="Tahoma"/>
          <w:sz w:val="18"/>
        </w:rPr>
        <w:t xml:space="preserve">, </w:t>
      </w:r>
      <w:r w:rsidR="00A62A50">
        <w:rPr>
          <w:rFonts w:ascii="Tahoma" w:hAnsi="Tahoma"/>
          <w:sz w:val="18"/>
        </w:rPr>
        <w:t>dyrkning</w:t>
      </w:r>
      <w:r w:rsidRPr="009B3B4D">
        <w:rPr>
          <w:rFonts w:ascii="Tahoma" w:hAnsi="Tahoma"/>
          <w:sz w:val="18"/>
        </w:rPr>
        <w:t>er</w:t>
      </w:r>
      <w:r w:rsidRPr="009B3B4D">
        <w:rPr>
          <w:rFonts w:ascii="Tahoma" w:hAnsi="Tahoma"/>
          <w:sz w:val="18"/>
        </w:rPr>
        <w:t xml:space="preserve"> og hurtig molekyl</w:t>
      </w:r>
      <w:r w:rsidR="00A62A50">
        <w:rPr>
          <w:rFonts w:ascii="Tahoma" w:hAnsi="Tahoma"/>
          <w:sz w:val="18"/>
        </w:rPr>
        <w:t>ær</w:t>
      </w:r>
      <w:r w:rsidRPr="009B3B4D">
        <w:rPr>
          <w:rFonts w:ascii="Tahoma" w:hAnsi="Tahoma"/>
          <w:sz w:val="18"/>
        </w:rPr>
        <w:t>test), fund på røntgenbilleder af brystkassen er forenelige med tuberkulose, og der er manglende respons ved afprøvning af bredspektrede antimikrobielle stoffer</w:t>
      </w:r>
      <w:r w:rsidRPr="009B3B4D">
        <w:rPr>
          <w:rFonts w:ascii="Tahoma" w:hAnsi="Tahoma"/>
          <w:sz w:val="18"/>
        </w:rPr>
        <w:t xml:space="preserve"> (NB: Da fluoroquinoloner virker aktivt mod </w:t>
      </w:r>
      <w:r w:rsidRPr="009B3B4D">
        <w:rPr>
          <w:rFonts w:ascii="Tahoma" w:hAnsi="Tahoma"/>
          <w:i/>
          <w:sz w:val="18"/>
        </w:rPr>
        <w:t>M. tuberculosis</w:t>
      </w:r>
      <w:r w:rsidRPr="009B3B4D">
        <w:rPr>
          <w:rFonts w:ascii="Tahoma" w:hAnsi="Tahoma"/>
          <w:sz w:val="18"/>
        </w:rPr>
        <w:t>-komplekset og kan give forbigående bedring hos personer med tuberkulose, bør anvendelse heraf undgås). Hos personer, der er alvorligt syge eller har kendt eller formodet human immundefektvirus (hi</w:t>
      </w:r>
      <w:r w:rsidRPr="009B3B4D">
        <w:rPr>
          <w:rFonts w:ascii="Tahoma" w:hAnsi="Tahoma"/>
          <w:sz w:val="18"/>
        </w:rPr>
        <w:t xml:space="preserve">v)-infektion eller har immunkompromitterende tilstande, skal diagnosticeringen fremskyndes, og hvis der er stærk klinisk evidens for tuberkulose, bør der iværksættes et tuberkulosebehandlingsforløb. </w:t>
      </w:r>
    </w:p>
    <w:p w:rsidR="00E23086" w:rsidRPr="009B3B4D" w:rsidP="000D0DB0">
      <w:pPr>
        <w:pStyle w:val="EC-Title-6"/>
      </w:pPr>
      <w:r w:rsidRPr="009B3B4D">
        <w:t>EU-specifikke krav</w:t>
      </w:r>
    </w:p>
    <w:p w:rsidR="00DA3A70" w:rsidRPr="009B3B4D" w:rsidP="0028467E">
      <w:pPr>
        <w:spacing w:after="120"/>
        <w:rPr>
          <w:rFonts w:ascii="Tahoma" w:hAnsi="Tahoma" w:cs="Tahoma"/>
          <w:sz w:val="18"/>
          <w:szCs w:val="18"/>
        </w:rPr>
      </w:pPr>
      <w:r w:rsidRPr="009B3B4D">
        <w:rPr>
          <w:rFonts w:ascii="Tahoma" w:hAnsi="Tahoma"/>
          <w:sz w:val="18"/>
        </w:rPr>
        <w:t>For at sikre kvalitetsdiagnosticering</w:t>
      </w:r>
      <w:r w:rsidRPr="009B3B4D">
        <w:rPr>
          <w:rFonts w:ascii="Tahoma" w:hAnsi="Tahoma"/>
          <w:sz w:val="18"/>
        </w:rPr>
        <w:t xml:space="preserve"> af både pulmonal og ekstrapulmonal tuberkulose, bør der indsamles prøver til bakteriologisk analyse. Sputuminduktion, bronkoskopi og bronkoalveolær skylning, gastrisk skylning, biopsi eller finnålsaspiration bør udføres, hvis det er relevant [1]. Prøverne</w:t>
      </w:r>
      <w:r w:rsidRPr="009B3B4D">
        <w:rPr>
          <w:rFonts w:ascii="Tahoma" w:hAnsi="Tahoma"/>
          <w:sz w:val="18"/>
        </w:rPr>
        <w:t xml:space="preserve"> bør analyseres ved brug af diagnostiske værktøjer [2] og suppleres med billeddiagnostik (røntgen, ultralyd, CT-scanning, MR-scanning, PET-scanning) og andre relevante undersøgelser iht. evidensbaserede retningslinjer [2-4]. </w:t>
      </w:r>
    </w:p>
    <w:p w:rsidR="00DA3A70" w:rsidRPr="009B3B4D" w:rsidP="0028467E">
      <w:pPr>
        <w:spacing w:after="120"/>
        <w:rPr>
          <w:rFonts w:ascii="Tahoma" w:hAnsi="Tahoma" w:cs="Tahoma"/>
          <w:sz w:val="18"/>
          <w:szCs w:val="18"/>
        </w:rPr>
      </w:pPr>
      <w:r w:rsidRPr="009B3B4D">
        <w:rPr>
          <w:rFonts w:ascii="Tahoma" w:hAnsi="Tahoma"/>
          <w:sz w:val="18"/>
        </w:rPr>
        <w:t>WHO-anbefalet hurtig molekyl</w:t>
      </w:r>
      <w:r w:rsidR="003F315D">
        <w:rPr>
          <w:rFonts w:ascii="Tahoma" w:hAnsi="Tahoma"/>
          <w:sz w:val="18"/>
        </w:rPr>
        <w:t>ær</w:t>
      </w:r>
      <w:r w:rsidRPr="009B3B4D">
        <w:rPr>
          <w:rFonts w:ascii="Tahoma" w:hAnsi="Tahoma"/>
          <w:sz w:val="18"/>
        </w:rPr>
        <w:t xml:space="preserve">test [5], </w:t>
      </w:r>
      <w:r w:rsidR="003F315D">
        <w:rPr>
          <w:rFonts w:ascii="Tahoma" w:hAnsi="Tahoma"/>
          <w:sz w:val="18"/>
        </w:rPr>
        <w:t>dyrkning</w:t>
      </w:r>
      <w:r w:rsidRPr="009B3B4D">
        <w:rPr>
          <w:rFonts w:ascii="Tahoma" w:hAnsi="Tahoma"/>
          <w:sz w:val="18"/>
        </w:rPr>
        <w:t xml:space="preserve"> og lægemiddelfølsomhedstest bør udføres på alle prøver fra patienter med formodet pulmonal og ekstrapulmonal tuberkulose, herunder prøver indsamlet under kirurgi eller andre invasive procedurer, der normalt underkastes histologis</w:t>
      </w:r>
      <w:r w:rsidRPr="009B3B4D">
        <w:rPr>
          <w:rFonts w:ascii="Tahoma" w:hAnsi="Tahoma"/>
          <w:sz w:val="18"/>
        </w:rPr>
        <w:t>k analyse. Kirurger skal derfor have at vide, at de skal gemme en biologisk prøve i normal saltvandsopløsning med henblik på mikro- og molekylærbiologisk analyse og i formalin med henblik på histopatologisk analyse.</w:t>
      </w:r>
    </w:p>
    <w:p w:rsidR="00DA3A70" w:rsidRPr="009B3B4D" w:rsidP="008A39C9">
      <w:pPr>
        <w:shd w:val="clear" w:color="auto" w:fill="D9D9D9"/>
        <w:autoSpaceDE w:val="0"/>
        <w:autoSpaceDN w:val="0"/>
        <w:adjustRightInd w:val="0"/>
        <w:spacing w:after="0"/>
        <w:jc w:val="both"/>
        <w:rPr>
          <w:rFonts w:ascii="Tahoma" w:hAnsi="Tahoma" w:cs="Tahoma"/>
          <w:sz w:val="24"/>
          <w:szCs w:val="24"/>
        </w:rPr>
      </w:pPr>
      <w:r w:rsidRPr="009B3B4D">
        <w:rPr>
          <w:rFonts w:ascii="Tahoma" w:hAnsi="Tahoma"/>
          <w:b/>
          <w:sz w:val="24"/>
        </w:rPr>
        <w:t>Standard 6</w:t>
      </w:r>
    </w:p>
    <w:p w:rsidR="00D830C5" w:rsidRPr="009B3B4D" w:rsidP="000D0DB0">
      <w:pPr>
        <w:spacing w:after="120"/>
        <w:rPr>
          <w:rFonts w:ascii="Tahoma" w:hAnsi="Tahoma" w:cs="Tahoma"/>
          <w:spacing w:val="-4"/>
          <w:sz w:val="18"/>
          <w:szCs w:val="18"/>
        </w:rPr>
      </w:pPr>
      <w:r w:rsidRPr="009B3B4D">
        <w:rPr>
          <w:rFonts w:ascii="Tahoma" w:hAnsi="Tahoma"/>
          <w:spacing w:val="-4"/>
          <w:sz w:val="18"/>
        </w:rPr>
        <w:t>Hos alle børn med formodet in</w:t>
      </w:r>
      <w:r w:rsidRPr="009B3B4D">
        <w:rPr>
          <w:rFonts w:ascii="Tahoma" w:hAnsi="Tahoma"/>
          <w:spacing w:val="-4"/>
          <w:sz w:val="18"/>
        </w:rPr>
        <w:t>tratorakal (dvs. pulmonal, pleural og mediastinal eller hiluslymfeknude-relateret) tuberkulose bør der ske bakteriologisk bekræftelse ved undersøgelse af egnede biologiske prøver (f.eks. ekspektorat eller induceret sputum, bronkiesekret, pleuravæske, gastr</w:t>
      </w:r>
      <w:r w:rsidRPr="009B3B4D">
        <w:rPr>
          <w:rFonts w:ascii="Tahoma" w:hAnsi="Tahoma"/>
          <w:spacing w:val="-4"/>
          <w:sz w:val="18"/>
        </w:rPr>
        <w:t xml:space="preserve">isk skylning eller endoskopisk ultralydsvejledt biopsi) under anvendelse af </w:t>
      </w:r>
      <w:r w:rsidRPr="009B3B4D">
        <w:rPr>
          <w:rFonts w:ascii="Tahoma" w:hAnsi="Tahoma"/>
          <w:spacing w:val="-4"/>
          <w:sz w:val="18"/>
        </w:rPr>
        <w:t>smear</w:t>
      </w:r>
      <w:r w:rsidRPr="009B3B4D">
        <w:rPr>
          <w:rFonts w:ascii="Tahoma" w:hAnsi="Tahoma"/>
          <w:spacing w:val="-4"/>
          <w:sz w:val="18"/>
        </w:rPr>
        <w:t>-mikroskopi, hurtig</w:t>
      </w:r>
      <w:r w:rsidRPr="009B3B4D">
        <w:rPr>
          <w:rFonts w:ascii="Tahoma" w:hAnsi="Tahoma"/>
          <w:spacing w:val="-4"/>
          <w:sz w:val="18"/>
        </w:rPr>
        <w:t xml:space="preserve"> molekyl</w:t>
      </w:r>
      <w:r w:rsidR="003F315D">
        <w:rPr>
          <w:rFonts w:ascii="Tahoma" w:hAnsi="Tahoma"/>
          <w:spacing w:val="-4"/>
          <w:sz w:val="18"/>
        </w:rPr>
        <w:t>ær</w:t>
      </w:r>
      <w:r w:rsidRPr="009B3B4D">
        <w:rPr>
          <w:rFonts w:ascii="Tahoma" w:hAnsi="Tahoma"/>
          <w:spacing w:val="-4"/>
          <w:sz w:val="18"/>
        </w:rPr>
        <w:t xml:space="preserve">test, artsbestemmelse og lægemiddelfølsomhedstest med </w:t>
      </w:r>
      <w:r w:rsidR="003F315D">
        <w:rPr>
          <w:rFonts w:ascii="Tahoma" w:hAnsi="Tahoma"/>
          <w:spacing w:val="-4"/>
          <w:sz w:val="18"/>
        </w:rPr>
        <w:t>dyrknings</w:t>
      </w:r>
      <w:r w:rsidRPr="009B3B4D" w:rsidR="003F315D">
        <w:rPr>
          <w:rFonts w:ascii="Tahoma" w:hAnsi="Tahoma"/>
          <w:spacing w:val="-4"/>
          <w:sz w:val="18"/>
        </w:rPr>
        <w:t xml:space="preserve">baserede </w:t>
      </w:r>
      <w:r w:rsidRPr="009B3B4D">
        <w:rPr>
          <w:rFonts w:ascii="Tahoma" w:hAnsi="Tahoma"/>
          <w:spacing w:val="-4"/>
          <w:sz w:val="18"/>
        </w:rPr>
        <w:t>teknikker i et kvalitetssikret laboratorium [3, 5-9]. Ved</w:t>
      </w:r>
      <w:r w:rsidRPr="009B3B4D">
        <w:rPr>
          <w:rFonts w:ascii="Tahoma" w:hAnsi="Tahoma"/>
          <w:spacing w:val="-4"/>
          <w:sz w:val="18"/>
        </w:rPr>
        <w:t xml:space="preserve"> negative bakteriologiske resultater bør en tuberkulose-diagnose baseres på tilstedeværelse af anomalier, der er forenelige med tuberkulose, som konstateret ved røntgen eller anden billeddiagnostisk undersøgelse af brystkassen, tidligere eksponering for sm</w:t>
      </w:r>
      <w:r w:rsidRPr="009B3B4D">
        <w:rPr>
          <w:rFonts w:ascii="Tahoma" w:hAnsi="Tahoma"/>
          <w:spacing w:val="-4"/>
          <w:sz w:val="18"/>
        </w:rPr>
        <w:t>itte, påvist tuberkuloseinfektion (positiv tuberkulin-hudtest (TST) og/eller en positiv IGRA-test (</w:t>
      </w:r>
      <w:r w:rsidRPr="009B3B4D">
        <w:rPr>
          <w:rFonts w:ascii="Tahoma" w:hAnsi="Tahoma"/>
          <w:i/>
          <w:spacing w:val="-4"/>
          <w:sz w:val="18"/>
        </w:rPr>
        <w:t>interferon-gamma release assay</w:t>
      </w:r>
      <w:r w:rsidRPr="009B3B4D">
        <w:rPr>
          <w:rFonts w:ascii="Tahoma" w:hAnsi="Tahoma"/>
          <w:spacing w:val="-4"/>
          <w:sz w:val="18"/>
        </w:rPr>
        <w:t>) [5, 10-13] og/eller kliniske fund, der tyder på tuberkulose [3]. For børn med formodet ekstrapulmonal tuberkulose bør der tag</w:t>
      </w:r>
      <w:r w:rsidRPr="009B3B4D">
        <w:rPr>
          <w:rFonts w:ascii="Tahoma" w:hAnsi="Tahoma"/>
          <w:spacing w:val="-4"/>
          <w:sz w:val="18"/>
        </w:rPr>
        <w:t>es egnede prøver fra de mistænkte steder med henblik på mikroskopi, hurtig</w:t>
      </w:r>
      <w:r w:rsidRPr="009B3B4D">
        <w:rPr>
          <w:rFonts w:ascii="Tahoma" w:hAnsi="Tahoma"/>
          <w:spacing w:val="-4"/>
          <w:sz w:val="18"/>
        </w:rPr>
        <w:t xml:space="preserve"> molekyl</w:t>
      </w:r>
      <w:r w:rsidR="003F315D">
        <w:rPr>
          <w:rFonts w:ascii="Tahoma" w:hAnsi="Tahoma"/>
          <w:spacing w:val="-4"/>
          <w:sz w:val="18"/>
        </w:rPr>
        <w:t>ær</w:t>
      </w:r>
      <w:r w:rsidRPr="009B3B4D">
        <w:rPr>
          <w:rFonts w:ascii="Tahoma" w:hAnsi="Tahoma"/>
          <w:spacing w:val="-4"/>
          <w:sz w:val="18"/>
        </w:rPr>
        <w:t xml:space="preserve">test, artsbestemmelse og lægemiddelfølsomhedstest med </w:t>
      </w:r>
      <w:r w:rsidR="003F315D">
        <w:rPr>
          <w:rFonts w:ascii="Tahoma" w:hAnsi="Tahoma"/>
          <w:spacing w:val="-4"/>
          <w:sz w:val="18"/>
        </w:rPr>
        <w:t>dyrknings</w:t>
      </w:r>
      <w:r w:rsidRPr="009B3B4D">
        <w:rPr>
          <w:rFonts w:ascii="Tahoma" w:hAnsi="Tahoma"/>
          <w:spacing w:val="-4"/>
          <w:sz w:val="18"/>
        </w:rPr>
        <w:t xml:space="preserve">baserede teknikker samt </w:t>
      </w:r>
      <w:r w:rsidRPr="009B3B4D">
        <w:rPr>
          <w:rFonts w:ascii="Tahoma" w:hAnsi="Tahoma"/>
          <w:spacing w:val="-4"/>
          <w:sz w:val="18"/>
        </w:rPr>
        <w:t>histopatologisk</w:t>
      </w:r>
      <w:r w:rsidRPr="009B3B4D">
        <w:rPr>
          <w:rFonts w:ascii="Tahoma" w:hAnsi="Tahoma"/>
          <w:spacing w:val="-4"/>
          <w:sz w:val="18"/>
        </w:rPr>
        <w:t xml:space="preserve"> analyse [5, 14, 15]. </w:t>
      </w:r>
    </w:p>
    <w:p w:rsidR="00D830C5" w:rsidRPr="009B3B4D" w:rsidP="0028467E">
      <w:pPr>
        <w:pStyle w:val="EC-Title-5"/>
        <w:spacing w:before="120" w:after="240"/>
      </w:pPr>
      <w:r w:rsidRPr="009B3B4D">
        <w:t xml:space="preserve">Standarder for behandling af </w:t>
      </w:r>
      <w:r w:rsidRPr="009B3B4D">
        <w:t>tuberkulose</w:t>
      </w:r>
    </w:p>
    <w:p w:rsidR="00DA3A70" w:rsidRPr="009B3B4D" w:rsidP="00A82B43">
      <w:pPr>
        <w:shd w:val="clear" w:color="auto" w:fill="D9D9D9"/>
        <w:autoSpaceDE w:val="0"/>
        <w:autoSpaceDN w:val="0"/>
        <w:adjustRightInd w:val="0"/>
        <w:spacing w:after="0"/>
        <w:jc w:val="both"/>
        <w:rPr>
          <w:rFonts w:ascii="Tahoma" w:hAnsi="Tahoma" w:cs="Tahoma"/>
          <w:b/>
          <w:bCs/>
          <w:i/>
          <w:sz w:val="24"/>
          <w:szCs w:val="24"/>
        </w:rPr>
      </w:pPr>
      <w:r w:rsidRPr="009B3B4D">
        <w:rPr>
          <w:rFonts w:ascii="Tahoma" w:hAnsi="Tahoma"/>
          <w:b/>
          <w:sz w:val="24"/>
        </w:rPr>
        <w:t>Standard 7</w:t>
      </w:r>
    </w:p>
    <w:p w:rsidR="00DA3A70" w:rsidRPr="009B3B4D" w:rsidP="0028467E">
      <w:pPr>
        <w:spacing w:after="120"/>
        <w:rPr>
          <w:rFonts w:ascii="Tahoma" w:hAnsi="Tahoma" w:cs="Tahoma"/>
          <w:sz w:val="18"/>
          <w:szCs w:val="18"/>
        </w:rPr>
      </w:pPr>
      <w:r w:rsidRPr="009B3B4D">
        <w:rPr>
          <w:rFonts w:ascii="Tahoma" w:hAnsi="Tahoma"/>
          <w:sz w:val="18"/>
        </w:rPr>
        <w:t xml:space="preserve">Alle </w:t>
      </w:r>
      <w:r w:rsidRPr="009B3B4D">
        <w:rPr>
          <w:rFonts w:ascii="Tahoma" w:hAnsi="Tahoma"/>
          <w:sz w:val="18"/>
        </w:rPr>
        <w:t xml:space="preserve">læger, der behandler patienter for tuberkulose, har en vigtig folkesundhedsmæssig forpligtelse til at forebygge yderligere smitte og udvikling af lægemiddelresistens. For at opfylde denne forpligtelse skal </w:t>
      </w:r>
      <w:r w:rsidRPr="009B3B4D">
        <w:rPr>
          <w:rFonts w:ascii="Tahoma" w:hAnsi="Tahoma"/>
          <w:sz w:val="18"/>
        </w:rPr>
        <w:t>læger, i samarbejde med sundhedsvæsnet, sørge for at gøre følgende: 1) ordinere et egnet behandlingsregime (vejledt af genotypiske og/eller fænotypiske resultater af lægemiddelfølsomhedstest), 2) foretage undersøgelse af kontakter, 3) vurdere og frem</w:t>
      </w:r>
      <w:r w:rsidRPr="009B3B4D">
        <w:rPr>
          <w:rFonts w:ascii="Tahoma" w:hAnsi="Tahoma"/>
          <w:sz w:val="18"/>
        </w:rPr>
        <w:t>me patientens overholdelse af behandlingen ved hjælp af en patientfokuseret tilgang i samarbejde med familiemedlemmer, det lokale sundhedsvæsen og/eller de kommunale sundhedsmyndigheder og civilsamfundsorganisationer samt 4) overvåge behandlingsresultatern</w:t>
      </w:r>
      <w:r w:rsidRPr="009B3B4D">
        <w:rPr>
          <w:rFonts w:ascii="Tahoma" w:hAnsi="Tahoma"/>
          <w:sz w:val="18"/>
        </w:rPr>
        <w:t xml:space="preserve">e [2, 16, 17]. </w:t>
      </w:r>
    </w:p>
    <w:p w:rsidR="00DA3A70" w:rsidRPr="009B3B4D" w:rsidP="00A82B43">
      <w:pPr>
        <w:shd w:val="clear" w:color="auto" w:fill="D9D9D9"/>
        <w:autoSpaceDE w:val="0"/>
        <w:autoSpaceDN w:val="0"/>
        <w:adjustRightInd w:val="0"/>
        <w:spacing w:after="0"/>
        <w:jc w:val="both"/>
        <w:rPr>
          <w:rFonts w:ascii="Tahoma" w:hAnsi="Tahoma" w:cs="Tahoma"/>
          <w:b/>
          <w:bCs/>
          <w:sz w:val="24"/>
          <w:szCs w:val="24"/>
        </w:rPr>
      </w:pPr>
      <w:r w:rsidRPr="009B3B4D">
        <w:rPr>
          <w:rFonts w:ascii="Tahoma" w:hAnsi="Tahoma"/>
          <w:b/>
          <w:sz w:val="24"/>
          <w:shd w:val="clear" w:color="auto" w:fill="D9D9D9"/>
        </w:rPr>
        <w:t>Standard 8</w:t>
      </w:r>
    </w:p>
    <w:p w:rsidR="00DA3A70" w:rsidRPr="009B3B4D" w:rsidP="0028467E">
      <w:pPr>
        <w:spacing w:after="120"/>
        <w:rPr>
          <w:rFonts w:ascii="Tahoma" w:hAnsi="Tahoma" w:cs="Tahoma"/>
          <w:sz w:val="18"/>
          <w:szCs w:val="18"/>
        </w:rPr>
      </w:pPr>
      <w:r w:rsidRPr="009B3B4D">
        <w:rPr>
          <w:rFonts w:ascii="Tahoma" w:hAnsi="Tahoma"/>
          <w:sz w:val="18"/>
        </w:rPr>
        <w:t>Alle patienter (herunder patienter med samtidig hivinfektion), der ikke tidligere er blevet behandlet, og som ikke er lægemiddelresistente (i henhold til egnede test), bør have internationalt anerkendt første</w:t>
      </w:r>
      <w:r w:rsidR="003F315D">
        <w:rPr>
          <w:rFonts w:ascii="Tahoma" w:hAnsi="Tahoma"/>
          <w:sz w:val="18"/>
        </w:rPr>
        <w:t>valgs</w:t>
      </w:r>
      <w:r w:rsidRPr="009B3B4D">
        <w:rPr>
          <w:rFonts w:ascii="Tahoma" w:hAnsi="Tahoma"/>
          <w:sz w:val="18"/>
        </w:rPr>
        <w:t>behandling med lægemidler med kendt biotilgængelighed. Den indledende fase bør bestå af 2 måneders behandling med isoniazid (H), rifampicin (R), pyrazinamid (Z) og ethambutol (E). Den næste fase bør bestå af 4 måneders behandling med isoniazid og rifampici</w:t>
      </w:r>
      <w:r w:rsidRPr="009B3B4D">
        <w:rPr>
          <w:rFonts w:ascii="Tahoma" w:hAnsi="Tahoma"/>
          <w:sz w:val="18"/>
        </w:rPr>
        <w:t xml:space="preserve">n (2HRZE/4HR). Doserne af tuberkuloselægemidlerne bør følge de internationale anbefalinger. Fastdosiskombinationer af to lægemidler (isoniazid og rifampicin), tre lægemidler (isoniazid, rifampicin og pyrazinamid) og fire lægemidler (isoniazid, rifampicin, </w:t>
      </w:r>
      <w:r w:rsidRPr="009B3B4D">
        <w:rPr>
          <w:rFonts w:ascii="Tahoma" w:hAnsi="Tahoma"/>
          <w:sz w:val="18"/>
        </w:rPr>
        <w:t xml:space="preserve">pyrazinamid og ethambutol) kan gøre det lettere at administrere medicinen. </w:t>
      </w:r>
    </w:p>
    <w:p w:rsidR="00DA3A70" w:rsidRPr="009B3B4D" w:rsidP="00037B0F">
      <w:pPr>
        <w:keepNext/>
        <w:shd w:val="clear" w:color="auto" w:fill="D9D9D9"/>
        <w:autoSpaceDE w:val="0"/>
        <w:autoSpaceDN w:val="0"/>
        <w:adjustRightInd w:val="0"/>
        <w:spacing w:after="0"/>
        <w:jc w:val="both"/>
        <w:rPr>
          <w:rFonts w:ascii="Tahoma" w:hAnsi="Tahoma" w:cs="Tahoma"/>
          <w:b/>
          <w:bCs/>
          <w:i/>
          <w:sz w:val="24"/>
          <w:szCs w:val="24"/>
        </w:rPr>
      </w:pPr>
      <w:r w:rsidRPr="009B3B4D">
        <w:rPr>
          <w:rFonts w:ascii="Tahoma" w:hAnsi="Tahoma"/>
          <w:b/>
          <w:sz w:val="24"/>
        </w:rPr>
        <w:t>Standard 9</w:t>
      </w:r>
    </w:p>
    <w:p w:rsidR="00DA3A70" w:rsidRPr="009B3B4D" w:rsidP="0028467E">
      <w:pPr>
        <w:spacing w:after="120"/>
        <w:rPr>
          <w:rFonts w:ascii="Tahoma" w:hAnsi="Tahoma" w:cs="Tahoma"/>
          <w:szCs w:val="24"/>
        </w:rPr>
      </w:pPr>
      <w:r w:rsidRPr="009B3B4D">
        <w:rPr>
          <w:rFonts w:ascii="Tahoma" w:hAnsi="Tahoma"/>
          <w:sz w:val="18"/>
        </w:rPr>
        <w:t>En patientfokuseret tilgang til behandling baseret på patientbehov og gensidig respekt mellem patient og sundhedsperson bør gælde alle patienter.</w:t>
      </w:r>
    </w:p>
    <w:p w:rsidR="00DA3A70" w:rsidRPr="009B3B4D" w:rsidP="00A82B43">
      <w:pPr>
        <w:shd w:val="clear" w:color="auto" w:fill="D9D9D9"/>
        <w:autoSpaceDE w:val="0"/>
        <w:autoSpaceDN w:val="0"/>
        <w:adjustRightInd w:val="0"/>
        <w:spacing w:after="0"/>
        <w:jc w:val="both"/>
        <w:rPr>
          <w:rFonts w:ascii="Tahoma" w:hAnsi="Tahoma" w:cs="Tahoma"/>
          <w:b/>
          <w:bCs/>
          <w:sz w:val="24"/>
          <w:szCs w:val="24"/>
        </w:rPr>
      </w:pPr>
      <w:r w:rsidRPr="009B3B4D">
        <w:rPr>
          <w:rFonts w:ascii="Tahoma" w:hAnsi="Tahoma"/>
          <w:b/>
          <w:sz w:val="24"/>
        </w:rPr>
        <w:t>Standard 10</w:t>
      </w:r>
    </w:p>
    <w:p w:rsidR="00DA3A70" w:rsidRPr="009B3B4D" w:rsidP="000D0DB0">
      <w:pPr>
        <w:spacing w:after="0"/>
        <w:rPr>
          <w:rFonts w:ascii="Tahoma" w:hAnsi="Tahoma" w:cs="Tahoma"/>
          <w:sz w:val="18"/>
          <w:szCs w:val="18"/>
        </w:rPr>
      </w:pPr>
      <w:r w:rsidRPr="009B3B4D">
        <w:rPr>
          <w:rFonts w:ascii="Tahoma" w:hAnsi="Tahoma"/>
          <w:sz w:val="18"/>
        </w:rPr>
        <w:t xml:space="preserve">Behandlingsresponset hos patienter med pulmonal tuberkulose bør overvåges ved hjælp af opfølgende </w:t>
      </w:r>
      <w:r w:rsidRPr="009B3B4D">
        <w:rPr>
          <w:rFonts w:ascii="Tahoma" w:hAnsi="Tahoma"/>
          <w:sz w:val="18"/>
        </w:rPr>
        <w:t>smearmikroskopi</w:t>
      </w:r>
      <w:r w:rsidRPr="009B3B4D">
        <w:rPr>
          <w:rFonts w:ascii="Tahoma" w:hAnsi="Tahoma"/>
          <w:sz w:val="18"/>
        </w:rPr>
        <w:t xml:space="preserve"> og </w:t>
      </w:r>
      <w:r w:rsidR="00970C3A">
        <w:rPr>
          <w:rFonts w:ascii="Tahoma" w:hAnsi="Tahoma"/>
          <w:sz w:val="18"/>
        </w:rPr>
        <w:t>dyrkning</w:t>
      </w:r>
      <w:r w:rsidRPr="009B3B4D">
        <w:rPr>
          <w:rFonts w:ascii="Tahoma" w:hAnsi="Tahoma"/>
          <w:sz w:val="18"/>
        </w:rPr>
        <w:t>. Dette bør som minimum finde sted ved afslutningen af den indledende behandlingsfase (to måneder for lægemiddelfølsom tuberk</w:t>
      </w:r>
      <w:r w:rsidRPr="009B3B4D">
        <w:rPr>
          <w:rFonts w:ascii="Tahoma" w:hAnsi="Tahoma"/>
          <w:sz w:val="18"/>
        </w:rPr>
        <w:t xml:space="preserve">ulose). Hvis </w:t>
      </w:r>
      <w:r w:rsidRPr="009B3B4D">
        <w:rPr>
          <w:rFonts w:ascii="Tahoma" w:hAnsi="Tahoma"/>
          <w:sz w:val="18"/>
        </w:rPr>
        <w:t>smeartest</w:t>
      </w:r>
      <w:r w:rsidRPr="009B3B4D">
        <w:rPr>
          <w:rFonts w:ascii="Tahoma" w:hAnsi="Tahoma"/>
          <w:sz w:val="18"/>
        </w:rPr>
        <w:t xml:space="preserve"> og/eller </w:t>
      </w:r>
      <w:r w:rsidR="00970C3A">
        <w:rPr>
          <w:rFonts w:ascii="Tahoma" w:hAnsi="Tahoma"/>
          <w:sz w:val="18"/>
        </w:rPr>
        <w:t>dyrkning</w:t>
      </w:r>
      <w:r w:rsidRPr="009B3B4D">
        <w:rPr>
          <w:rFonts w:ascii="Tahoma" w:hAnsi="Tahoma"/>
          <w:sz w:val="18"/>
        </w:rPr>
        <w:t xml:space="preserve"> af </w:t>
      </w:r>
      <w:r w:rsidRPr="009B3B4D">
        <w:rPr>
          <w:rFonts w:ascii="Tahoma" w:hAnsi="Tahoma"/>
          <w:sz w:val="18"/>
        </w:rPr>
        <w:t>sputum</w:t>
      </w:r>
      <w:r w:rsidRPr="009B3B4D">
        <w:rPr>
          <w:rFonts w:ascii="Tahoma" w:hAnsi="Tahoma"/>
          <w:sz w:val="18"/>
        </w:rPr>
        <w:t xml:space="preserve"> er positiv ved afslutningen af den indledende fase, bør </w:t>
      </w:r>
      <w:r w:rsidR="00970C3A">
        <w:rPr>
          <w:rFonts w:ascii="Tahoma" w:hAnsi="Tahoma"/>
          <w:sz w:val="18"/>
        </w:rPr>
        <w:t xml:space="preserve">hurtig </w:t>
      </w:r>
      <w:r w:rsidRPr="009B3B4D">
        <w:rPr>
          <w:rFonts w:ascii="Tahoma" w:hAnsi="Tahoma"/>
          <w:sz w:val="18"/>
        </w:rPr>
        <w:t>molekyl</w:t>
      </w:r>
      <w:r w:rsidR="00970C3A">
        <w:rPr>
          <w:rFonts w:ascii="Tahoma" w:hAnsi="Tahoma"/>
          <w:sz w:val="18"/>
        </w:rPr>
        <w:t>ær</w:t>
      </w:r>
      <w:r w:rsidRPr="009B3B4D">
        <w:rPr>
          <w:rFonts w:ascii="Tahoma" w:hAnsi="Tahoma"/>
          <w:sz w:val="18"/>
        </w:rPr>
        <w:t>test til test af lægemiddelresistens og yderligere lægemiddelfølsomhedstest gennemføres med det samme. Hos patienter med ekstr</w:t>
      </w:r>
      <w:r w:rsidRPr="009B3B4D">
        <w:rPr>
          <w:rFonts w:ascii="Tahoma" w:hAnsi="Tahoma"/>
          <w:sz w:val="18"/>
        </w:rPr>
        <w:t xml:space="preserve">apulmonal tuberkulose og hos børn, der ikke kan producere sputum, foretages der objektiv vurdering af klinisk behandlingsrespons (vægt, inflammationsmarkører og gentagen scanning). </w:t>
      </w:r>
    </w:p>
    <w:p w:rsidR="003663F5" w:rsidRPr="009B3B4D" w:rsidP="003663F5">
      <w:pPr>
        <w:pStyle w:val="EC-Title-6"/>
      </w:pPr>
      <w:r w:rsidRPr="009B3B4D">
        <w:t>EU-specifikke krav</w:t>
      </w:r>
    </w:p>
    <w:p w:rsidR="00DA3A70" w:rsidRPr="009B3B4D" w:rsidP="0028467E">
      <w:pPr>
        <w:spacing w:after="120"/>
        <w:rPr>
          <w:rFonts w:ascii="Tahoma" w:hAnsi="Tahoma" w:cs="Tahoma"/>
          <w:spacing w:val="-2"/>
          <w:sz w:val="18"/>
          <w:szCs w:val="18"/>
        </w:rPr>
      </w:pPr>
      <w:r w:rsidRPr="009B3B4D">
        <w:rPr>
          <w:rFonts w:ascii="Tahoma" w:hAnsi="Tahoma"/>
          <w:spacing w:val="-2"/>
          <w:sz w:val="18"/>
        </w:rPr>
        <w:t>Behandlingen bør overvåges i henhold til internationale</w:t>
      </w:r>
      <w:r w:rsidRPr="009B3B4D">
        <w:rPr>
          <w:rFonts w:ascii="Tahoma" w:hAnsi="Tahoma"/>
          <w:spacing w:val="-2"/>
          <w:sz w:val="18"/>
        </w:rPr>
        <w:t xml:space="preserve"> retningslinjer [2, 3, 6-8, 18-20]. I EU har landene ressourcer til at overvåge behandlingen månedligt. Ved multiresistent tuberkulose (MDR TB) bør den månedlige overvågning ske ved hjælp af </w:t>
      </w:r>
      <w:r w:rsidRPr="009B3B4D">
        <w:rPr>
          <w:rFonts w:ascii="Tahoma" w:hAnsi="Tahoma"/>
          <w:spacing w:val="-2"/>
          <w:sz w:val="18"/>
        </w:rPr>
        <w:t>smeartest</w:t>
      </w:r>
      <w:r w:rsidRPr="009B3B4D">
        <w:rPr>
          <w:rFonts w:ascii="Tahoma" w:hAnsi="Tahoma"/>
          <w:spacing w:val="-2"/>
          <w:sz w:val="18"/>
        </w:rPr>
        <w:t xml:space="preserve"> og </w:t>
      </w:r>
      <w:r w:rsidR="00970C3A">
        <w:rPr>
          <w:rFonts w:ascii="Tahoma" w:hAnsi="Tahoma"/>
          <w:spacing w:val="-2"/>
          <w:sz w:val="18"/>
        </w:rPr>
        <w:t>dyrkning</w:t>
      </w:r>
      <w:r w:rsidRPr="009B3B4D" w:rsidR="00970C3A">
        <w:rPr>
          <w:rFonts w:ascii="Tahoma" w:hAnsi="Tahoma"/>
          <w:spacing w:val="-2"/>
          <w:sz w:val="18"/>
        </w:rPr>
        <w:t xml:space="preserve"> </w:t>
      </w:r>
      <w:r w:rsidRPr="009B3B4D">
        <w:rPr>
          <w:rFonts w:ascii="Tahoma" w:hAnsi="Tahoma"/>
          <w:spacing w:val="-2"/>
          <w:sz w:val="18"/>
        </w:rPr>
        <w:t xml:space="preserve">af </w:t>
      </w:r>
      <w:r w:rsidRPr="009B3B4D">
        <w:rPr>
          <w:rFonts w:ascii="Tahoma" w:hAnsi="Tahoma"/>
          <w:spacing w:val="-2"/>
          <w:sz w:val="18"/>
        </w:rPr>
        <w:t>sputum</w:t>
      </w:r>
      <w:r w:rsidRPr="009B3B4D">
        <w:rPr>
          <w:rFonts w:ascii="Tahoma" w:hAnsi="Tahoma"/>
          <w:spacing w:val="-2"/>
          <w:sz w:val="18"/>
        </w:rPr>
        <w:t xml:space="preserve"> [21, 22].</w:t>
      </w:r>
    </w:p>
    <w:p w:rsidR="00DA3A70" w:rsidRPr="009B3B4D" w:rsidP="00BE259C">
      <w:pPr>
        <w:shd w:val="clear" w:color="auto" w:fill="D9D9D9"/>
        <w:autoSpaceDE w:val="0"/>
        <w:autoSpaceDN w:val="0"/>
        <w:adjustRightInd w:val="0"/>
        <w:spacing w:after="0"/>
        <w:jc w:val="both"/>
        <w:rPr>
          <w:rFonts w:ascii="Tahoma" w:hAnsi="Tahoma" w:cs="Tahoma"/>
          <w:b/>
          <w:bCs/>
          <w:sz w:val="24"/>
          <w:szCs w:val="24"/>
        </w:rPr>
      </w:pPr>
      <w:r w:rsidRPr="009B3B4D">
        <w:rPr>
          <w:rFonts w:ascii="Tahoma" w:hAnsi="Tahoma"/>
          <w:b/>
          <w:sz w:val="24"/>
          <w:shd w:val="clear" w:color="auto" w:fill="D9D9D9"/>
        </w:rPr>
        <w:t>Standard 11</w:t>
      </w:r>
    </w:p>
    <w:p w:rsidR="00DA3A70" w:rsidRPr="009B3B4D" w:rsidP="0028467E">
      <w:pPr>
        <w:spacing w:after="120"/>
        <w:rPr>
          <w:rFonts w:ascii="Tahoma" w:hAnsi="Tahoma" w:cs="Tahoma"/>
          <w:sz w:val="18"/>
          <w:szCs w:val="18"/>
        </w:rPr>
      </w:pPr>
      <w:r w:rsidRPr="009B3B4D">
        <w:rPr>
          <w:rFonts w:ascii="Tahoma" w:hAnsi="Tahoma"/>
          <w:sz w:val="18"/>
        </w:rPr>
        <w:t xml:space="preserve">Sandsynligheden for lægemiddelresistens baseret på tidligere behandling, eksponering for mulig lægemiddelresistent tuberkulose-smittekilde samt prævalensen af lægemiddelresistens i </w:t>
      </w:r>
      <w:r w:rsidR="00970C3A">
        <w:rPr>
          <w:rFonts w:ascii="Tahoma" w:hAnsi="Tahoma"/>
          <w:sz w:val="18"/>
        </w:rPr>
        <w:t>nærmiljøet</w:t>
      </w:r>
      <w:r w:rsidRPr="009B3B4D" w:rsidR="00970C3A">
        <w:rPr>
          <w:rFonts w:ascii="Tahoma" w:hAnsi="Tahoma"/>
          <w:sz w:val="18"/>
        </w:rPr>
        <w:t xml:space="preserve"> </w:t>
      </w:r>
      <w:r w:rsidRPr="009B3B4D">
        <w:rPr>
          <w:rFonts w:ascii="Tahoma" w:hAnsi="Tahoma"/>
          <w:sz w:val="18"/>
        </w:rPr>
        <w:t>bør vurderes, navnlig hos patienter, hos hvem der</w:t>
      </w:r>
      <w:r w:rsidRPr="009B3B4D">
        <w:rPr>
          <w:rFonts w:ascii="Tahoma" w:hAnsi="Tahoma"/>
          <w:sz w:val="18"/>
        </w:rPr>
        <w:t xml:space="preserve"> ikke foreligger bakteriologisk bekræftelse eller ikke kan foretages lægemiddelfølsomhedstest. Hurtig test (test for genotypisk rifampicin- og isoniazid-resistens og test for genotypisk/fænotypisk resistens over for andenlinjebehandling hos patienter med r</w:t>
      </w:r>
      <w:r w:rsidRPr="009B3B4D">
        <w:rPr>
          <w:rFonts w:ascii="Tahoma" w:hAnsi="Tahoma"/>
          <w:sz w:val="18"/>
        </w:rPr>
        <w:t>ifampicin-resistens eller MDR TB) bør udføres hos alle patienter, jf. standard 2-4 og 8. Derudover skal der straks ske rådgivning og oplysning af alle tuberkulosepatienter for at minimere smitte</w:t>
      </w:r>
      <w:r w:rsidR="00DC1162">
        <w:rPr>
          <w:rFonts w:ascii="Tahoma" w:hAnsi="Tahoma"/>
          <w:sz w:val="18"/>
        </w:rPr>
        <w:t>risikoen</w:t>
      </w:r>
      <w:r w:rsidRPr="009B3B4D">
        <w:rPr>
          <w:rFonts w:ascii="Tahoma" w:hAnsi="Tahoma"/>
          <w:sz w:val="18"/>
        </w:rPr>
        <w:t xml:space="preserve">. Der bør iværksættes foranstaltninger til </w:t>
      </w:r>
      <w:r w:rsidRPr="009B3B4D">
        <w:rPr>
          <w:rFonts w:ascii="Tahoma" w:hAnsi="Tahoma"/>
          <w:sz w:val="18"/>
        </w:rPr>
        <w:t>infektionskontrol, der er tilpasset de konkrete behandlingsmiljøer, jf. anbefalingerne i ESTC-standard 20, der har særligt fokus på folkesundheden.</w:t>
      </w:r>
    </w:p>
    <w:p w:rsidR="00DA3A70" w:rsidRPr="009B3B4D" w:rsidP="00DB519A">
      <w:pPr>
        <w:shd w:val="clear" w:color="auto" w:fill="D9D9D9"/>
        <w:autoSpaceDE w:val="0"/>
        <w:autoSpaceDN w:val="0"/>
        <w:adjustRightInd w:val="0"/>
        <w:spacing w:after="0"/>
        <w:jc w:val="both"/>
        <w:rPr>
          <w:rFonts w:ascii="Tahoma" w:hAnsi="Tahoma" w:cs="Tahoma"/>
          <w:b/>
          <w:bCs/>
          <w:sz w:val="24"/>
          <w:szCs w:val="24"/>
        </w:rPr>
      </w:pPr>
      <w:r w:rsidRPr="009B3B4D">
        <w:rPr>
          <w:rFonts w:ascii="Tahoma" w:hAnsi="Tahoma"/>
          <w:b/>
          <w:sz w:val="24"/>
          <w:shd w:val="clear" w:color="auto" w:fill="D9D9D9"/>
        </w:rPr>
        <w:t xml:space="preserve">Standard 12 </w:t>
      </w:r>
    </w:p>
    <w:p w:rsidR="00DA3A70" w:rsidRPr="009B3B4D" w:rsidP="0028467E">
      <w:pPr>
        <w:spacing w:after="120"/>
        <w:rPr>
          <w:rFonts w:ascii="Tahoma" w:hAnsi="Tahoma" w:cs="Tahoma"/>
          <w:sz w:val="18"/>
          <w:szCs w:val="18"/>
        </w:rPr>
      </w:pPr>
      <w:r w:rsidRPr="009B3B4D">
        <w:rPr>
          <w:rFonts w:ascii="Tahoma" w:hAnsi="Tahoma"/>
          <w:sz w:val="18"/>
        </w:rPr>
        <w:t>Patienter, som har eller formodes at have tuberkulose, der skyldes lægemiddelresistente (navnli</w:t>
      </w:r>
      <w:r w:rsidRPr="009B3B4D">
        <w:rPr>
          <w:rFonts w:ascii="Tahoma" w:hAnsi="Tahoma"/>
          <w:sz w:val="18"/>
        </w:rPr>
        <w:t xml:space="preserve">g rifampicin-resistente/MDR/ultraresistente (XDR)) organismer, bør behandles med individuelle regimer med </w:t>
      </w:r>
      <w:r w:rsidRPr="009B3B4D">
        <w:rPr>
          <w:rFonts w:ascii="Tahoma" w:hAnsi="Tahoma"/>
          <w:sz w:val="18"/>
        </w:rPr>
        <w:t>anden</w:t>
      </w:r>
      <w:r w:rsidR="00DC1162">
        <w:rPr>
          <w:rFonts w:ascii="Tahoma" w:hAnsi="Tahoma"/>
          <w:sz w:val="18"/>
        </w:rPr>
        <w:t>valgs</w:t>
      </w:r>
      <w:r w:rsidRPr="009B3B4D">
        <w:rPr>
          <w:rFonts w:ascii="Tahoma" w:hAnsi="Tahoma"/>
          <w:sz w:val="18"/>
        </w:rPr>
        <w:t>medicin</w:t>
      </w:r>
      <w:r w:rsidRPr="009B3B4D">
        <w:rPr>
          <w:rFonts w:ascii="Tahoma" w:hAnsi="Tahoma"/>
          <w:sz w:val="18"/>
        </w:rPr>
        <w:t xml:space="preserve"> og tillægs</w:t>
      </w:r>
      <w:r w:rsidR="00DC1162">
        <w:rPr>
          <w:rFonts w:ascii="Tahoma" w:hAnsi="Tahoma"/>
          <w:sz w:val="18"/>
        </w:rPr>
        <w:t>behandling</w:t>
      </w:r>
      <w:r w:rsidRPr="009B3B4D">
        <w:rPr>
          <w:rFonts w:ascii="Tahoma" w:hAnsi="Tahoma"/>
          <w:sz w:val="18"/>
        </w:rPr>
        <w:t xml:space="preserve"> mod tuberkulose. Det valgte regime bør baseres på bekræftede lægemiddelfølsomhedsmønstre. Empiriske regimer kan forårsage yderligere resistens og anbefales ikke, medmindre der er tale om </w:t>
      </w:r>
      <w:r w:rsidR="00DC1162">
        <w:rPr>
          <w:rFonts w:ascii="Tahoma" w:hAnsi="Tahoma"/>
          <w:sz w:val="18"/>
        </w:rPr>
        <w:t>dyrknings</w:t>
      </w:r>
      <w:r w:rsidRPr="009B3B4D">
        <w:rPr>
          <w:rFonts w:ascii="Tahoma" w:hAnsi="Tahoma"/>
          <w:sz w:val="18"/>
        </w:rPr>
        <w:t>-negativ tuberkulose.</w:t>
      </w:r>
    </w:p>
    <w:p w:rsidR="00083CEE" w:rsidRPr="009B3B4D" w:rsidP="00F64940">
      <w:pPr>
        <w:spacing w:after="120"/>
      </w:pPr>
      <w:r w:rsidRPr="009B3B4D">
        <w:rPr>
          <w:rFonts w:ascii="Tahoma" w:hAnsi="Tahoma"/>
          <w:sz w:val="18"/>
        </w:rPr>
        <w:t>Med udgangspunkt i lægemiddelfø</w:t>
      </w:r>
      <w:r w:rsidRPr="009B3B4D">
        <w:rPr>
          <w:rFonts w:ascii="Tahoma" w:hAnsi="Tahoma"/>
          <w:sz w:val="18"/>
        </w:rPr>
        <w:t>lsomhedsmønsteret bør der behandles med minimum fem effektive tuberkuloselægemidler i mindst 20 måneder [5]. Hvis patienten opfylder egnethedskriterierne for det kortere MDR TB- standardregime (9-11 måneder), kan dette anvendes.</w:t>
      </w:r>
      <w:r w:rsidRPr="009B3B4D">
        <w:br w:type="page"/>
      </w:r>
    </w:p>
    <w:p w:rsidR="00835340" w:rsidRPr="009B3B4D" w:rsidP="00835340">
      <w:pPr>
        <w:pStyle w:val="EC-Title-6"/>
      </w:pPr>
      <w:r w:rsidRPr="009B3B4D">
        <w:t>EU-specifikke krav</w:t>
      </w:r>
    </w:p>
    <w:p w:rsidR="00DA3A70" w:rsidRPr="009B3B4D" w:rsidP="0028467E">
      <w:pPr>
        <w:spacing w:after="120"/>
        <w:rPr>
          <w:rFonts w:ascii="Tahoma" w:hAnsi="Tahoma" w:cs="Tahoma"/>
          <w:sz w:val="18"/>
          <w:szCs w:val="18"/>
        </w:rPr>
      </w:pPr>
      <w:r w:rsidRPr="009B3B4D">
        <w:rPr>
          <w:rFonts w:ascii="Tahoma" w:hAnsi="Tahoma"/>
          <w:sz w:val="18"/>
        </w:rPr>
        <w:t>Da beha</w:t>
      </w:r>
      <w:r w:rsidRPr="009B3B4D">
        <w:rPr>
          <w:rFonts w:ascii="Tahoma" w:hAnsi="Tahoma"/>
          <w:sz w:val="18"/>
        </w:rPr>
        <w:t>ndling af MDR/XDR TB ofte udgør den sidste chance for at sikre patientens helbredelse og overlevelse, er det, for at sikre komplians, nødvendigt med en lang række patientfokuserede foranstaltninger, herunder rådgivning, observering af og støtte til behandl</w:t>
      </w:r>
      <w:r w:rsidRPr="009B3B4D">
        <w:rPr>
          <w:rFonts w:ascii="Tahoma" w:hAnsi="Tahoma"/>
          <w:sz w:val="18"/>
        </w:rPr>
        <w:t>ingen samt psykosocial støtte [5, 23-25]. Dette er særligt vigtigt, fordi disse patienter ofte tilhører en socialt og økonomisk underprivilegeret gruppe.</w:t>
      </w:r>
    </w:p>
    <w:p w:rsidR="00DA3A70" w:rsidRPr="009B3B4D" w:rsidP="0028467E">
      <w:pPr>
        <w:spacing w:after="120"/>
        <w:rPr>
          <w:rFonts w:ascii="Tahoma" w:hAnsi="Tahoma" w:cs="Tahoma"/>
          <w:sz w:val="18"/>
          <w:szCs w:val="18"/>
        </w:rPr>
      </w:pPr>
      <w:r w:rsidRPr="009B3B4D">
        <w:rPr>
          <w:rFonts w:ascii="Tahoma" w:hAnsi="Tahoma"/>
          <w:sz w:val="18"/>
        </w:rPr>
        <w:t>Ved behandling af MDR TB bør der ikke gives noget lægemiddel til en patient med dokumenteret resistens</w:t>
      </w:r>
      <w:r w:rsidRPr="009B3B4D">
        <w:rPr>
          <w:rFonts w:ascii="Tahoma" w:hAnsi="Tahoma"/>
          <w:sz w:val="18"/>
        </w:rPr>
        <w:t xml:space="preserve"> (iht. enten molekylær eller fænotypisk lægemiddelfølsomhedstest). Der bør udføres lægemiddelfølsomhedstest, hvad angår </w:t>
      </w:r>
      <w:r w:rsidRPr="009B3B4D">
        <w:rPr>
          <w:rFonts w:ascii="Tahoma" w:hAnsi="Tahoma"/>
          <w:sz w:val="18"/>
        </w:rPr>
        <w:t>anden</w:t>
      </w:r>
      <w:r w:rsidR="009851D7">
        <w:rPr>
          <w:rFonts w:ascii="Tahoma" w:hAnsi="Tahoma"/>
          <w:sz w:val="18"/>
        </w:rPr>
        <w:t>valgs</w:t>
      </w:r>
      <w:r w:rsidRPr="009B3B4D">
        <w:rPr>
          <w:rFonts w:ascii="Tahoma" w:hAnsi="Tahoma"/>
          <w:sz w:val="18"/>
        </w:rPr>
        <w:t>medicin</w:t>
      </w:r>
      <w:r w:rsidRPr="009B3B4D">
        <w:rPr>
          <w:rFonts w:ascii="Tahoma" w:hAnsi="Tahoma"/>
          <w:sz w:val="18"/>
        </w:rPr>
        <w:t>, for at bekræfte resistensmønsteret og sikre det rette medicinvalg.</w:t>
      </w:r>
    </w:p>
    <w:p w:rsidR="00DA3A70" w:rsidRPr="009B3B4D" w:rsidP="0028467E">
      <w:pPr>
        <w:spacing w:after="120"/>
        <w:rPr>
          <w:rFonts w:ascii="Tahoma" w:hAnsi="Tahoma" w:cs="Tahoma"/>
          <w:sz w:val="18"/>
          <w:szCs w:val="18"/>
        </w:rPr>
      </w:pPr>
      <w:r w:rsidRPr="009B3B4D">
        <w:rPr>
          <w:rFonts w:ascii="Tahoma" w:hAnsi="Tahoma"/>
          <w:sz w:val="18"/>
        </w:rPr>
        <w:t>I EU/EØS betragtes lægemiddelfølsomhedstest f</w:t>
      </w:r>
      <w:r w:rsidRPr="009B3B4D">
        <w:rPr>
          <w:rFonts w:ascii="Tahoma" w:hAnsi="Tahoma"/>
          <w:sz w:val="18"/>
        </w:rPr>
        <w:t xml:space="preserve">or ethambutol som pålidelige, når de udføres på kvalitetssikrede laboratorier [26]. Pyrazinamid-test kan ske i form af genotypisk test (detektion af </w:t>
      </w:r>
      <w:r w:rsidRPr="009B3B4D">
        <w:rPr>
          <w:rFonts w:ascii="Tahoma" w:hAnsi="Tahoma"/>
          <w:i/>
          <w:sz w:val="18"/>
        </w:rPr>
        <w:t>pncA</w:t>
      </w:r>
      <w:r w:rsidRPr="009B3B4D">
        <w:rPr>
          <w:rFonts w:ascii="Tahoma" w:hAnsi="Tahoma"/>
          <w:sz w:val="18"/>
        </w:rPr>
        <w:t xml:space="preserve">-mutationer) eller fænotypisk test (dvs. vækstbaserede </w:t>
      </w:r>
      <w:r w:rsidRPr="009B3B4D">
        <w:rPr>
          <w:rFonts w:ascii="Tahoma" w:hAnsi="Tahoma"/>
          <w:sz w:val="18"/>
        </w:rPr>
        <w:t>automatiserede metoder).</w:t>
      </w:r>
    </w:p>
    <w:p w:rsidR="00DA3A70" w:rsidRPr="009B3B4D" w:rsidP="0028467E">
      <w:pPr>
        <w:spacing w:after="120"/>
        <w:rPr>
          <w:rFonts w:ascii="Tahoma" w:hAnsi="Tahoma" w:cs="Tahoma"/>
          <w:sz w:val="18"/>
          <w:szCs w:val="18"/>
        </w:rPr>
      </w:pPr>
      <w:r w:rsidRPr="009B3B4D">
        <w:rPr>
          <w:rFonts w:ascii="Tahoma" w:hAnsi="Tahoma"/>
          <w:sz w:val="18"/>
        </w:rPr>
        <w:t>Det individuali</w:t>
      </w:r>
      <w:r w:rsidRPr="009B3B4D">
        <w:rPr>
          <w:rFonts w:ascii="Tahoma" w:hAnsi="Tahoma"/>
          <w:sz w:val="18"/>
        </w:rPr>
        <w:t xml:space="preserve">serede regime bør som minimum omfatte fem effektive tuberkuloselægemidler i den intensive fase, herunder pyrazinamid og fire centrale </w:t>
      </w:r>
      <w:r w:rsidRPr="009B3B4D">
        <w:rPr>
          <w:rFonts w:ascii="Tahoma" w:hAnsi="Tahoma"/>
          <w:sz w:val="18"/>
        </w:rPr>
        <w:t>anden</w:t>
      </w:r>
      <w:r w:rsidR="009851D7">
        <w:rPr>
          <w:rFonts w:ascii="Tahoma" w:hAnsi="Tahoma"/>
          <w:sz w:val="18"/>
        </w:rPr>
        <w:t>valgs</w:t>
      </w:r>
      <w:r w:rsidRPr="009B3B4D">
        <w:rPr>
          <w:rFonts w:ascii="Tahoma" w:hAnsi="Tahoma"/>
          <w:sz w:val="18"/>
        </w:rPr>
        <w:t>lægemidler</w:t>
      </w:r>
      <w:r w:rsidRPr="009B3B4D">
        <w:rPr>
          <w:rFonts w:ascii="Tahoma" w:hAnsi="Tahoma"/>
          <w:sz w:val="18"/>
        </w:rPr>
        <w:t xml:space="preserve"> mod tuberkulose. Lægemidlerne bør vælges som følger: ét fra gruppe A, ét fra gruppe B og mindst </w:t>
      </w:r>
      <w:r w:rsidRPr="009B3B4D">
        <w:rPr>
          <w:rFonts w:ascii="Tahoma" w:hAnsi="Tahoma"/>
          <w:sz w:val="18"/>
        </w:rPr>
        <w:t>to fra gruppe C (se tabel). Hvis minimumsantallet på fem effektive tuberkuloselægemidler ikke kan sammensættes af de lægemidler, der indgår i gruppe A-C, kan der tages et middel fra gruppe D2 og andre midler fra gruppe D3, så det samlede antal når op på fe</w:t>
      </w:r>
      <w:r w:rsidRPr="009B3B4D">
        <w:rPr>
          <w:rFonts w:ascii="Tahoma" w:hAnsi="Tahoma"/>
          <w:sz w:val="18"/>
        </w:rPr>
        <w:t xml:space="preserve">m. Hvis pyrazinamid ikke kan anvendes (f.eks. på grund af resistens eller toksicitet), kan der tages et ekstra middel fra gruppe C eller D for at styrke regimet. Den samlede behandlingsvarighed er 20-24 måneder, idet den anbefalede intensive fase omfatter </w:t>
      </w:r>
      <w:r w:rsidRPr="009B3B4D">
        <w:rPr>
          <w:rFonts w:ascii="Tahoma" w:hAnsi="Tahoma"/>
          <w:sz w:val="18"/>
        </w:rPr>
        <w:t xml:space="preserve">8 måneder [5]. </w:t>
      </w:r>
    </w:p>
    <w:p w:rsidR="00DA3A70" w:rsidRPr="009B3B4D" w:rsidP="0028467E">
      <w:pPr>
        <w:spacing w:after="120"/>
        <w:rPr>
          <w:rFonts w:ascii="Tahoma" w:hAnsi="Tahoma" w:cs="Tahoma"/>
          <w:sz w:val="18"/>
          <w:szCs w:val="18"/>
          <w:highlight w:val="yellow"/>
        </w:rPr>
      </w:pPr>
      <w:r w:rsidRPr="009B3B4D">
        <w:rPr>
          <w:rFonts w:ascii="Tahoma" w:hAnsi="Tahoma"/>
          <w:sz w:val="18"/>
        </w:rPr>
        <w:t xml:space="preserve">Hos patienter med rifampicin-resistent tuberkulose eller MDR TB, der ikke tidligere er blevet behandlet med </w:t>
      </w:r>
      <w:r w:rsidRPr="009B3B4D">
        <w:rPr>
          <w:rFonts w:ascii="Tahoma" w:hAnsi="Tahoma"/>
          <w:sz w:val="18"/>
        </w:rPr>
        <w:t>anden</w:t>
      </w:r>
      <w:r w:rsidR="009851D7">
        <w:rPr>
          <w:rFonts w:ascii="Tahoma" w:hAnsi="Tahoma"/>
          <w:sz w:val="18"/>
        </w:rPr>
        <w:t>valgs</w:t>
      </w:r>
      <w:r w:rsidRPr="009B3B4D">
        <w:rPr>
          <w:rFonts w:ascii="Tahoma" w:hAnsi="Tahoma"/>
          <w:sz w:val="18"/>
        </w:rPr>
        <w:t>medicin</w:t>
      </w:r>
      <w:r w:rsidRPr="009B3B4D">
        <w:rPr>
          <w:rFonts w:ascii="Tahoma" w:hAnsi="Tahoma"/>
          <w:sz w:val="18"/>
        </w:rPr>
        <w:t xml:space="preserve">, og hos hvem resistens over for </w:t>
      </w:r>
      <w:r w:rsidRPr="009B3B4D">
        <w:rPr>
          <w:rFonts w:ascii="Tahoma" w:hAnsi="Tahoma"/>
          <w:sz w:val="18"/>
        </w:rPr>
        <w:t>fluoroquinoloner</w:t>
      </w:r>
      <w:r w:rsidRPr="009B3B4D">
        <w:rPr>
          <w:rFonts w:ascii="Tahoma" w:hAnsi="Tahoma"/>
          <w:sz w:val="18"/>
        </w:rPr>
        <w:t xml:space="preserve"> og </w:t>
      </w:r>
      <w:r w:rsidRPr="009B3B4D">
        <w:rPr>
          <w:rFonts w:ascii="Tahoma" w:hAnsi="Tahoma"/>
          <w:sz w:val="18"/>
        </w:rPr>
        <w:t>anden</w:t>
      </w:r>
      <w:r w:rsidR="009851D7">
        <w:rPr>
          <w:rFonts w:ascii="Tahoma" w:hAnsi="Tahoma"/>
          <w:sz w:val="18"/>
        </w:rPr>
        <w:t>valgs</w:t>
      </w:r>
      <w:r w:rsidRPr="009B3B4D">
        <w:rPr>
          <w:rFonts w:ascii="Tahoma" w:hAnsi="Tahoma"/>
          <w:sz w:val="18"/>
        </w:rPr>
        <w:t>midler</w:t>
      </w:r>
      <w:r w:rsidRPr="009B3B4D">
        <w:rPr>
          <w:rFonts w:ascii="Tahoma" w:hAnsi="Tahoma"/>
          <w:sz w:val="18"/>
        </w:rPr>
        <w:t xml:space="preserve"> til injektion er udelukket eller betragtes som meget usandsynlig, kan et kortere MDR TB-regime på 9-11 måneder som anbefalet af WHO anvendes i stedet for det konventionelle individualiserede regime [5, 25, 27]. </w:t>
      </w:r>
    </w:p>
    <w:p w:rsidR="00DA3A70" w:rsidRPr="009B3B4D" w:rsidP="0028467E">
      <w:pPr>
        <w:spacing w:after="120"/>
        <w:rPr>
          <w:rFonts w:ascii="Tahoma" w:hAnsi="Tahoma" w:cs="Tahoma"/>
          <w:sz w:val="18"/>
          <w:szCs w:val="18"/>
        </w:rPr>
      </w:pPr>
      <w:r w:rsidRPr="009B3B4D">
        <w:rPr>
          <w:rFonts w:ascii="Tahoma" w:hAnsi="Tahoma"/>
          <w:sz w:val="18"/>
        </w:rPr>
        <w:t>Behandling med nye lægemidler, herunder bed</w:t>
      </w:r>
      <w:r w:rsidRPr="009B3B4D">
        <w:rPr>
          <w:rFonts w:ascii="Tahoma" w:hAnsi="Tahoma"/>
          <w:sz w:val="18"/>
        </w:rPr>
        <w:t xml:space="preserve">aquilin og delamanid, sammen med midler, der har fået ny anvendelse, f.eks. linezolid og </w:t>
      </w:r>
      <w:r w:rsidRPr="009B3B4D">
        <w:rPr>
          <w:rFonts w:ascii="Tahoma" w:hAnsi="Tahoma"/>
          <w:sz w:val="18"/>
        </w:rPr>
        <w:t>clofazamin</w:t>
      </w:r>
      <w:r w:rsidRPr="009B3B4D">
        <w:rPr>
          <w:rFonts w:ascii="Tahoma" w:hAnsi="Tahoma"/>
          <w:sz w:val="18"/>
        </w:rPr>
        <w:t xml:space="preserve">, og </w:t>
      </w:r>
      <w:r w:rsidRPr="009B3B4D">
        <w:rPr>
          <w:rFonts w:ascii="Tahoma" w:hAnsi="Tahoma"/>
          <w:sz w:val="18"/>
        </w:rPr>
        <w:t>anden</w:t>
      </w:r>
      <w:r w:rsidR="009851D7">
        <w:rPr>
          <w:rFonts w:ascii="Tahoma" w:hAnsi="Tahoma"/>
          <w:sz w:val="18"/>
        </w:rPr>
        <w:t>valgs</w:t>
      </w:r>
      <w:r w:rsidRPr="009B3B4D">
        <w:rPr>
          <w:rFonts w:ascii="Tahoma" w:hAnsi="Tahoma"/>
          <w:sz w:val="18"/>
        </w:rPr>
        <w:t>medicin</w:t>
      </w:r>
      <w:r w:rsidRPr="009B3B4D">
        <w:rPr>
          <w:rFonts w:ascii="Tahoma" w:hAnsi="Tahoma"/>
          <w:sz w:val="18"/>
        </w:rPr>
        <w:t xml:space="preserve">, som </w:t>
      </w:r>
      <w:r w:rsidRPr="009B3B4D">
        <w:rPr>
          <w:rFonts w:ascii="Tahoma" w:hAnsi="Tahoma"/>
          <w:i/>
          <w:sz w:val="18"/>
        </w:rPr>
        <w:t>M. tuberculosis</w:t>
      </w:r>
      <w:r w:rsidRPr="009B3B4D">
        <w:rPr>
          <w:rFonts w:ascii="Tahoma" w:hAnsi="Tahoma"/>
          <w:sz w:val="18"/>
        </w:rPr>
        <w:t>-stammen skønnes at være følsom over for, er påkrævet hos patienter med XDR TB eller patienter med stammer, d</w:t>
      </w:r>
      <w:r w:rsidRPr="009B3B4D">
        <w:rPr>
          <w:rFonts w:ascii="Tahoma" w:hAnsi="Tahoma"/>
          <w:sz w:val="18"/>
        </w:rPr>
        <w:t xml:space="preserve">er er resistente over for </w:t>
      </w:r>
      <w:r w:rsidRPr="009B3B4D">
        <w:rPr>
          <w:rFonts w:ascii="Tahoma" w:hAnsi="Tahoma"/>
          <w:sz w:val="18"/>
        </w:rPr>
        <w:t>fluoroquinoloner</w:t>
      </w:r>
      <w:r w:rsidRPr="009B3B4D">
        <w:rPr>
          <w:rFonts w:ascii="Tahoma" w:hAnsi="Tahoma"/>
          <w:sz w:val="18"/>
        </w:rPr>
        <w:t xml:space="preserve"> eller </w:t>
      </w:r>
      <w:r w:rsidRPr="009B3B4D">
        <w:rPr>
          <w:rFonts w:ascii="Tahoma" w:hAnsi="Tahoma"/>
          <w:sz w:val="18"/>
        </w:rPr>
        <w:t>anden</w:t>
      </w:r>
      <w:r w:rsidR="009851D7">
        <w:rPr>
          <w:rFonts w:ascii="Tahoma" w:hAnsi="Tahoma"/>
          <w:sz w:val="18"/>
        </w:rPr>
        <w:t>valgs</w:t>
      </w:r>
      <w:r w:rsidRPr="009B3B4D">
        <w:rPr>
          <w:rFonts w:ascii="Tahoma" w:hAnsi="Tahoma"/>
          <w:sz w:val="18"/>
        </w:rPr>
        <w:t>midler</w:t>
      </w:r>
      <w:r w:rsidRPr="009B3B4D">
        <w:rPr>
          <w:rFonts w:ascii="Tahoma" w:hAnsi="Tahoma"/>
          <w:sz w:val="18"/>
        </w:rPr>
        <w:t xml:space="preserve"> til injektion [28, 29]. Hos patienter, der oplever alvorlige bivirkninger ved </w:t>
      </w:r>
      <w:r w:rsidRPr="009B3B4D">
        <w:rPr>
          <w:rFonts w:ascii="Tahoma" w:hAnsi="Tahoma"/>
          <w:sz w:val="18"/>
        </w:rPr>
        <w:t>fluoroquinoloner</w:t>
      </w:r>
      <w:r w:rsidRPr="009B3B4D">
        <w:rPr>
          <w:rFonts w:ascii="Tahoma" w:hAnsi="Tahoma"/>
          <w:sz w:val="18"/>
        </w:rPr>
        <w:t xml:space="preserve"> eller </w:t>
      </w:r>
      <w:r w:rsidRPr="009B3B4D">
        <w:rPr>
          <w:rFonts w:ascii="Tahoma" w:hAnsi="Tahoma"/>
          <w:sz w:val="18"/>
        </w:rPr>
        <w:t>anden</w:t>
      </w:r>
      <w:r w:rsidR="00EB7D91">
        <w:rPr>
          <w:rFonts w:ascii="Tahoma" w:hAnsi="Tahoma"/>
          <w:sz w:val="18"/>
        </w:rPr>
        <w:t>valgs</w:t>
      </w:r>
      <w:r w:rsidRPr="009B3B4D">
        <w:rPr>
          <w:rFonts w:ascii="Tahoma" w:hAnsi="Tahoma"/>
          <w:sz w:val="18"/>
        </w:rPr>
        <w:t>midler</w:t>
      </w:r>
      <w:r w:rsidRPr="009B3B4D">
        <w:rPr>
          <w:rFonts w:ascii="Tahoma" w:hAnsi="Tahoma"/>
          <w:sz w:val="18"/>
        </w:rPr>
        <w:t xml:space="preserve"> til injektion, kan brug af nye midler og midler, der har fået </w:t>
      </w:r>
      <w:r w:rsidRPr="009B3B4D">
        <w:rPr>
          <w:rFonts w:ascii="Tahoma" w:hAnsi="Tahoma"/>
          <w:sz w:val="18"/>
        </w:rPr>
        <w:t>ny anvendelse, også overvejes.</w:t>
      </w:r>
    </w:p>
    <w:p w:rsidR="00DA3A70" w:rsidRPr="009B3B4D" w:rsidP="000D0DB0">
      <w:pPr>
        <w:rPr>
          <w:rFonts w:ascii="Tahoma" w:hAnsi="Tahoma" w:cs="Tahoma"/>
          <w:spacing w:val="-2"/>
          <w:sz w:val="18"/>
          <w:szCs w:val="18"/>
        </w:rPr>
      </w:pPr>
      <w:r w:rsidRPr="009B3B4D">
        <w:rPr>
          <w:rFonts w:ascii="Tahoma" w:hAnsi="Tahoma"/>
          <w:spacing w:val="-2"/>
          <w:sz w:val="18"/>
        </w:rPr>
        <w:t xml:space="preserve">Bivirkninger efter ordinering af </w:t>
      </w:r>
      <w:r w:rsidR="00EB7D91">
        <w:rPr>
          <w:rFonts w:ascii="Tahoma" w:hAnsi="Tahoma"/>
          <w:spacing w:val="-2"/>
          <w:sz w:val="18"/>
        </w:rPr>
        <w:t>andenvalgsmidler</w:t>
      </w:r>
      <w:r w:rsidRPr="009B3B4D">
        <w:rPr>
          <w:rFonts w:ascii="Tahoma" w:hAnsi="Tahoma"/>
          <w:spacing w:val="-2"/>
          <w:sz w:val="18"/>
        </w:rPr>
        <w:t xml:space="preserve"> bør behandles i henhold til internationale anbefalinger for at begrænse risikoen for at skulle give afkald på et effektivt lægemiddel på grund af sådanne bivirkninger [2].</w:t>
      </w:r>
    </w:p>
    <w:p w:rsidR="00DA3A70" w:rsidRPr="009B3B4D" w:rsidP="0028467E">
      <w:pPr>
        <w:spacing w:after="120"/>
        <w:rPr>
          <w:rFonts w:ascii="Tahoma" w:hAnsi="Tahoma" w:cs="Tahoma"/>
          <w:sz w:val="18"/>
          <w:szCs w:val="18"/>
        </w:rPr>
      </w:pPr>
      <w:r w:rsidRPr="009B3B4D">
        <w:rPr>
          <w:rFonts w:ascii="Tahoma" w:hAnsi="Tahoma"/>
          <w:sz w:val="18"/>
        </w:rPr>
        <w:t>Behandlingen af bivirkninger samt beslutningen om at påbegynde, ændre eller afbryde</w:t>
      </w:r>
      <w:r w:rsidRPr="009B3B4D">
        <w:rPr>
          <w:rFonts w:ascii="Tahoma" w:hAnsi="Tahoma"/>
          <w:sz w:val="18"/>
        </w:rPr>
        <w:t xml:space="preserve"> et </w:t>
      </w:r>
      <w:r w:rsidRPr="009B3B4D">
        <w:rPr>
          <w:rFonts w:ascii="Tahoma" w:hAnsi="Tahoma"/>
          <w:sz w:val="18"/>
        </w:rPr>
        <w:t>anden</w:t>
      </w:r>
      <w:r w:rsidR="00EB7D91">
        <w:rPr>
          <w:rFonts w:ascii="Tahoma" w:hAnsi="Tahoma"/>
          <w:sz w:val="18"/>
        </w:rPr>
        <w:t>valgs</w:t>
      </w:r>
      <w:r w:rsidRPr="009B3B4D">
        <w:rPr>
          <w:rFonts w:ascii="Tahoma" w:hAnsi="Tahoma"/>
          <w:sz w:val="18"/>
        </w:rPr>
        <w:t>regime</w:t>
      </w:r>
      <w:r w:rsidRPr="009B3B4D">
        <w:rPr>
          <w:rFonts w:ascii="Tahoma" w:hAnsi="Tahoma"/>
          <w:sz w:val="18"/>
        </w:rPr>
        <w:t xml:space="preserve"> bør varetages af et ekspertteam (f.eks. et "rådgivende TB-udvalg" eller tilsvarende), og ikke af individuelle læger, for at minimere forekomsten af fejl og dele ansvaret samt sikre erfarings- og videndeling [28, 30, 31]. Det bør t</w:t>
      </w:r>
      <w:r w:rsidRPr="009B3B4D">
        <w:rPr>
          <w:rFonts w:ascii="Tahoma" w:hAnsi="Tahoma"/>
          <w:sz w:val="18"/>
        </w:rPr>
        <w:t>ilstræbes at undgå udvikling af yderligere lægemiddelresistens.</w:t>
      </w:r>
    </w:p>
    <w:p w:rsidR="00DA3A70" w:rsidRPr="009B3B4D" w:rsidP="0028467E">
      <w:pPr>
        <w:spacing w:after="120"/>
        <w:rPr>
          <w:rFonts w:ascii="Tahoma" w:hAnsi="Tahoma" w:cs="Tahoma"/>
          <w:sz w:val="18"/>
          <w:szCs w:val="18"/>
        </w:rPr>
      </w:pPr>
      <w:r w:rsidRPr="009B3B4D">
        <w:rPr>
          <w:rFonts w:ascii="Tahoma" w:hAnsi="Tahoma"/>
          <w:sz w:val="18"/>
        </w:rPr>
        <w:t>WHO har foreslået, at man som supplement til kemoterapi kan foretage operativt indgreb i udvalgte tilfælde af pulmonal tuberkulose, f.eks. hvor der er tale om store kaviteter i kun én lungelap</w:t>
      </w:r>
      <w:r w:rsidRPr="009B3B4D">
        <w:rPr>
          <w:rFonts w:ascii="Tahoma" w:hAnsi="Tahoma"/>
          <w:sz w:val="18"/>
        </w:rPr>
        <w:t xml:space="preserve"> [23]. Det er nødvendigt med yderligere forskning på dette område.</w:t>
      </w:r>
    </w:p>
    <w:p w:rsidR="00835340" w:rsidRPr="009B3B4D">
      <w:pPr>
        <w:spacing w:after="160" w:line="259" w:lineRule="auto"/>
        <w:rPr>
          <w:b/>
        </w:rPr>
      </w:pPr>
      <w:r w:rsidRPr="009B3B4D">
        <w:br w:type="page"/>
      </w:r>
    </w:p>
    <w:p w:rsidR="00DA3A70" w:rsidRPr="009B3B4D" w:rsidP="0028467E">
      <w:pPr>
        <w:spacing w:after="120"/>
        <w:rPr>
          <w:rFonts w:ascii="Tahoma" w:hAnsi="Tahoma" w:cs="Tahoma"/>
          <w:b/>
          <w:sz w:val="18"/>
          <w:szCs w:val="18"/>
        </w:rPr>
      </w:pPr>
      <w:r w:rsidRPr="009B3B4D">
        <w:rPr>
          <w:rFonts w:ascii="Tahoma" w:hAnsi="Tahoma"/>
          <w:b/>
          <w:sz w:val="18"/>
        </w:rPr>
        <w:t>Verdenssundhedsorganisationens klassificering af tuberkuloselægemidler [23]</w:t>
      </w:r>
    </w:p>
    <w:tbl>
      <w:tblPr>
        <w:tblW w:w="906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3031"/>
        <w:gridCol w:w="675"/>
        <w:gridCol w:w="2528"/>
        <w:gridCol w:w="2835"/>
      </w:tblGrid>
      <w:tr w:rsidTr="0028467E">
        <w:tblPrEx>
          <w:tblW w:w="906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Ex>
        <w:tc>
          <w:tcPr>
            <w:tcW w:w="3031" w:type="dxa"/>
            <w:shd w:val="clear" w:color="auto" w:fill="69AF23"/>
          </w:tcPr>
          <w:p w:rsidR="00DA3A70" w:rsidRPr="009B3B4D" w:rsidP="0028467E">
            <w:pPr>
              <w:autoSpaceDE w:val="0"/>
              <w:autoSpaceDN w:val="0"/>
              <w:adjustRightInd w:val="0"/>
              <w:spacing w:before="120" w:after="120" w:line="240" w:lineRule="auto"/>
              <w:ind w:left="720"/>
              <w:jc w:val="both"/>
              <w:rPr>
                <w:rFonts w:ascii="Tahoma" w:hAnsi="Tahoma" w:cs="Tahoma"/>
                <w:b/>
                <w:color w:val="FFFFFF" w:themeColor="background1"/>
                <w:sz w:val="18"/>
                <w:szCs w:val="18"/>
              </w:rPr>
            </w:pPr>
            <w:r w:rsidRPr="009B3B4D">
              <w:rPr>
                <w:rFonts w:ascii="Tahoma" w:hAnsi="Tahoma"/>
                <w:b/>
                <w:color w:val="FFFFFF" w:themeColor="background1"/>
                <w:sz w:val="18"/>
              </w:rPr>
              <w:t>Grupper</w:t>
            </w:r>
          </w:p>
        </w:tc>
        <w:tc>
          <w:tcPr>
            <w:tcW w:w="3203" w:type="dxa"/>
            <w:gridSpan w:val="2"/>
            <w:shd w:val="clear" w:color="auto" w:fill="69AF23"/>
          </w:tcPr>
          <w:p w:rsidR="00DA3A70" w:rsidRPr="009B3B4D" w:rsidP="0028467E">
            <w:pPr>
              <w:autoSpaceDE w:val="0"/>
              <w:autoSpaceDN w:val="0"/>
              <w:adjustRightInd w:val="0"/>
              <w:spacing w:before="120" w:after="120" w:line="240" w:lineRule="auto"/>
              <w:jc w:val="both"/>
              <w:rPr>
                <w:rFonts w:ascii="Tahoma" w:hAnsi="Tahoma" w:cs="Tahoma"/>
                <w:b/>
                <w:color w:val="FFFFFF" w:themeColor="background1"/>
                <w:sz w:val="18"/>
                <w:szCs w:val="18"/>
              </w:rPr>
            </w:pPr>
            <w:r w:rsidRPr="009B3B4D">
              <w:rPr>
                <w:rFonts w:ascii="Tahoma" w:hAnsi="Tahoma"/>
                <w:b/>
                <w:color w:val="FFFFFF" w:themeColor="background1"/>
                <w:sz w:val="18"/>
              </w:rPr>
              <w:t>Lægemidler</w:t>
            </w:r>
          </w:p>
        </w:tc>
        <w:tc>
          <w:tcPr>
            <w:tcW w:w="2835" w:type="dxa"/>
            <w:shd w:val="clear" w:color="auto" w:fill="69AF23"/>
          </w:tcPr>
          <w:p w:rsidR="00DA3A70" w:rsidRPr="009B3B4D" w:rsidP="0028467E">
            <w:pPr>
              <w:autoSpaceDE w:val="0"/>
              <w:autoSpaceDN w:val="0"/>
              <w:adjustRightInd w:val="0"/>
              <w:spacing w:before="120" w:after="120" w:line="240" w:lineRule="auto"/>
              <w:jc w:val="both"/>
              <w:rPr>
                <w:rFonts w:ascii="Tahoma" w:hAnsi="Tahoma" w:cs="Tahoma"/>
                <w:b/>
                <w:color w:val="FFFFFF" w:themeColor="background1"/>
                <w:sz w:val="18"/>
                <w:szCs w:val="18"/>
              </w:rPr>
            </w:pPr>
            <w:r w:rsidRPr="009B3B4D">
              <w:rPr>
                <w:rFonts w:ascii="Tahoma" w:hAnsi="Tahoma"/>
                <w:b/>
                <w:color w:val="FFFFFF" w:themeColor="background1"/>
                <w:sz w:val="18"/>
              </w:rPr>
              <w:t>Forkortelser</w:t>
            </w:r>
          </w:p>
        </w:tc>
      </w:tr>
      <w:tr w:rsidTr="0028467E">
        <w:tblPrEx>
          <w:tblW w:w="9069" w:type="dxa"/>
          <w:tblLook w:val="04A0"/>
        </w:tblPrEx>
        <w:tc>
          <w:tcPr>
            <w:tcW w:w="3031" w:type="dxa"/>
            <w:shd w:val="clear" w:color="auto" w:fill="auto"/>
          </w:tcPr>
          <w:p w:rsidR="00DA3A70" w:rsidRPr="009B3B4D" w:rsidP="00D40AC5">
            <w:pPr>
              <w:pStyle w:val="ListParagraph"/>
              <w:numPr>
                <w:ilvl w:val="0"/>
                <w:numId w:val="32"/>
              </w:numPr>
              <w:autoSpaceDE w:val="0"/>
              <w:autoSpaceDN w:val="0"/>
              <w:adjustRightInd w:val="0"/>
              <w:spacing w:after="0" w:line="240" w:lineRule="auto"/>
              <w:rPr>
                <w:rFonts w:ascii="Tahoma" w:hAnsi="Tahoma" w:cs="Tahoma"/>
                <w:sz w:val="18"/>
                <w:szCs w:val="18"/>
              </w:rPr>
            </w:pPr>
            <w:r w:rsidRPr="009B3B4D">
              <w:rPr>
                <w:rFonts w:ascii="Tahoma" w:hAnsi="Tahoma"/>
                <w:sz w:val="18"/>
              </w:rPr>
              <w:t>Fluoroquinoloner</w:t>
            </w:r>
          </w:p>
        </w:tc>
        <w:tc>
          <w:tcPr>
            <w:tcW w:w="3203" w:type="dxa"/>
            <w:gridSpan w:val="2"/>
            <w:shd w:val="clear" w:color="auto" w:fill="auto"/>
          </w:tcPr>
          <w:p w:rsidR="00DA3A70" w:rsidRPr="009B3B4D" w:rsidP="000D0DB0">
            <w:pPr>
              <w:autoSpaceDE w:val="0"/>
              <w:autoSpaceDN w:val="0"/>
              <w:adjustRightInd w:val="0"/>
              <w:spacing w:after="0" w:line="240" w:lineRule="auto"/>
              <w:rPr>
                <w:rFonts w:ascii="Tahoma" w:hAnsi="Tahoma" w:cs="Tahoma"/>
                <w:sz w:val="18"/>
                <w:szCs w:val="18"/>
              </w:rPr>
            </w:pPr>
            <w:r w:rsidRPr="009B3B4D">
              <w:rPr>
                <w:rFonts w:ascii="Tahoma" w:hAnsi="Tahoma"/>
                <w:sz w:val="18"/>
              </w:rPr>
              <w:t>Levofloxacin</w:t>
            </w:r>
          </w:p>
          <w:p w:rsidR="00DA3A70" w:rsidRPr="009B3B4D" w:rsidP="000D0DB0">
            <w:pPr>
              <w:autoSpaceDE w:val="0"/>
              <w:autoSpaceDN w:val="0"/>
              <w:adjustRightInd w:val="0"/>
              <w:spacing w:after="0" w:line="240" w:lineRule="auto"/>
              <w:rPr>
                <w:rFonts w:ascii="Tahoma" w:hAnsi="Tahoma" w:cs="Tahoma"/>
                <w:sz w:val="18"/>
                <w:szCs w:val="18"/>
              </w:rPr>
            </w:pPr>
            <w:r w:rsidRPr="009B3B4D">
              <w:rPr>
                <w:rFonts w:ascii="Tahoma" w:hAnsi="Tahoma"/>
                <w:sz w:val="18"/>
              </w:rPr>
              <w:t>Moxifloxacin</w:t>
            </w:r>
          </w:p>
          <w:p w:rsidR="00DA3A70" w:rsidRPr="009B3B4D" w:rsidP="000D0DB0">
            <w:pPr>
              <w:autoSpaceDE w:val="0"/>
              <w:autoSpaceDN w:val="0"/>
              <w:adjustRightInd w:val="0"/>
              <w:spacing w:after="0" w:line="240" w:lineRule="auto"/>
              <w:rPr>
                <w:rFonts w:ascii="Tahoma" w:hAnsi="Tahoma" w:cs="Tahoma"/>
                <w:sz w:val="18"/>
                <w:szCs w:val="18"/>
              </w:rPr>
            </w:pPr>
            <w:r w:rsidRPr="009B3B4D">
              <w:rPr>
                <w:rFonts w:ascii="Tahoma" w:hAnsi="Tahoma"/>
                <w:sz w:val="18"/>
              </w:rPr>
              <w:t>Gatifloxacin</w:t>
            </w:r>
          </w:p>
        </w:tc>
        <w:tc>
          <w:tcPr>
            <w:tcW w:w="2835" w:type="dxa"/>
            <w:shd w:val="clear" w:color="auto" w:fill="auto"/>
          </w:tcPr>
          <w:p w:rsidR="00DA3A70" w:rsidRPr="009B3B4D" w:rsidP="000D0DB0">
            <w:pPr>
              <w:autoSpaceDE w:val="0"/>
              <w:autoSpaceDN w:val="0"/>
              <w:adjustRightInd w:val="0"/>
              <w:spacing w:after="0" w:line="240" w:lineRule="auto"/>
              <w:rPr>
                <w:rFonts w:ascii="Tahoma" w:hAnsi="Tahoma" w:cs="Tahoma"/>
                <w:sz w:val="18"/>
                <w:szCs w:val="18"/>
              </w:rPr>
            </w:pPr>
            <w:r w:rsidRPr="009B3B4D">
              <w:rPr>
                <w:rFonts w:ascii="Tahoma" w:hAnsi="Tahoma"/>
                <w:sz w:val="18"/>
              </w:rPr>
              <w:t>Lfx</w:t>
            </w:r>
          </w:p>
          <w:p w:rsidR="00DA3A70" w:rsidRPr="009B3B4D" w:rsidP="000D0DB0">
            <w:pPr>
              <w:autoSpaceDE w:val="0"/>
              <w:autoSpaceDN w:val="0"/>
              <w:adjustRightInd w:val="0"/>
              <w:spacing w:after="0" w:line="240" w:lineRule="auto"/>
              <w:rPr>
                <w:rFonts w:ascii="Tahoma" w:hAnsi="Tahoma" w:cs="Tahoma"/>
                <w:sz w:val="18"/>
                <w:szCs w:val="18"/>
              </w:rPr>
            </w:pPr>
            <w:r w:rsidRPr="009B3B4D">
              <w:rPr>
                <w:rFonts w:ascii="Tahoma" w:hAnsi="Tahoma"/>
                <w:sz w:val="18"/>
              </w:rPr>
              <w:t>Mfx</w:t>
            </w:r>
          </w:p>
          <w:p w:rsidR="00DA3A70" w:rsidRPr="009B3B4D" w:rsidP="000D0DB0">
            <w:pPr>
              <w:autoSpaceDE w:val="0"/>
              <w:autoSpaceDN w:val="0"/>
              <w:adjustRightInd w:val="0"/>
              <w:spacing w:after="0" w:line="240" w:lineRule="auto"/>
              <w:rPr>
                <w:rFonts w:ascii="Tahoma" w:hAnsi="Tahoma" w:cs="Tahoma"/>
                <w:sz w:val="18"/>
                <w:szCs w:val="18"/>
              </w:rPr>
            </w:pPr>
            <w:r w:rsidRPr="009B3B4D">
              <w:rPr>
                <w:rFonts w:ascii="Tahoma" w:hAnsi="Tahoma"/>
                <w:sz w:val="18"/>
              </w:rPr>
              <w:t>Gfx</w:t>
            </w:r>
          </w:p>
        </w:tc>
      </w:tr>
      <w:tr w:rsidTr="0028467E">
        <w:tblPrEx>
          <w:tblW w:w="9069" w:type="dxa"/>
          <w:tblLook w:val="04A0"/>
        </w:tblPrEx>
        <w:tc>
          <w:tcPr>
            <w:tcW w:w="3031" w:type="dxa"/>
            <w:shd w:val="clear" w:color="auto" w:fill="auto"/>
          </w:tcPr>
          <w:p w:rsidR="00DA3A70" w:rsidRPr="009B3B4D" w:rsidP="00D40AC5">
            <w:pPr>
              <w:pStyle w:val="ListParagraph"/>
              <w:numPr>
                <w:ilvl w:val="0"/>
                <w:numId w:val="32"/>
              </w:numPr>
              <w:autoSpaceDE w:val="0"/>
              <w:autoSpaceDN w:val="0"/>
              <w:adjustRightInd w:val="0"/>
              <w:spacing w:after="0" w:line="240" w:lineRule="auto"/>
              <w:rPr>
                <w:rFonts w:ascii="Tahoma" w:hAnsi="Tahoma" w:cs="Tahoma"/>
                <w:sz w:val="18"/>
                <w:szCs w:val="18"/>
              </w:rPr>
            </w:pPr>
            <w:r>
              <w:rPr>
                <w:rFonts w:ascii="Tahoma" w:hAnsi="Tahoma"/>
                <w:sz w:val="18"/>
              </w:rPr>
              <w:t>Andenvalgsmidler</w:t>
            </w:r>
            <w:r w:rsidRPr="009B3B4D" w:rsidR="00E2211A">
              <w:rPr>
                <w:rFonts w:ascii="Tahoma" w:hAnsi="Tahoma"/>
                <w:sz w:val="18"/>
              </w:rPr>
              <w:t xml:space="preserve"> til injektion</w:t>
            </w:r>
          </w:p>
        </w:tc>
        <w:tc>
          <w:tcPr>
            <w:tcW w:w="3203" w:type="dxa"/>
            <w:gridSpan w:val="2"/>
            <w:shd w:val="clear" w:color="auto" w:fill="auto"/>
          </w:tcPr>
          <w:p w:rsidR="00DA3A70" w:rsidRPr="009B3B4D" w:rsidP="006F6381">
            <w:pPr>
              <w:autoSpaceDE w:val="0"/>
              <w:autoSpaceDN w:val="0"/>
              <w:adjustRightInd w:val="0"/>
              <w:spacing w:after="0" w:line="240" w:lineRule="auto"/>
              <w:jc w:val="both"/>
              <w:rPr>
                <w:rFonts w:ascii="Tahoma" w:hAnsi="Tahoma" w:cs="Tahoma"/>
                <w:sz w:val="18"/>
                <w:szCs w:val="18"/>
              </w:rPr>
            </w:pPr>
            <w:r w:rsidRPr="009B3B4D">
              <w:rPr>
                <w:rFonts w:ascii="Tahoma" w:hAnsi="Tahoma"/>
                <w:sz w:val="18"/>
              </w:rPr>
              <w:t>Amikacin</w:t>
            </w:r>
          </w:p>
          <w:p w:rsidR="00DA3A70" w:rsidRPr="009B3B4D" w:rsidP="006F6381">
            <w:pPr>
              <w:autoSpaceDE w:val="0"/>
              <w:autoSpaceDN w:val="0"/>
              <w:adjustRightInd w:val="0"/>
              <w:spacing w:after="0" w:line="240" w:lineRule="auto"/>
              <w:jc w:val="both"/>
              <w:rPr>
                <w:rFonts w:ascii="Tahoma" w:hAnsi="Tahoma" w:cs="Tahoma"/>
                <w:sz w:val="18"/>
                <w:szCs w:val="18"/>
              </w:rPr>
            </w:pPr>
            <w:r w:rsidRPr="009B3B4D">
              <w:rPr>
                <w:rFonts w:ascii="Tahoma" w:hAnsi="Tahoma"/>
                <w:sz w:val="18"/>
              </w:rPr>
              <w:t>Capreomycin</w:t>
            </w:r>
          </w:p>
          <w:p w:rsidR="00DA3A70" w:rsidRPr="009B3B4D" w:rsidP="006F6381">
            <w:pPr>
              <w:autoSpaceDE w:val="0"/>
              <w:autoSpaceDN w:val="0"/>
              <w:adjustRightInd w:val="0"/>
              <w:spacing w:after="0" w:line="240" w:lineRule="auto"/>
              <w:jc w:val="both"/>
              <w:rPr>
                <w:rFonts w:ascii="Tahoma" w:hAnsi="Tahoma" w:cs="Tahoma"/>
                <w:sz w:val="18"/>
                <w:szCs w:val="18"/>
              </w:rPr>
            </w:pPr>
            <w:r w:rsidRPr="009B3B4D">
              <w:rPr>
                <w:rFonts w:ascii="Tahoma" w:hAnsi="Tahoma"/>
                <w:sz w:val="18"/>
              </w:rPr>
              <w:t>Kanamycin</w:t>
            </w:r>
          </w:p>
          <w:p w:rsidR="00DA3A70" w:rsidRPr="009B3B4D" w:rsidP="006F6381">
            <w:pPr>
              <w:autoSpaceDE w:val="0"/>
              <w:autoSpaceDN w:val="0"/>
              <w:adjustRightInd w:val="0"/>
              <w:spacing w:after="0" w:line="240" w:lineRule="auto"/>
              <w:jc w:val="both"/>
              <w:rPr>
                <w:rFonts w:ascii="Tahoma" w:hAnsi="Tahoma" w:cs="Tahoma"/>
                <w:sz w:val="18"/>
                <w:szCs w:val="18"/>
              </w:rPr>
            </w:pPr>
            <w:r w:rsidRPr="009B3B4D">
              <w:rPr>
                <w:rFonts w:ascii="Tahoma" w:hAnsi="Tahoma"/>
                <w:sz w:val="18"/>
              </w:rPr>
              <w:t>(Streptomycin)</w:t>
            </w:r>
          </w:p>
        </w:tc>
        <w:tc>
          <w:tcPr>
            <w:tcW w:w="2835" w:type="dxa"/>
            <w:shd w:val="clear" w:color="auto" w:fill="auto"/>
          </w:tcPr>
          <w:p w:rsidR="00DA3A70" w:rsidRPr="009B3B4D" w:rsidP="006F6381">
            <w:pPr>
              <w:autoSpaceDE w:val="0"/>
              <w:autoSpaceDN w:val="0"/>
              <w:adjustRightInd w:val="0"/>
              <w:spacing w:after="0" w:line="240" w:lineRule="auto"/>
              <w:jc w:val="both"/>
              <w:rPr>
                <w:rFonts w:ascii="Tahoma" w:hAnsi="Tahoma" w:cs="Tahoma"/>
                <w:sz w:val="18"/>
                <w:szCs w:val="18"/>
              </w:rPr>
            </w:pPr>
            <w:r w:rsidRPr="009B3B4D">
              <w:rPr>
                <w:rFonts w:ascii="Tahoma" w:hAnsi="Tahoma"/>
                <w:sz w:val="18"/>
              </w:rPr>
              <w:t>Am</w:t>
            </w:r>
          </w:p>
          <w:p w:rsidR="00DA3A70" w:rsidRPr="009B3B4D" w:rsidP="006F6381">
            <w:pPr>
              <w:autoSpaceDE w:val="0"/>
              <w:autoSpaceDN w:val="0"/>
              <w:adjustRightInd w:val="0"/>
              <w:spacing w:after="0" w:line="240" w:lineRule="auto"/>
              <w:jc w:val="both"/>
              <w:rPr>
                <w:rFonts w:ascii="Tahoma" w:hAnsi="Tahoma" w:cs="Tahoma"/>
                <w:sz w:val="18"/>
                <w:szCs w:val="18"/>
              </w:rPr>
            </w:pPr>
            <w:r w:rsidRPr="009B3B4D">
              <w:rPr>
                <w:rFonts w:ascii="Tahoma" w:hAnsi="Tahoma"/>
                <w:sz w:val="18"/>
              </w:rPr>
              <w:t>Cm</w:t>
            </w:r>
          </w:p>
          <w:p w:rsidR="00DA3A70" w:rsidRPr="009B3B4D" w:rsidP="006F6381">
            <w:pPr>
              <w:autoSpaceDE w:val="0"/>
              <w:autoSpaceDN w:val="0"/>
              <w:adjustRightInd w:val="0"/>
              <w:spacing w:after="0" w:line="240" w:lineRule="auto"/>
              <w:jc w:val="both"/>
              <w:rPr>
                <w:rFonts w:ascii="Tahoma" w:hAnsi="Tahoma" w:cs="Tahoma"/>
                <w:sz w:val="18"/>
                <w:szCs w:val="18"/>
              </w:rPr>
            </w:pPr>
            <w:r w:rsidRPr="009B3B4D">
              <w:rPr>
                <w:rFonts w:ascii="Tahoma" w:hAnsi="Tahoma"/>
                <w:sz w:val="18"/>
              </w:rPr>
              <w:t>Km</w:t>
            </w:r>
          </w:p>
          <w:p w:rsidR="00DA3A70" w:rsidRPr="009B3B4D" w:rsidP="006F6381">
            <w:pPr>
              <w:autoSpaceDE w:val="0"/>
              <w:autoSpaceDN w:val="0"/>
              <w:adjustRightInd w:val="0"/>
              <w:spacing w:after="0" w:line="240" w:lineRule="auto"/>
              <w:jc w:val="both"/>
              <w:rPr>
                <w:rFonts w:ascii="Tahoma" w:hAnsi="Tahoma" w:cs="Tahoma"/>
                <w:sz w:val="18"/>
                <w:szCs w:val="18"/>
              </w:rPr>
            </w:pPr>
            <w:r w:rsidRPr="009B3B4D">
              <w:rPr>
                <w:rFonts w:ascii="Tahoma" w:hAnsi="Tahoma"/>
                <w:sz w:val="18"/>
              </w:rPr>
              <w:t>(S)</w:t>
            </w:r>
          </w:p>
        </w:tc>
      </w:tr>
      <w:tr w:rsidTr="0028467E">
        <w:tblPrEx>
          <w:tblW w:w="9069" w:type="dxa"/>
          <w:tblLook w:val="04A0"/>
        </w:tblPrEx>
        <w:tc>
          <w:tcPr>
            <w:tcW w:w="3031" w:type="dxa"/>
            <w:shd w:val="clear" w:color="auto" w:fill="auto"/>
          </w:tcPr>
          <w:p w:rsidR="00DA3A70" w:rsidRPr="009B3B4D" w:rsidP="00D40AC5">
            <w:pPr>
              <w:pStyle w:val="ListParagraph"/>
              <w:numPr>
                <w:ilvl w:val="0"/>
                <w:numId w:val="32"/>
              </w:numPr>
              <w:autoSpaceDE w:val="0"/>
              <w:autoSpaceDN w:val="0"/>
              <w:adjustRightInd w:val="0"/>
              <w:spacing w:after="0" w:line="240" w:lineRule="auto"/>
              <w:rPr>
                <w:rFonts w:ascii="Tahoma" w:hAnsi="Tahoma" w:cs="Tahoma"/>
                <w:sz w:val="18"/>
                <w:szCs w:val="18"/>
              </w:rPr>
            </w:pPr>
            <w:r w:rsidRPr="009B3B4D">
              <w:rPr>
                <w:rFonts w:ascii="Tahoma" w:hAnsi="Tahoma"/>
                <w:sz w:val="18"/>
              </w:rPr>
              <w:t xml:space="preserve">Andre centrale </w:t>
            </w:r>
            <w:r w:rsidR="00EB7D91">
              <w:rPr>
                <w:rFonts w:ascii="Tahoma" w:hAnsi="Tahoma"/>
                <w:sz w:val="18"/>
              </w:rPr>
              <w:t>andenvalgsmidler</w:t>
            </w:r>
          </w:p>
        </w:tc>
        <w:tc>
          <w:tcPr>
            <w:tcW w:w="3203" w:type="dxa"/>
            <w:gridSpan w:val="2"/>
            <w:shd w:val="clear" w:color="auto" w:fill="auto"/>
          </w:tcPr>
          <w:p w:rsidR="00DA3A70" w:rsidRPr="009B3B4D" w:rsidP="006F6381">
            <w:pPr>
              <w:autoSpaceDE w:val="0"/>
              <w:autoSpaceDN w:val="0"/>
              <w:adjustRightInd w:val="0"/>
              <w:spacing w:after="0" w:line="240" w:lineRule="auto"/>
              <w:jc w:val="both"/>
              <w:rPr>
                <w:rFonts w:ascii="Tahoma" w:hAnsi="Tahoma" w:cs="Tahoma"/>
                <w:sz w:val="18"/>
                <w:szCs w:val="18"/>
              </w:rPr>
            </w:pPr>
            <w:r w:rsidRPr="009B3B4D">
              <w:rPr>
                <w:rFonts w:ascii="Tahoma" w:hAnsi="Tahoma"/>
                <w:sz w:val="18"/>
              </w:rPr>
              <w:t>Ethionamid/prothionamid</w:t>
            </w:r>
          </w:p>
          <w:p w:rsidR="00DA3A70" w:rsidRPr="009B3B4D" w:rsidP="006F6381">
            <w:pPr>
              <w:autoSpaceDE w:val="0"/>
              <w:autoSpaceDN w:val="0"/>
              <w:adjustRightInd w:val="0"/>
              <w:spacing w:after="0" w:line="240" w:lineRule="auto"/>
              <w:jc w:val="both"/>
              <w:rPr>
                <w:rFonts w:ascii="Tahoma" w:hAnsi="Tahoma" w:cs="Tahoma"/>
                <w:sz w:val="18"/>
                <w:szCs w:val="18"/>
              </w:rPr>
            </w:pPr>
            <w:r w:rsidRPr="009B3B4D">
              <w:rPr>
                <w:rFonts w:ascii="Tahoma" w:hAnsi="Tahoma"/>
                <w:sz w:val="18"/>
              </w:rPr>
              <w:t>Cycloserin/terizidon</w:t>
            </w:r>
          </w:p>
          <w:p w:rsidR="00DA3A70" w:rsidRPr="009B3B4D" w:rsidP="006F6381">
            <w:pPr>
              <w:autoSpaceDE w:val="0"/>
              <w:autoSpaceDN w:val="0"/>
              <w:adjustRightInd w:val="0"/>
              <w:spacing w:after="0" w:line="240" w:lineRule="auto"/>
              <w:jc w:val="both"/>
              <w:rPr>
                <w:rFonts w:ascii="Tahoma" w:hAnsi="Tahoma" w:cs="Tahoma"/>
                <w:sz w:val="18"/>
                <w:szCs w:val="18"/>
              </w:rPr>
            </w:pPr>
            <w:r w:rsidRPr="009B3B4D">
              <w:rPr>
                <w:rFonts w:ascii="Tahoma" w:hAnsi="Tahoma"/>
                <w:sz w:val="18"/>
              </w:rPr>
              <w:t>Linezolid</w:t>
            </w:r>
          </w:p>
          <w:p w:rsidR="00DA3A70" w:rsidRPr="009B3B4D" w:rsidP="00BD3F81">
            <w:pPr>
              <w:autoSpaceDE w:val="0"/>
              <w:autoSpaceDN w:val="0"/>
              <w:adjustRightInd w:val="0"/>
              <w:spacing w:after="0" w:line="240" w:lineRule="auto"/>
              <w:jc w:val="both"/>
              <w:rPr>
                <w:rFonts w:ascii="Tahoma" w:hAnsi="Tahoma" w:cs="Tahoma"/>
                <w:sz w:val="18"/>
                <w:szCs w:val="18"/>
              </w:rPr>
            </w:pPr>
            <w:r w:rsidRPr="009B3B4D">
              <w:rPr>
                <w:rFonts w:ascii="Tahoma" w:hAnsi="Tahoma"/>
                <w:sz w:val="18"/>
              </w:rPr>
              <w:t>Clofazimin</w:t>
            </w:r>
          </w:p>
        </w:tc>
        <w:tc>
          <w:tcPr>
            <w:tcW w:w="2835" w:type="dxa"/>
            <w:shd w:val="clear" w:color="auto" w:fill="auto"/>
          </w:tcPr>
          <w:p w:rsidR="00DA3A70" w:rsidRPr="009B3B4D" w:rsidP="006F6381">
            <w:pPr>
              <w:autoSpaceDE w:val="0"/>
              <w:autoSpaceDN w:val="0"/>
              <w:adjustRightInd w:val="0"/>
              <w:spacing w:after="0" w:line="240" w:lineRule="auto"/>
              <w:jc w:val="both"/>
              <w:rPr>
                <w:rFonts w:ascii="Tahoma" w:hAnsi="Tahoma" w:cs="Tahoma"/>
                <w:sz w:val="18"/>
                <w:szCs w:val="18"/>
              </w:rPr>
            </w:pPr>
            <w:r w:rsidRPr="009B3B4D">
              <w:rPr>
                <w:rFonts w:ascii="Tahoma" w:hAnsi="Tahoma"/>
                <w:sz w:val="18"/>
              </w:rPr>
              <w:t>Eto/pto</w:t>
            </w:r>
          </w:p>
          <w:p w:rsidR="00DA3A70" w:rsidRPr="009B3B4D" w:rsidP="006F6381">
            <w:pPr>
              <w:autoSpaceDE w:val="0"/>
              <w:autoSpaceDN w:val="0"/>
              <w:adjustRightInd w:val="0"/>
              <w:spacing w:after="0" w:line="240" w:lineRule="auto"/>
              <w:jc w:val="both"/>
              <w:rPr>
                <w:rFonts w:ascii="Tahoma" w:hAnsi="Tahoma" w:cs="Tahoma"/>
                <w:sz w:val="18"/>
                <w:szCs w:val="18"/>
              </w:rPr>
            </w:pPr>
            <w:r w:rsidRPr="009B3B4D">
              <w:rPr>
                <w:rFonts w:ascii="Tahoma" w:hAnsi="Tahoma"/>
                <w:sz w:val="18"/>
              </w:rPr>
              <w:t>Cs/trd</w:t>
            </w:r>
          </w:p>
          <w:p w:rsidR="00DA3A70" w:rsidRPr="009B3B4D" w:rsidP="006F6381">
            <w:pPr>
              <w:autoSpaceDE w:val="0"/>
              <w:autoSpaceDN w:val="0"/>
              <w:adjustRightInd w:val="0"/>
              <w:spacing w:after="0" w:line="240" w:lineRule="auto"/>
              <w:jc w:val="both"/>
              <w:rPr>
                <w:rFonts w:ascii="Tahoma" w:hAnsi="Tahoma" w:cs="Tahoma"/>
                <w:sz w:val="18"/>
                <w:szCs w:val="18"/>
              </w:rPr>
            </w:pPr>
            <w:r w:rsidRPr="009B3B4D">
              <w:rPr>
                <w:rFonts w:ascii="Tahoma" w:hAnsi="Tahoma"/>
                <w:sz w:val="18"/>
              </w:rPr>
              <w:t>Lzd</w:t>
            </w:r>
          </w:p>
          <w:p w:rsidR="00DA3A70" w:rsidRPr="009B3B4D" w:rsidP="006F6381">
            <w:pPr>
              <w:autoSpaceDE w:val="0"/>
              <w:autoSpaceDN w:val="0"/>
              <w:adjustRightInd w:val="0"/>
              <w:spacing w:after="0" w:line="240" w:lineRule="auto"/>
              <w:jc w:val="both"/>
              <w:rPr>
                <w:rFonts w:ascii="Tahoma" w:hAnsi="Tahoma" w:cs="Tahoma"/>
                <w:sz w:val="18"/>
                <w:szCs w:val="18"/>
              </w:rPr>
            </w:pPr>
            <w:r w:rsidRPr="009B3B4D">
              <w:rPr>
                <w:rFonts w:ascii="Tahoma" w:hAnsi="Tahoma"/>
                <w:sz w:val="18"/>
              </w:rPr>
              <w:t>Cfz</w:t>
            </w:r>
          </w:p>
        </w:tc>
      </w:tr>
      <w:tr w:rsidTr="0028467E">
        <w:tblPrEx>
          <w:tblW w:w="9069" w:type="dxa"/>
          <w:tblLook w:val="04A0"/>
        </w:tblPrEx>
        <w:tc>
          <w:tcPr>
            <w:tcW w:w="3031" w:type="dxa"/>
            <w:vMerge w:val="restart"/>
            <w:shd w:val="clear" w:color="auto" w:fill="auto"/>
          </w:tcPr>
          <w:p w:rsidR="00DA3A70" w:rsidRPr="009B3B4D" w:rsidP="00D40AC5">
            <w:pPr>
              <w:pStyle w:val="ListParagraph"/>
              <w:numPr>
                <w:ilvl w:val="0"/>
                <w:numId w:val="32"/>
              </w:numPr>
              <w:autoSpaceDE w:val="0"/>
              <w:autoSpaceDN w:val="0"/>
              <w:adjustRightInd w:val="0"/>
              <w:spacing w:after="0" w:line="240" w:lineRule="auto"/>
              <w:rPr>
                <w:rFonts w:ascii="Tahoma" w:hAnsi="Tahoma" w:cs="Tahoma"/>
                <w:sz w:val="18"/>
                <w:szCs w:val="18"/>
              </w:rPr>
            </w:pPr>
            <w:r w:rsidRPr="009B3B4D">
              <w:rPr>
                <w:rFonts w:ascii="Tahoma" w:hAnsi="Tahoma"/>
                <w:sz w:val="18"/>
              </w:rPr>
              <w:t>Tillægsmidler</w:t>
            </w:r>
            <w:r w:rsidRPr="009B3B4D">
              <w:rPr>
                <w:rFonts w:ascii="Tahoma" w:hAnsi="Tahoma" w:cs="Tahoma"/>
                <w:sz w:val="18"/>
                <w:szCs w:val="18"/>
              </w:rPr>
              <w:br/>
            </w:r>
            <w:r w:rsidRPr="009B3B4D">
              <w:rPr>
                <w:rFonts w:ascii="Tahoma" w:hAnsi="Tahoma"/>
                <w:sz w:val="18"/>
              </w:rPr>
              <w:t>(indgår ikke i det centrale MDR TB-regime)</w:t>
            </w:r>
          </w:p>
        </w:tc>
        <w:tc>
          <w:tcPr>
            <w:tcW w:w="675" w:type="dxa"/>
            <w:shd w:val="clear" w:color="auto" w:fill="auto"/>
          </w:tcPr>
          <w:p w:rsidR="00DA3A70" w:rsidRPr="009B3B4D" w:rsidP="006F6381">
            <w:pPr>
              <w:autoSpaceDE w:val="0"/>
              <w:autoSpaceDN w:val="0"/>
              <w:adjustRightInd w:val="0"/>
              <w:spacing w:after="0" w:line="240" w:lineRule="auto"/>
              <w:jc w:val="both"/>
              <w:rPr>
                <w:rFonts w:ascii="Tahoma" w:hAnsi="Tahoma" w:cs="Tahoma"/>
                <w:sz w:val="18"/>
                <w:szCs w:val="18"/>
              </w:rPr>
            </w:pPr>
            <w:r w:rsidRPr="009B3B4D">
              <w:rPr>
                <w:rFonts w:ascii="Tahoma" w:hAnsi="Tahoma"/>
                <w:sz w:val="18"/>
              </w:rPr>
              <w:t>D1</w:t>
            </w:r>
          </w:p>
        </w:tc>
        <w:tc>
          <w:tcPr>
            <w:tcW w:w="2528" w:type="dxa"/>
            <w:shd w:val="clear" w:color="auto" w:fill="auto"/>
          </w:tcPr>
          <w:p w:rsidR="00DA3A70" w:rsidRPr="009B3B4D" w:rsidP="006F6381">
            <w:pPr>
              <w:autoSpaceDE w:val="0"/>
              <w:autoSpaceDN w:val="0"/>
              <w:adjustRightInd w:val="0"/>
              <w:spacing w:after="0" w:line="240" w:lineRule="auto"/>
              <w:jc w:val="both"/>
              <w:rPr>
                <w:rFonts w:ascii="Tahoma" w:hAnsi="Tahoma" w:cs="Tahoma"/>
                <w:sz w:val="18"/>
                <w:szCs w:val="18"/>
              </w:rPr>
            </w:pPr>
            <w:r w:rsidRPr="009B3B4D">
              <w:rPr>
                <w:rFonts w:ascii="Tahoma" w:hAnsi="Tahoma"/>
                <w:sz w:val="18"/>
              </w:rPr>
              <w:t>Pyrazinamid</w:t>
            </w:r>
          </w:p>
          <w:p w:rsidR="00DA3A70" w:rsidRPr="009B3B4D" w:rsidP="006F6381">
            <w:pPr>
              <w:autoSpaceDE w:val="0"/>
              <w:autoSpaceDN w:val="0"/>
              <w:adjustRightInd w:val="0"/>
              <w:spacing w:after="0" w:line="240" w:lineRule="auto"/>
              <w:jc w:val="both"/>
              <w:rPr>
                <w:rFonts w:ascii="Tahoma" w:hAnsi="Tahoma" w:cs="Tahoma"/>
                <w:sz w:val="18"/>
                <w:szCs w:val="18"/>
              </w:rPr>
            </w:pPr>
            <w:r w:rsidRPr="009B3B4D">
              <w:rPr>
                <w:rFonts w:ascii="Tahoma" w:hAnsi="Tahoma"/>
                <w:sz w:val="18"/>
              </w:rPr>
              <w:t>Ethambutol</w:t>
            </w:r>
          </w:p>
          <w:p w:rsidR="00DA3A70" w:rsidRPr="009B3B4D" w:rsidP="006F6381">
            <w:pPr>
              <w:autoSpaceDE w:val="0"/>
              <w:autoSpaceDN w:val="0"/>
              <w:adjustRightInd w:val="0"/>
              <w:spacing w:after="0" w:line="240" w:lineRule="auto"/>
              <w:jc w:val="both"/>
              <w:rPr>
                <w:rFonts w:ascii="Tahoma" w:hAnsi="Tahoma" w:cs="Tahoma"/>
                <w:sz w:val="18"/>
                <w:szCs w:val="18"/>
              </w:rPr>
            </w:pPr>
            <w:r w:rsidRPr="009B3B4D">
              <w:rPr>
                <w:rFonts w:ascii="Tahoma" w:hAnsi="Tahoma"/>
                <w:sz w:val="18"/>
              </w:rPr>
              <w:t>Højdosis-isoniazid</w:t>
            </w:r>
          </w:p>
        </w:tc>
        <w:tc>
          <w:tcPr>
            <w:tcW w:w="2835" w:type="dxa"/>
            <w:shd w:val="clear" w:color="auto" w:fill="auto"/>
          </w:tcPr>
          <w:p w:rsidR="00DA3A70" w:rsidRPr="009B3B4D" w:rsidP="006F6381">
            <w:pPr>
              <w:autoSpaceDE w:val="0"/>
              <w:autoSpaceDN w:val="0"/>
              <w:adjustRightInd w:val="0"/>
              <w:spacing w:after="0" w:line="240" w:lineRule="auto"/>
              <w:jc w:val="both"/>
              <w:rPr>
                <w:rFonts w:ascii="Tahoma" w:hAnsi="Tahoma" w:cs="Tahoma"/>
                <w:sz w:val="18"/>
                <w:szCs w:val="18"/>
              </w:rPr>
            </w:pPr>
            <w:r w:rsidRPr="009B3B4D">
              <w:rPr>
                <w:rFonts w:ascii="Tahoma" w:hAnsi="Tahoma"/>
                <w:sz w:val="18"/>
              </w:rPr>
              <w:t>Z</w:t>
            </w:r>
          </w:p>
          <w:p w:rsidR="00DA3A70" w:rsidRPr="009B3B4D" w:rsidP="006F6381">
            <w:pPr>
              <w:autoSpaceDE w:val="0"/>
              <w:autoSpaceDN w:val="0"/>
              <w:adjustRightInd w:val="0"/>
              <w:spacing w:after="0" w:line="240" w:lineRule="auto"/>
              <w:jc w:val="both"/>
              <w:rPr>
                <w:rFonts w:ascii="Tahoma" w:hAnsi="Tahoma" w:cs="Tahoma"/>
                <w:sz w:val="18"/>
                <w:szCs w:val="18"/>
              </w:rPr>
            </w:pPr>
            <w:r w:rsidRPr="009B3B4D">
              <w:rPr>
                <w:rFonts w:ascii="Tahoma" w:hAnsi="Tahoma"/>
                <w:sz w:val="18"/>
              </w:rPr>
              <w:t>E</w:t>
            </w:r>
          </w:p>
          <w:p w:rsidR="00DA3A70" w:rsidRPr="009B3B4D" w:rsidP="006F6381">
            <w:pPr>
              <w:autoSpaceDE w:val="0"/>
              <w:autoSpaceDN w:val="0"/>
              <w:adjustRightInd w:val="0"/>
              <w:spacing w:after="0" w:line="240" w:lineRule="auto"/>
              <w:jc w:val="both"/>
              <w:rPr>
                <w:rFonts w:ascii="Tahoma" w:hAnsi="Tahoma" w:cs="Tahoma"/>
                <w:sz w:val="18"/>
                <w:szCs w:val="18"/>
                <w:vertAlign w:val="superscript"/>
              </w:rPr>
            </w:pPr>
            <w:r w:rsidRPr="009B3B4D">
              <w:rPr>
                <w:rFonts w:ascii="Tahoma" w:hAnsi="Tahoma"/>
                <w:sz w:val="18"/>
              </w:rPr>
              <w:t xml:space="preserve">H </w:t>
            </w:r>
            <w:r w:rsidRPr="009B3B4D">
              <w:rPr>
                <w:rFonts w:ascii="Tahoma" w:hAnsi="Tahoma"/>
                <w:b/>
                <w:sz w:val="18"/>
                <w:vertAlign w:val="subscript"/>
              </w:rPr>
              <w:t>(højdosis)</w:t>
            </w:r>
          </w:p>
        </w:tc>
      </w:tr>
      <w:tr w:rsidTr="0028467E">
        <w:tblPrEx>
          <w:tblW w:w="9069" w:type="dxa"/>
          <w:tblLook w:val="04A0"/>
        </w:tblPrEx>
        <w:tc>
          <w:tcPr>
            <w:tcW w:w="3031" w:type="dxa"/>
            <w:vMerge/>
            <w:shd w:val="clear" w:color="auto" w:fill="auto"/>
          </w:tcPr>
          <w:p w:rsidR="00DA3A70" w:rsidRPr="009B3B4D" w:rsidP="006F6381">
            <w:pPr>
              <w:autoSpaceDE w:val="0"/>
              <w:autoSpaceDN w:val="0"/>
              <w:adjustRightInd w:val="0"/>
              <w:spacing w:after="0" w:line="240" w:lineRule="auto"/>
              <w:jc w:val="both"/>
              <w:rPr>
                <w:rFonts w:ascii="Tahoma" w:hAnsi="Tahoma" w:cs="Tahoma"/>
                <w:sz w:val="18"/>
                <w:szCs w:val="18"/>
              </w:rPr>
            </w:pPr>
          </w:p>
        </w:tc>
        <w:tc>
          <w:tcPr>
            <w:tcW w:w="675" w:type="dxa"/>
            <w:shd w:val="clear" w:color="auto" w:fill="auto"/>
          </w:tcPr>
          <w:p w:rsidR="00DA3A70" w:rsidRPr="009B3B4D" w:rsidP="006F6381">
            <w:pPr>
              <w:autoSpaceDE w:val="0"/>
              <w:autoSpaceDN w:val="0"/>
              <w:adjustRightInd w:val="0"/>
              <w:spacing w:after="0" w:line="240" w:lineRule="auto"/>
              <w:jc w:val="both"/>
              <w:rPr>
                <w:rFonts w:ascii="Tahoma" w:hAnsi="Tahoma" w:cs="Tahoma"/>
                <w:sz w:val="18"/>
                <w:szCs w:val="18"/>
              </w:rPr>
            </w:pPr>
            <w:r w:rsidRPr="009B3B4D">
              <w:rPr>
                <w:rFonts w:ascii="Tahoma" w:hAnsi="Tahoma"/>
                <w:sz w:val="18"/>
              </w:rPr>
              <w:t>D2</w:t>
            </w:r>
          </w:p>
        </w:tc>
        <w:tc>
          <w:tcPr>
            <w:tcW w:w="2528" w:type="dxa"/>
            <w:shd w:val="clear" w:color="auto" w:fill="auto"/>
          </w:tcPr>
          <w:p w:rsidR="00DA3A70" w:rsidRPr="009B3B4D" w:rsidP="006F6381">
            <w:pPr>
              <w:autoSpaceDE w:val="0"/>
              <w:autoSpaceDN w:val="0"/>
              <w:adjustRightInd w:val="0"/>
              <w:spacing w:after="0" w:line="240" w:lineRule="auto"/>
              <w:jc w:val="both"/>
              <w:rPr>
                <w:rFonts w:ascii="Tahoma" w:hAnsi="Tahoma" w:cs="Tahoma"/>
                <w:sz w:val="18"/>
                <w:szCs w:val="18"/>
              </w:rPr>
            </w:pPr>
            <w:r w:rsidRPr="009B3B4D">
              <w:rPr>
                <w:rFonts w:ascii="Tahoma" w:hAnsi="Tahoma"/>
                <w:sz w:val="18"/>
              </w:rPr>
              <w:t>Bedaquilin</w:t>
            </w:r>
          </w:p>
          <w:p w:rsidR="00DA3A70" w:rsidRPr="009B3B4D" w:rsidP="006F6381">
            <w:pPr>
              <w:autoSpaceDE w:val="0"/>
              <w:autoSpaceDN w:val="0"/>
              <w:adjustRightInd w:val="0"/>
              <w:spacing w:after="0" w:line="240" w:lineRule="auto"/>
              <w:jc w:val="both"/>
              <w:rPr>
                <w:rFonts w:ascii="Tahoma" w:hAnsi="Tahoma" w:cs="Tahoma"/>
                <w:sz w:val="18"/>
                <w:szCs w:val="18"/>
              </w:rPr>
            </w:pPr>
            <w:r w:rsidRPr="009B3B4D">
              <w:rPr>
                <w:rFonts w:ascii="Tahoma" w:hAnsi="Tahoma"/>
                <w:sz w:val="18"/>
              </w:rPr>
              <w:t>Delamanid</w:t>
            </w:r>
          </w:p>
        </w:tc>
        <w:tc>
          <w:tcPr>
            <w:tcW w:w="2835" w:type="dxa"/>
            <w:shd w:val="clear" w:color="auto" w:fill="auto"/>
          </w:tcPr>
          <w:p w:rsidR="00DA3A70" w:rsidRPr="009B3B4D" w:rsidP="006F6381">
            <w:pPr>
              <w:autoSpaceDE w:val="0"/>
              <w:autoSpaceDN w:val="0"/>
              <w:adjustRightInd w:val="0"/>
              <w:spacing w:after="0" w:line="240" w:lineRule="auto"/>
              <w:jc w:val="both"/>
              <w:rPr>
                <w:rFonts w:ascii="Tahoma" w:hAnsi="Tahoma" w:cs="Tahoma"/>
                <w:sz w:val="18"/>
                <w:szCs w:val="18"/>
              </w:rPr>
            </w:pPr>
            <w:r w:rsidRPr="009B3B4D">
              <w:rPr>
                <w:rFonts w:ascii="Tahoma" w:hAnsi="Tahoma"/>
                <w:sz w:val="18"/>
              </w:rPr>
              <w:t>Bdq</w:t>
            </w:r>
          </w:p>
          <w:p w:rsidR="00DA3A70" w:rsidRPr="009B3B4D" w:rsidP="006F6381">
            <w:pPr>
              <w:autoSpaceDE w:val="0"/>
              <w:autoSpaceDN w:val="0"/>
              <w:adjustRightInd w:val="0"/>
              <w:spacing w:after="0" w:line="240" w:lineRule="auto"/>
              <w:jc w:val="both"/>
              <w:rPr>
                <w:rFonts w:ascii="Tahoma" w:hAnsi="Tahoma" w:cs="Tahoma"/>
                <w:sz w:val="18"/>
                <w:szCs w:val="18"/>
              </w:rPr>
            </w:pPr>
            <w:r w:rsidRPr="009B3B4D">
              <w:rPr>
                <w:rFonts w:ascii="Tahoma" w:hAnsi="Tahoma"/>
                <w:sz w:val="18"/>
              </w:rPr>
              <w:t>Dlm</w:t>
            </w:r>
          </w:p>
        </w:tc>
      </w:tr>
      <w:tr w:rsidTr="0028467E">
        <w:tblPrEx>
          <w:tblW w:w="9069" w:type="dxa"/>
          <w:tblLook w:val="04A0"/>
        </w:tblPrEx>
        <w:tc>
          <w:tcPr>
            <w:tcW w:w="3031" w:type="dxa"/>
            <w:vMerge/>
            <w:shd w:val="clear" w:color="auto" w:fill="auto"/>
          </w:tcPr>
          <w:p w:rsidR="00DA3A70" w:rsidRPr="009B3B4D" w:rsidP="006F6381">
            <w:pPr>
              <w:autoSpaceDE w:val="0"/>
              <w:autoSpaceDN w:val="0"/>
              <w:adjustRightInd w:val="0"/>
              <w:spacing w:after="0" w:line="240" w:lineRule="auto"/>
              <w:jc w:val="both"/>
              <w:rPr>
                <w:rFonts w:ascii="Tahoma" w:hAnsi="Tahoma" w:cs="Tahoma"/>
                <w:sz w:val="18"/>
                <w:szCs w:val="18"/>
              </w:rPr>
            </w:pPr>
          </w:p>
        </w:tc>
        <w:tc>
          <w:tcPr>
            <w:tcW w:w="675" w:type="dxa"/>
            <w:shd w:val="clear" w:color="auto" w:fill="auto"/>
          </w:tcPr>
          <w:p w:rsidR="00DA3A70" w:rsidRPr="009B3B4D" w:rsidP="006F6381">
            <w:pPr>
              <w:autoSpaceDE w:val="0"/>
              <w:autoSpaceDN w:val="0"/>
              <w:adjustRightInd w:val="0"/>
              <w:spacing w:after="0" w:line="240" w:lineRule="auto"/>
              <w:jc w:val="both"/>
              <w:rPr>
                <w:rFonts w:ascii="Tahoma" w:hAnsi="Tahoma" w:cs="Tahoma"/>
                <w:sz w:val="18"/>
                <w:szCs w:val="18"/>
              </w:rPr>
            </w:pPr>
            <w:r w:rsidRPr="009B3B4D">
              <w:rPr>
                <w:rFonts w:ascii="Tahoma" w:hAnsi="Tahoma"/>
                <w:sz w:val="18"/>
              </w:rPr>
              <w:t>D3</w:t>
            </w:r>
          </w:p>
        </w:tc>
        <w:tc>
          <w:tcPr>
            <w:tcW w:w="2528" w:type="dxa"/>
            <w:shd w:val="clear" w:color="auto" w:fill="auto"/>
          </w:tcPr>
          <w:p w:rsidR="00DA3A70" w:rsidRPr="0019074F" w:rsidP="006F6381">
            <w:pPr>
              <w:autoSpaceDE w:val="0"/>
              <w:autoSpaceDN w:val="0"/>
              <w:adjustRightInd w:val="0"/>
              <w:spacing w:after="0" w:line="240" w:lineRule="auto"/>
              <w:jc w:val="both"/>
              <w:rPr>
                <w:rFonts w:ascii="Tahoma" w:hAnsi="Tahoma" w:cs="Tahoma"/>
                <w:sz w:val="18"/>
                <w:szCs w:val="18"/>
                <w:lang w:val="en-US"/>
              </w:rPr>
            </w:pPr>
            <w:r w:rsidRPr="0019074F">
              <w:rPr>
                <w:rFonts w:ascii="Tahoma" w:hAnsi="Tahoma"/>
                <w:sz w:val="18"/>
                <w:lang w:val="en-US"/>
              </w:rPr>
              <w:t>p-aminosalicylsyre</w:t>
            </w:r>
          </w:p>
          <w:p w:rsidR="00DA3A70" w:rsidRPr="0019074F" w:rsidP="006F6381">
            <w:pPr>
              <w:autoSpaceDE w:val="0"/>
              <w:autoSpaceDN w:val="0"/>
              <w:adjustRightInd w:val="0"/>
              <w:spacing w:after="0" w:line="240" w:lineRule="auto"/>
              <w:jc w:val="both"/>
              <w:rPr>
                <w:rFonts w:ascii="Tahoma" w:hAnsi="Tahoma" w:cs="Tahoma"/>
                <w:sz w:val="18"/>
                <w:szCs w:val="18"/>
                <w:lang w:val="en-US"/>
              </w:rPr>
            </w:pPr>
            <w:r w:rsidRPr="0019074F">
              <w:rPr>
                <w:rFonts w:ascii="Tahoma" w:hAnsi="Tahoma"/>
                <w:sz w:val="18"/>
                <w:lang w:val="en-US"/>
              </w:rPr>
              <w:t>Imipenem-cilastatin</w:t>
            </w:r>
          </w:p>
          <w:p w:rsidR="00DA3A70" w:rsidRPr="0019074F" w:rsidP="006F6381">
            <w:pPr>
              <w:autoSpaceDE w:val="0"/>
              <w:autoSpaceDN w:val="0"/>
              <w:adjustRightInd w:val="0"/>
              <w:spacing w:after="0" w:line="240" w:lineRule="auto"/>
              <w:jc w:val="both"/>
              <w:rPr>
                <w:rFonts w:ascii="Tahoma" w:hAnsi="Tahoma" w:cs="Tahoma"/>
                <w:sz w:val="18"/>
                <w:szCs w:val="18"/>
                <w:lang w:val="en-US"/>
              </w:rPr>
            </w:pPr>
            <w:r w:rsidRPr="0019074F">
              <w:rPr>
                <w:rFonts w:ascii="Tahoma" w:hAnsi="Tahoma"/>
                <w:sz w:val="18"/>
                <w:lang w:val="en-US"/>
              </w:rPr>
              <w:t>Meropenem</w:t>
            </w:r>
          </w:p>
          <w:p w:rsidR="00DA3A70" w:rsidRPr="0019074F" w:rsidP="006F6381">
            <w:pPr>
              <w:autoSpaceDE w:val="0"/>
              <w:autoSpaceDN w:val="0"/>
              <w:adjustRightInd w:val="0"/>
              <w:spacing w:after="0" w:line="240" w:lineRule="auto"/>
              <w:jc w:val="both"/>
              <w:rPr>
                <w:rFonts w:ascii="Tahoma" w:hAnsi="Tahoma" w:cs="Tahoma"/>
                <w:sz w:val="18"/>
                <w:szCs w:val="18"/>
                <w:lang w:val="en-US"/>
              </w:rPr>
            </w:pPr>
            <w:r w:rsidRPr="0019074F">
              <w:rPr>
                <w:rFonts w:ascii="Tahoma" w:hAnsi="Tahoma"/>
                <w:sz w:val="18"/>
                <w:lang w:val="en-US"/>
              </w:rPr>
              <w:t>Amoxicillin-clavulanat</w:t>
            </w:r>
          </w:p>
          <w:p w:rsidR="00DA3A70" w:rsidRPr="009B3B4D" w:rsidP="006F6381">
            <w:pPr>
              <w:autoSpaceDE w:val="0"/>
              <w:autoSpaceDN w:val="0"/>
              <w:adjustRightInd w:val="0"/>
              <w:spacing w:after="0" w:line="240" w:lineRule="auto"/>
              <w:jc w:val="both"/>
              <w:rPr>
                <w:rFonts w:ascii="Tahoma" w:hAnsi="Tahoma" w:cs="Tahoma"/>
                <w:sz w:val="18"/>
                <w:szCs w:val="18"/>
              </w:rPr>
            </w:pPr>
            <w:r w:rsidRPr="009B3B4D">
              <w:rPr>
                <w:rFonts w:ascii="Tahoma" w:hAnsi="Tahoma"/>
                <w:sz w:val="18"/>
              </w:rPr>
              <w:t>(Thioacetazon)</w:t>
            </w:r>
          </w:p>
        </w:tc>
        <w:tc>
          <w:tcPr>
            <w:tcW w:w="2835" w:type="dxa"/>
            <w:shd w:val="clear" w:color="auto" w:fill="auto"/>
          </w:tcPr>
          <w:p w:rsidR="00DA3A70" w:rsidRPr="00E2211A" w:rsidP="006F6381">
            <w:pPr>
              <w:autoSpaceDE w:val="0"/>
              <w:autoSpaceDN w:val="0"/>
              <w:adjustRightInd w:val="0"/>
              <w:spacing w:after="0" w:line="240" w:lineRule="auto"/>
              <w:jc w:val="both"/>
              <w:rPr>
                <w:rFonts w:ascii="Tahoma" w:hAnsi="Tahoma" w:cs="Tahoma"/>
                <w:sz w:val="18"/>
                <w:szCs w:val="18"/>
                <w:lang w:val="fr-FR"/>
              </w:rPr>
            </w:pPr>
            <w:r w:rsidRPr="00E2211A">
              <w:rPr>
                <w:rFonts w:ascii="Tahoma" w:hAnsi="Tahoma"/>
                <w:sz w:val="18"/>
                <w:lang w:val="fr-FR"/>
              </w:rPr>
              <w:t>PAS</w:t>
            </w:r>
          </w:p>
          <w:p w:rsidR="00DA3A70" w:rsidRPr="00E2211A" w:rsidP="006F6381">
            <w:pPr>
              <w:autoSpaceDE w:val="0"/>
              <w:autoSpaceDN w:val="0"/>
              <w:adjustRightInd w:val="0"/>
              <w:spacing w:after="0" w:line="240" w:lineRule="auto"/>
              <w:jc w:val="both"/>
              <w:rPr>
                <w:rFonts w:ascii="Tahoma" w:hAnsi="Tahoma" w:cs="Tahoma"/>
                <w:sz w:val="18"/>
                <w:szCs w:val="18"/>
                <w:lang w:val="fr-FR"/>
              </w:rPr>
            </w:pPr>
            <w:r w:rsidRPr="00E2211A">
              <w:rPr>
                <w:rFonts w:ascii="Tahoma" w:hAnsi="Tahoma"/>
                <w:sz w:val="18"/>
                <w:lang w:val="fr-FR"/>
              </w:rPr>
              <w:t>Ipm</w:t>
            </w:r>
          </w:p>
          <w:p w:rsidR="00DA3A70" w:rsidRPr="00E2211A" w:rsidP="006F6381">
            <w:pPr>
              <w:autoSpaceDE w:val="0"/>
              <w:autoSpaceDN w:val="0"/>
              <w:adjustRightInd w:val="0"/>
              <w:spacing w:after="0" w:line="240" w:lineRule="auto"/>
              <w:jc w:val="both"/>
              <w:rPr>
                <w:rFonts w:ascii="Tahoma" w:hAnsi="Tahoma" w:cs="Tahoma"/>
                <w:sz w:val="18"/>
                <w:szCs w:val="18"/>
                <w:lang w:val="fr-FR"/>
              </w:rPr>
            </w:pPr>
            <w:r w:rsidRPr="00E2211A">
              <w:rPr>
                <w:rFonts w:ascii="Tahoma" w:hAnsi="Tahoma"/>
                <w:sz w:val="18"/>
                <w:lang w:val="fr-FR"/>
              </w:rPr>
              <w:t>Mpm</w:t>
            </w:r>
          </w:p>
          <w:p w:rsidR="00DA3A70" w:rsidRPr="00E2211A" w:rsidP="006F6381">
            <w:pPr>
              <w:autoSpaceDE w:val="0"/>
              <w:autoSpaceDN w:val="0"/>
              <w:adjustRightInd w:val="0"/>
              <w:spacing w:after="0" w:line="240" w:lineRule="auto"/>
              <w:jc w:val="both"/>
              <w:rPr>
                <w:rFonts w:ascii="Tahoma" w:hAnsi="Tahoma" w:cs="Tahoma"/>
                <w:sz w:val="18"/>
                <w:szCs w:val="18"/>
                <w:lang w:val="fr-FR"/>
              </w:rPr>
            </w:pPr>
            <w:r w:rsidRPr="00E2211A">
              <w:rPr>
                <w:rFonts w:ascii="Tahoma" w:hAnsi="Tahoma"/>
                <w:sz w:val="18"/>
                <w:lang w:val="fr-FR"/>
              </w:rPr>
              <w:t>Amx-clv</w:t>
            </w:r>
          </w:p>
          <w:p w:rsidR="00DA3A70" w:rsidRPr="00E2211A" w:rsidP="006F6381">
            <w:pPr>
              <w:autoSpaceDE w:val="0"/>
              <w:autoSpaceDN w:val="0"/>
              <w:adjustRightInd w:val="0"/>
              <w:spacing w:after="0" w:line="240" w:lineRule="auto"/>
              <w:jc w:val="both"/>
              <w:rPr>
                <w:rFonts w:ascii="Tahoma" w:hAnsi="Tahoma" w:cs="Tahoma"/>
                <w:sz w:val="18"/>
                <w:szCs w:val="18"/>
                <w:lang w:val="fr-FR"/>
              </w:rPr>
            </w:pPr>
            <w:r w:rsidRPr="00E2211A">
              <w:rPr>
                <w:rFonts w:ascii="Tahoma" w:hAnsi="Tahoma"/>
                <w:sz w:val="18"/>
                <w:lang w:val="fr-FR"/>
              </w:rPr>
              <w:t>(T)</w:t>
            </w:r>
          </w:p>
        </w:tc>
      </w:tr>
    </w:tbl>
    <w:p w:rsidR="00DA3A70" w:rsidRPr="00E2211A" w:rsidP="00DB519A">
      <w:pPr>
        <w:autoSpaceDE w:val="0"/>
        <w:autoSpaceDN w:val="0"/>
        <w:adjustRightInd w:val="0"/>
        <w:spacing w:after="0"/>
        <w:jc w:val="both"/>
        <w:rPr>
          <w:rFonts w:ascii="Tahoma" w:hAnsi="Tahoma" w:cs="Tahoma"/>
          <w:szCs w:val="24"/>
          <w:lang w:val="fr-FR"/>
        </w:rPr>
      </w:pPr>
    </w:p>
    <w:p w:rsidR="00DA3A70" w:rsidRPr="009B3B4D" w:rsidP="00DB519A">
      <w:pPr>
        <w:shd w:val="clear" w:color="auto" w:fill="D9D9D9"/>
        <w:autoSpaceDE w:val="0"/>
        <w:autoSpaceDN w:val="0"/>
        <w:adjustRightInd w:val="0"/>
        <w:spacing w:after="0"/>
        <w:jc w:val="both"/>
        <w:rPr>
          <w:rFonts w:ascii="Tahoma" w:hAnsi="Tahoma" w:cs="Tahoma"/>
          <w:b/>
          <w:bCs/>
          <w:sz w:val="24"/>
          <w:szCs w:val="24"/>
        </w:rPr>
      </w:pPr>
      <w:r w:rsidRPr="009B3B4D">
        <w:rPr>
          <w:rFonts w:ascii="Tahoma" w:hAnsi="Tahoma"/>
          <w:b/>
          <w:sz w:val="24"/>
          <w:shd w:val="clear" w:color="auto" w:fill="D9D9D9"/>
        </w:rPr>
        <w:t>Standard 13</w:t>
      </w:r>
    </w:p>
    <w:p w:rsidR="00DA3A70" w:rsidRPr="009B3B4D" w:rsidP="0028467E">
      <w:pPr>
        <w:spacing w:after="120"/>
        <w:rPr>
          <w:rFonts w:ascii="Tahoma" w:hAnsi="Tahoma" w:cs="Tahoma"/>
          <w:sz w:val="18"/>
          <w:szCs w:val="18"/>
        </w:rPr>
      </w:pPr>
      <w:r w:rsidRPr="009B3B4D">
        <w:rPr>
          <w:rFonts w:ascii="Tahoma" w:hAnsi="Tahoma"/>
          <w:sz w:val="18"/>
        </w:rPr>
        <w:t xml:space="preserve">For alle patienter bør der føres en skriftlig eller elektronisk journal over alle administrerede lægemidler, behandlingsovervågningen (herunder overvågning af bakteriologisk respons), bivirkninger og behandlingsresultater. </w:t>
      </w:r>
    </w:p>
    <w:p w:rsidR="00835340" w:rsidRPr="009B3B4D" w:rsidP="000D0DB0">
      <w:pPr>
        <w:pStyle w:val="EC-Title-6"/>
        <w:rPr>
          <w:sz w:val="18"/>
          <w:szCs w:val="18"/>
        </w:rPr>
      </w:pPr>
      <w:r w:rsidRPr="009B3B4D">
        <w:t>EU-specifikke krav</w:t>
      </w:r>
    </w:p>
    <w:p w:rsidR="00DA3A70" w:rsidRPr="009B3B4D" w:rsidP="00604B0D">
      <w:pPr>
        <w:widowControl w:val="0"/>
        <w:spacing w:after="0"/>
        <w:jc w:val="both"/>
        <w:rPr>
          <w:rFonts w:ascii="Tahoma" w:hAnsi="Tahoma" w:cs="Tahoma"/>
          <w:sz w:val="18"/>
          <w:szCs w:val="18"/>
        </w:rPr>
      </w:pPr>
      <w:r w:rsidRPr="009B3B4D">
        <w:rPr>
          <w:rFonts w:ascii="Tahoma" w:hAnsi="Tahoma"/>
          <w:sz w:val="18"/>
        </w:rPr>
        <w:t>Ved første kontakt med den enkelte patient bør komplet klinisk og social anamnese vedrørende tuberkulose klarlægges og registreres i journalen. Journalen bør indeholde alle tilgængelige oplysninger om tidligere diagnose, behandling (regi</w:t>
      </w:r>
      <w:r w:rsidRPr="009B3B4D">
        <w:rPr>
          <w:rFonts w:ascii="Tahoma" w:hAnsi="Tahoma"/>
          <w:sz w:val="18"/>
        </w:rPr>
        <w:t>me, doser, varighed, regimeændringer osv.) og komplians samt alle relevante oplysninger om bakteriologi på diagnosetidspunktet og under opfølgningen (</w:t>
      </w:r>
      <w:r w:rsidRPr="009B3B4D">
        <w:rPr>
          <w:rFonts w:ascii="Tahoma" w:hAnsi="Tahoma"/>
          <w:sz w:val="18"/>
        </w:rPr>
        <w:t>sputum-smear</w:t>
      </w:r>
      <w:r w:rsidRPr="009B3B4D">
        <w:rPr>
          <w:rFonts w:ascii="Tahoma" w:hAnsi="Tahoma"/>
          <w:sz w:val="18"/>
        </w:rPr>
        <w:t xml:space="preserve">, </w:t>
      </w:r>
      <w:r w:rsidR="00EB7D91">
        <w:rPr>
          <w:rFonts w:ascii="Tahoma" w:hAnsi="Tahoma"/>
          <w:sz w:val="18"/>
        </w:rPr>
        <w:t>dyrkning</w:t>
      </w:r>
      <w:r w:rsidRPr="009B3B4D">
        <w:rPr>
          <w:rFonts w:ascii="Tahoma" w:hAnsi="Tahoma"/>
          <w:sz w:val="18"/>
        </w:rPr>
        <w:t xml:space="preserve"> og artsbestemmelse samt lægemiddelfølsomhedstest for første- og </w:t>
      </w:r>
      <w:r w:rsidR="00EB7D91">
        <w:rPr>
          <w:rFonts w:ascii="Tahoma" w:hAnsi="Tahoma"/>
          <w:sz w:val="18"/>
        </w:rPr>
        <w:t>andenvalgsmidler</w:t>
      </w:r>
      <w:r w:rsidRPr="009B3B4D">
        <w:rPr>
          <w:rFonts w:ascii="Tahoma" w:hAnsi="Tahoma"/>
          <w:sz w:val="18"/>
        </w:rPr>
        <w:t>). Disse oplysninger skal fremgå af den dokumentation, der udleveres til patienten (udskriv</w:t>
      </w:r>
      <w:r w:rsidR="00EB7D91">
        <w:rPr>
          <w:rFonts w:ascii="Tahoma" w:hAnsi="Tahoma"/>
          <w:sz w:val="18"/>
        </w:rPr>
        <w:t>ning</w:t>
      </w:r>
      <w:r w:rsidRPr="009B3B4D">
        <w:rPr>
          <w:rFonts w:ascii="Tahoma" w:hAnsi="Tahoma"/>
          <w:sz w:val="18"/>
        </w:rPr>
        <w:t>sbrev, overflytningsblanket eller lign.) for at sikre et sammenhængende behandlingsforløb, hvis patienten flytter/flyttes til</w:t>
      </w:r>
      <w:r w:rsidRPr="009B3B4D">
        <w:rPr>
          <w:rFonts w:ascii="Tahoma" w:hAnsi="Tahoma"/>
          <w:sz w:val="18"/>
        </w:rPr>
        <w:t xml:space="preserve"> en anden afdeling [32, 33].</w:t>
      </w:r>
    </w:p>
    <w:p w:rsidR="00D830C5" w:rsidRPr="009B3B4D" w:rsidP="000D0DB0">
      <w:pPr>
        <w:pStyle w:val="EC-Title-5"/>
        <w:spacing w:before="120"/>
      </w:pPr>
      <w:r w:rsidRPr="009B3B4D">
        <w:t xml:space="preserve">Standarder for håndtering af hivinfektion og komorbiditeter </w:t>
      </w:r>
    </w:p>
    <w:p w:rsidR="00DA3A70" w:rsidRPr="009B3B4D" w:rsidP="00DB519A">
      <w:pPr>
        <w:shd w:val="clear" w:color="auto" w:fill="D9D9D9"/>
        <w:autoSpaceDE w:val="0"/>
        <w:autoSpaceDN w:val="0"/>
        <w:adjustRightInd w:val="0"/>
        <w:spacing w:after="0"/>
        <w:jc w:val="both"/>
        <w:rPr>
          <w:rFonts w:ascii="Tahoma" w:hAnsi="Tahoma" w:cs="Tahoma"/>
          <w:b/>
          <w:bCs/>
          <w:i/>
          <w:sz w:val="24"/>
          <w:szCs w:val="24"/>
        </w:rPr>
      </w:pPr>
      <w:r w:rsidRPr="009B3B4D">
        <w:rPr>
          <w:rFonts w:ascii="Tahoma" w:hAnsi="Tahoma"/>
          <w:b/>
          <w:sz w:val="24"/>
          <w:shd w:val="clear" w:color="auto" w:fill="D9D9D9"/>
        </w:rPr>
        <w:t>Standard 14</w:t>
      </w:r>
    </w:p>
    <w:p w:rsidR="00DA3A70" w:rsidRPr="009B3B4D" w:rsidP="0028467E">
      <w:pPr>
        <w:spacing w:after="120"/>
        <w:rPr>
          <w:rFonts w:ascii="Tahoma" w:hAnsi="Tahoma" w:cs="Tahoma"/>
          <w:sz w:val="18"/>
          <w:szCs w:val="18"/>
        </w:rPr>
      </w:pPr>
      <w:r w:rsidRPr="009B3B4D">
        <w:rPr>
          <w:rFonts w:ascii="Tahoma" w:hAnsi="Tahoma"/>
          <w:sz w:val="18"/>
        </w:rPr>
        <w:t xml:space="preserve">Alle patienter, der har eller formodes at have tuberkulose, bør have hivvejledning og bør anbefales at få foretaget en hivtest. Det er særligt vigtigt at </w:t>
      </w:r>
      <w:r w:rsidRPr="009B3B4D">
        <w:rPr>
          <w:rFonts w:ascii="Tahoma" w:hAnsi="Tahoma"/>
          <w:sz w:val="18"/>
        </w:rPr>
        <w:t>foretage test som led i rutinebehandlingen af alle patienter i områder med høj forekomst af hivinfektion hos populationen generelt. Det samme gælder, hvis patienten tilhører en højrisikopopulation eller har symptomer og/eller tegn på hivrelaterede tilstand</w:t>
      </w:r>
      <w:r w:rsidRPr="009B3B4D">
        <w:rPr>
          <w:rFonts w:ascii="Tahoma" w:hAnsi="Tahoma"/>
          <w:sz w:val="18"/>
        </w:rPr>
        <w:t>e. På grund af den tætte interaktion mellem tuberkulose og hivinfektion anbefales en integreret tilgang til forebyggelse og behandling af de to infektioner [34].</w:t>
      </w:r>
    </w:p>
    <w:p w:rsidR="00DA3A70" w:rsidRPr="009B3B4D" w:rsidP="00DB519A">
      <w:pPr>
        <w:shd w:val="clear" w:color="auto" w:fill="D9D9D9"/>
        <w:autoSpaceDE w:val="0"/>
        <w:autoSpaceDN w:val="0"/>
        <w:adjustRightInd w:val="0"/>
        <w:spacing w:after="0"/>
        <w:jc w:val="both"/>
        <w:rPr>
          <w:rFonts w:ascii="Tahoma" w:hAnsi="Tahoma" w:cs="Tahoma"/>
          <w:b/>
          <w:bCs/>
          <w:sz w:val="24"/>
          <w:szCs w:val="24"/>
        </w:rPr>
      </w:pPr>
      <w:r w:rsidRPr="009B3B4D">
        <w:rPr>
          <w:rFonts w:ascii="Tahoma" w:hAnsi="Tahoma"/>
          <w:b/>
          <w:sz w:val="24"/>
          <w:shd w:val="clear" w:color="auto" w:fill="D9D9D9"/>
        </w:rPr>
        <w:t>Standard 15</w:t>
      </w:r>
    </w:p>
    <w:p w:rsidR="00DA3A70" w:rsidRPr="009B3B4D" w:rsidP="0028467E">
      <w:pPr>
        <w:spacing w:after="120"/>
        <w:rPr>
          <w:rFonts w:ascii="Tahoma" w:hAnsi="Tahoma" w:cs="Tahoma"/>
          <w:sz w:val="18"/>
          <w:szCs w:val="18"/>
        </w:rPr>
      </w:pPr>
      <w:r w:rsidRPr="009B3B4D">
        <w:rPr>
          <w:rFonts w:ascii="Tahoma" w:hAnsi="Tahoma"/>
          <w:sz w:val="18"/>
        </w:rPr>
        <w:t>Alle patienter med tuberkulose og hivinfektion bør vurderes omhyggeligt; antiretro</w:t>
      </w:r>
      <w:r w:rsidRPr="009B3B4D">
        <w:rPr>
          <w:rFonts w:ascii="Tahoma" w:hAnsi="Tahoma"/>
          <w:sz w:val="18"/>
        </w:rPr>
        <w:t xml:space="preserve">viral behandling anbefales hos alle hivpositive tuberkulosepatienter. Tuberkulosebehandling bør påbegyndes med det samme, og antiretroviral behandling bør ordineres så hurtigt som muligt. </w:t>
      </w:r>
    </w:p>
    <w:p w:rsidR="00DA3A70" w:rsidRPr="009B3B4D" w:rsidP="00DB519A">
      <w:pPr>
        <w:shd w:val="clear" w:color="auto" w:fill="D9D9D9"/>
        <w:autoSpaceDE w:val="0"/>
        <w:autoSpaceDN w:val="0"/>
        <w:adjustRightInd w:val="0"/>
        <w:spacing w:after="0"/>
        <w:jc w:val="both"/>
        <w:rPr>
          <w:rFonts w:ascii="Tahoma" w:hAnsi="Tahoma" w:cs="Tahoma"/>
          <w:i/>
          <w:sz w:val="24"/>
          <w:szCs w:val="24"/>
          <w:shd w:val="clear" w:color="auto" w:fill="D9D9D9"/>
        </w:rPr>
      </w:pPr>
      <w:r w:rsidRPr="009B3B4D">
        <w:rPr>
          <w:rFonts w:ascii="Tahoma" w:hAnsi="Tahoma"/>
          <w:b/>
          <w:sz w:val="24"/>
          <w:shd w:val="clear" w:color="auto" w:fill="D9D9D9"/>
        </w:rPr>
        <w:t>Standard 16</w:t>
      </w:r>
    </w:p>
    <w:p w:rsidR="00DA3A70" w:rsidRPr="009B3B4D" w:rsidP="0028467E">
      <w:pPr>
        <w:spacing w:after="120"/>
        <w:rPr>
          <w:rFonts w:ascii="Tahoma" w:hAnsi="Tahoma" w:cs="Tahoma"/>
          <w:sz w:val="18"/>
          <w:szCs w:val="18"/>
        </w:rPr>
      </w:pPr>
      <w:r w:rsidRPr="009B3B4D">
        <w:rPr>
          <w:rFonts w:ascii="Tahoma" w:hAnsi="Tahoma"/>
          <w:sz w:val="18"/>
        </w:rPr>
        <w:t xml:space="preserve">Personer med samtidig hivinfektion, der efter omhyggelig vurdering (TST og/eller IGRA) testes positive for formodet latent </w:t>
      </w:r>
      <w:r w:rsidRPr="009B3B4D">
        <w:rPr>
          <w:rFonts w:ascii="Tahoma" w:hAnsi="Tahoma"/>
          <w:i/>
          <w:sz w:val="18"/>
        </w:rPr>
        <w:t>M. tuberculosis</w:t>
      </w:r>
      <w:r w:rsidRPr="009B3B4D">
        <w:rPr>
          <w:rFonts w:ascii="Tahoma" w:hAnsi="Tahoma"/>
          <w:sz w:val="18"/>
        </w:rPr>
        <w:t>-infektion, men som ikke har aktiv tuberkulose, bør tilbydes forebyggende behandling.</w:t>
      </w:r>
    </w:p>
    <w:p w:rsidR="00835340" w:rsidRPr="009B3B4D" w:rsidP="0002066E">
      <w:pPr>
        <w:pStyle w:val="EC-Title-6"/>
        <w:pageBreakBefore/>
        <w:rPr>
          <w:sz w:val="18"/>
          <w:szCs w:val="18"/>
        </w:rPr>
      </w:pPr>
      <w:r w:rsidRPr="009B3B4D">
        <w:t>EU-specifikke krav</w:t>
      </w:r>
    </w:p>
    <w:p w:rsidR="00DA3A70" w:rsidRPr="009B3B4D" w:rsidP="000D0DB0">
      <w:pPr>
        <w:rPr>
          <w:rFonts w:ascii="Tahoma" w:hAnsi="Tahoma" w:cs="Tahoma"/>
          <w:sz w:val="18"/>
          <w:szCs w:val="18"/>
        </w:rPr>
      </w:pPr>
      <w:r w:rsidRPr="009B3B4D">
        <w:rPr>
          <w:rFonts w:ascii="Tahoma" w:hAnsi="Tahoma"/>
          <w:sz w:val="18"/>
        </w:rPr>
        <w:t>Da samtidig h</w:t>
      </w:r>
      <w:r w:rsidRPr="009B3B4D">
        <w:rPr>
          <w:rFonts w:ascii="Tahoma" w:hAnsi="Tahoma"/>
          <w:sz w:val="18"/>
        </w:rPr>
        <w:t>ivinfektion øger en persons risiko for at udvikle aktiv tuberkulosesygdom, hvis vedkommende smittes, bør hivseropositive personer, der har været i kontakt med et indekstilfælde, som er smittet med en MDR TB-stamme, først underkastes en individuel risikovur</w:t>
      </w:r>
      <w:r w:rsidRPr="009B3B4D">
        <w:rPr>
          <w:rFonts w:ascii="Tahoma" w:hAnsi="Tahoma"/>
          <w:sz w:val="18"/>
        </w:rPr>
        <w:t>dering. Der bør sikres regelmæssig klinisk overvågning og opfølgning af personer med påvist latent infektion [35].</w:t>
      </w:r>
    </w:p>
    <w:p w:rsidR="00DA3A70" w:rsidRPr="009B3B4D" w:rsidP="0028467E">
      <w:pPr>
        <w:spacing w:after="120"/>
        <w:rPr>
          <w:rFonts w:ascii="Tahoma" w:hAnsi="Tahoma" w:cs="Tahoma"/>
          <w:sz w:val="18"/>
          <w:szCs w:val="18"/>
        </w:rPr>
      </w:pPr>
      <w:r w:rsidRPr="009B3B4D">
        <w:rPr>
          <w:rFonts w:ascii="Tahoma" w:hAnsi="Tahoma"/>
          <w:sz w:val="18"/>
        </w:rPr>
        <w:t>Ved forebyggende behandling bør der tages hensyn til smittekildens lægemiddelresistensmønster, CD4-tallet og brugen af antiretroviral behandl</w:t>
      </w:r>
      <w:r w:rsidRPr="009B3B4D">
        <w:rPr>
          <w:rFonts w:ascii="Tahoma" w:hAnsi="Tahoma"/>
          <w:sz w:val="18"/>
        </w:rPr>
        <w:t>ing. Forebyggende behandling bør omfatte 6 måneder med isoniazid eller 9 måneder med isoniazid eller et 3-måneders regime med ugentlig rifapentin plus isoniazid eller 3-4 måneder med isoniazid plus rifampicin eller 3-4 måneder med rifampicin alene [36, 37]</w:t>
      </w:r>
      <w:r w:rsidRPr="009B3B4D">
        <w:rPr>
          <w:rFonts w:ascii="Tahoma" w:hAnsi="Tahoma"/>
          <w:sz w:val="18"/>
        </w:rPr>
        <w:t>. På grund af potentielle lægemiddelinteraktioner bør rifampicin- og rifapentin-holdige regimer ordineres med forsigtighed til hivpositive personer, der er i antiretroviral behandling [36, 38].</w:t>
      </w:r>
    </w:p>
    <w:p w:rsidR="00DA3A70" w:rsidRPr="009B3B4D" w:rsidP="00DB519A">
      <w:pPr>
        <w:shd w:val="clear" w:color="auto" w:fill="D9D9D9"/>
        <w:autoSpaceDE w:val="0"/>
        <w:autoSpaceDN w:val="0"/>
        <w:adjustRightInd w:val="0"/>
        <w:spacing w:after="0"/>
        <w:jc w:val="both"/>
        <w:rPr>
          <w:rFonts w:ascii="Tahoma" w:hAnsi="Tahoma" w:cs="Tahoma"/>
          <w:sz w:val="24"/>
          <w:szCs w:val="24"/>
        </w:rPr>
      </w:pPr>
      <w:r w:rsidRPr="009B3B4D">
        <w:rPr>
          <w:rFonts w:ascii="Tahoma" w:hAnsi="Tahoma"/>
          <w:b/>
          <w:sz w:val="24"/>
        </w:rPr>
        <w:t>Standard 17</w:t>
      </w:r>
    </w:p>
    <w:p w:rsidR="00DA3A70" w:rsidRPr="009B3B4D" w:rsidP="0028467E">
      <w:pPr>
        <w:spacing w:after="120"/>
        <w:rPr>
          <w:rFonts w:ascii="Tahoma" w:hAnsi="Tahoma" w:cs="Tahoma"/>
          <w:sz w:val="18"/>
          <w:szCs w:val="18"/>
        </w:rPr>
      </w:pPr>
      <w:r w:rsidRPr="009B3B4D">
        <w:rPr>
          <w:rFonts w:ascii="Tahoma" w:hAnsi="Tahoma"/>
          <w:sz w:val="18"/>
        </w:rPr>
        <w:t>Alle sundhedspersoner bør foretage en grundig vurd</w:t>
      </w:r>
      <w:r w:rsidRPr="009B3B4D">
        <w:rPr>
          <w:rFonts w:ascii="Tahoma" w:hAnsi="Tahoma"/>
          <w:sz w:val="18"/>
        </w:rPr>
        <w:t>ering af tilstande, der kan påvirke responset på eller resultatet af tuberkulosebehandling. Ved planlægning af patientens behandling bør lægen identificere yderligere tiltag, der kan understøtte et optimalt resultat for den enkelte patient, og indarbejde d</w:t>
      </w:r>
      <w:r w:rsidRPr="009B3B4D">
        <w:rPr>
          <w:rFonts w:ascii="Tahoma" w:hAnsi="Tahoma"/>
          <w:sz w:val="18"/>
        </w:rPr>
        <w:t>isse tiltag i en individuel behandlingsplan. Den individuelle behandlingsplan bør omfatte vurdering af andre sygdomme og behandlingshenvisninger for disse med særligt fokus på tilstande, der kan påvirke behandlingsresultatet, f.eks. hiv, diabetes mellitus,</w:t>
      </w:r>
      <w:r w:rsidRPr="009B3B4D">
        <w:rPr>
          <w:rFonts w:ascii="Tahoma" w:hAnsi="Tahoma"/>
          <w:sz w:val="18"/>
        </w:rPr>
        <w:t xml:space="preserve"> stof- og alkoholafhængighed, rygning og andre psykosociale problemer [39]. Støtte ved graviditet og støtte til barnepleje bør også sikres ved behov.</w:t>
      </w:r>
    </w:p>
    <w:p w:rsidR="00835340" w:rsidRPr="009B3B4D" w:rsidP="000D0DB0">
      <w:pPr>
        <w:pStyle w:val="EC-Title-6"/>
      </w:pPr>
      <w:r w:rsidRPr="009B3B4D">
        <w:t>EU-specifikke krav</w:t>
      </w:r>
    </w:p>
    <w:p w:rsidR="00DA3A70" w:rsidRPr="009B3B4D" w:rsidP="0028467E">
      <w:pPr>
        <w:spacing w:after="120"/>
        <w:rPr>
          <w:rFonts w:ascii="Tahoma" w:hAnsi="Tahoma" w:cs="Tahoma"/>
          <w:sz w:val="18"/>
          <w:szCs w:val="18"/>
        </w:rPr>
      </w:pPr>
      <w:r w:rsidRPr="009B3B4D">
        <w:rPr>
          <w:rFonts w:ascii="Tahoma" w:hAnsi="Tahoma"/>
          <w:sz w:val="18"/>
        </w:rPr>
        <w:t>Alle aktiviteterne i den WHO-pakke, der er beskrevet i WHO's foreløbige politik for sam</w:t>
      </w:r>
      <w:r w:rsidRPr="009B3B4D">
        <w:rPr>
          <w:rFonts w:ascii="Tahoma" w:hAnsi="Tahoma"/>
          <w:sz w:val="18"/>
        </w:rPr>
        <w:t>arbejde vedrørende TB/hiv (Interim Policy on Collaborative TB/HIV), bør gennemføres — både dem, der omtales her, og dem, der ikke gør [34].</w:t>
      </w:r>
    </w:p>
    <w:p w:rsidR="00DA3A70" w:rsidRPr="009B3B4D" w:rsidP="0028467E">
      <w:pPr>
        <w:pStyle w:val="EC-Title-5"/>
        <w:spacing w:before="120"/>
        <w:rPr>
          <w:b w:val="0"/>
          <w:sz w:val="24"/>
          <w:szCs w:val="24"/>
        </w:rPr>
      </w:pPr>
      <w:r w:rsidRPr="009B3B4D">
        <w:t>Standarder for folkesundhed og forebyggelse af tuberkulose</w:t>
      </w:r>
    </w:p>
    <w:p w:rsidR="00DA3A70" w:rsidRPr="009B3B4D" w:rsidP="00DB519A">
      <w:pPr>
        <w:shd w:val="clear" w:color="auto" w:fill="D9D9D9"/>
        <w:autoSpaceDE w:val="0"/>
        <w:autoSpaceDN w:val="0"/>
        <w:adjustRightInd w:val="0"/>
        <w:spacing w:after="0"/>
        <w:jc w:val="both"/>
        <w:rPr>
          <w:rFonts w:ascii="Tahoma" w:hAnsi="Tahoma" w:cs="Tahoma"/>
          <w:sz w:val="24"/>
          <w:szCs w:val="24"/>
        </w:rPr>
      </w:pPr>
      <w:r w:rsidRPr="009B3B4D">
        <w:rPr>
          <w:rFonts w:ascii="Tahoma" w:hAnsi="Tahoma"/>
          <w:b/>
          <w:sz w:val="24"/>
        </w:rPr>
        <w:t>Standard 18</w:t>
      </w:r>
    </w:p>
    <w:p w:rsidR="00DA3A70" w:rsidRPr="009B3B4D" w:rsidP="0028467E">
      <w:pPr>
        <w:spacing w:after="120"/>
        <w:rPr>
          <w:rFonts w:ascii="Tahoma" w:hAnsi="Tahoma" w:cs="Tahoma"/>
          <w:sz w:val="18"/>
          <w:szCs w:val="18"/>
        </w:rPr>
      </w:pPr>
      <w:r w:rsidRPr="009B3B4D">
        <w:rPr>
          <w:rFonts w:ascii="Tahoma" w:hAnsi="Tahoma"/>
          <w:sz w:val="18"/>
        </w:rPr>
        <w:t xml:space="preserve">Alle sundhedspersoner, der behandler </w:t>
      </w:r>
      <w:r w:rsidRPr="009B3B4D">
        <w:rPr>
          <w:rFonts w:ascii="Tahoma" w:hAnsi="Tahoma"/>
          <w:sz w:val="18"/>
        </w:rPr>
        <w:t xml:space="preserve">patienter med tuberkulose, bør sikre, at personer, der har været i tæt kontakt med patienter, som har aktiv og smittefarlig tuberkulose, vurderes og behandles i overensstemmelse med internationale anbefalinger. Med tæt kontakt menes kontakt med husstands- </w:t>
      </w:r>
      <w:r w:rsidRPr="009B3B4D">
        <w:rPr>
          <w:rFonts w:ascii="Tahoma" w:hAnsi="Tahoma"/>
          <w:sz w:val="18"/>
        </w:rPr>
        <w:t>og familiemedlemmer, intensiv eller længere tids kontakt med individer i fællesmiljøer som fængsler, herberger for hjemløse og indvandrere samt indendørs lokaler som skoler og kontorer.</w:t>
      </w:r>
    </w:p>
    <w:p w:rsidR="00DA3A70" w:rsidRPr="009B3B4D" w:rsidP="0028467E">
      <w:pPr>
        <w:spacing w:after="120"/>
        <w:rPr>
          <w:rFonts w:ascii="Tahoma" w:hAnsi="Tahoma" w:cs="Tahoma"/>
          <w:sz w:val="18"/>
          <w:szCs w:val="18"/>
        </w:rPr>
      </w:pPr>
      <w:r w:rsidRPr="009B3B4D">
        <w:rPr>
          <w:rFonts w:ascii="Tahoma" w:hAnsi="Tahoma"/>
          <w:sz w:val="18"/>
        </w:rPr>
        <w:t>Risikoen for tuberkulosesmitte afhænger af koncentrationen af tuberkel</w:t>
      </w:r>
      <w:r w:rsidRPr="009B3B4D">
        <w:rPr>
          <w:rFonts w:ascii="Tahoma" w:hAnsi="Tahoma"/>
          <w:sz w:val="18"/>
        </w:rPr>
        <w:t>baciller i luften og luftstrømmen, kontaktens varighed og den enkelte persons infektionsfølsomhed. Fastsættelsen af prioriteter for undersøgelse af kontakter er baseret på sandsynligheden for, at en person: 1) har udiagnosticeret og derfor ubehandlet tuber</w:t>
      </w:r>
      <w:r w:rsidRPr="009B3B4D">
        <w:rPr>
          <w:rFonts w:ascii="Tahoma" w:hAnsi="Tahoma"/>
          <w:sz w:val="18"/>
        </w:rPr>
        <w:t>kulose, 2) har høj risiko for at være blevet smittet af indekstilfældet, 3) har høj risiko for at udvikle tuberkulose, hvis han/hun er blevet smittet, 4) har risiko for at få svær tuberkulose, hvis sygdommen udvikler sig.</w:t>
      </w:r>
    </w:p>
    <w:p w:rsidR="00835340" w:rsidRPr="009B3B4D" w:rsidP="00835340">
      <w:pPr>
        <w:pStyle w:val="EC-Title-6"/>
      </w:pPr>
      <w:r w:rsidRPr="009B3B4D">
        <w:t>EU-specifikke krav</w:t>
      </w:r>
    </w:p>
    <w:p w:rsidR="00DA3A70" w:rsidRPr="009B3B4D" w:rsidP="0028467E">
      <w:pPr>
        <w:spacing w:after="120"/>
        <w:rPr>
          <w:rFonts w:ascii="Tahoma" w:hAnsi="Tahoma" w:cs="Tahoma"/>
          <w:sz w:val="18"/>
          <w:szCs w:val="18"/>
        </w:rPr>
      </w:pPr>
      <w:r w:rsidRPr="009B3B4D">
        <w:rPr>
          <w:rFonts w:ascii="Tahoma" w:hAnsi="Tahoma"/>
          <w:sz w:val="18"/>
        </w:rPr>
        <w:t>Determinanterne</w:t>
      </w:r>
      <w:r w:rsidRPr="009B3B4D">
        <w:rPr>
          <w:rFonts w:ascii="Tahoma" w:hAnsi="Tahoma"/>
          <w:sz w:val="18"/>
        </w:rPr>
        <w:t xml:space="preserve"> for tuberkulosesmitte og -følsomhed bør omhyggeligt evalueres, når det vurderes, om en person kan være smittet, og om der er behov for at iværksætte opsporing af kontakter [40]. </w:t>
      </w:r>
    </w:p>
    <w:p w:rsidR="00DA3A70" w:rsidRPr="009B3B4D" w:rsidP="0028467E">
      <w:pPr>
        <w:spacing w:after="120"/>
        <w:rPr>
          <w:rFonts w:ascii="Tahoma" w:hAnsi="Tahoma" w:cs="Tahoma"/>
          <w:sz w:val="18"/>
          <w:szCs w:val="18"/>
        </w:rPr>
      </w:pPr>
      <w:r w:rsidRPr="009B3B4D">
        <w:rPr>
          <w:rFonts w:ascii="Tahoma" w:hAnsi="Tahoma"/>
          <w:sz w:val="18"/>
        </w:rPr>
        <w:t>Tætte kontakter til MDR TB- og XDR TB-patienter bør testes for latent tuberk</w:t>
      </w:r>
      <w:r w:rsidRPr="009B3B4D">
        <w:rPr>
          <w:rFonts w:ascii="Tahoma" w:hAnsi="Tahoma"/>
          <w:sz w:val="18"/>
        </w:rPr>
        <w:t>uloseinfektion (LTBI) og tuberkulose i overensstemmelse med nationale retningslinjer. Kontakter, hos hvem man har udelukket tuberkulosesygdom, og som diagnosticeres med LTBI, bør underkastes individuel risikovurdering for at klarlægge: 1) kontaktens risiko</w:t>
      </w:r>
      <w:r w:rsidRPr="009B3B4D">
        <w:rPr>
          <w:rFonts w:ascii="Tahoma" w:hAnsi="Tahoma"/>
          <w:sz w:val="18"/>
        </w:rPr>
        <w:t xml:space="preserve"> for udvikling af tuberkulosesygdom, 2) lægemiddelfølsomhedsmønsteret hos kildetilfældet, og 3) kontaktens risiko for bivirkninger ved påbegyndelse af LTBI-behandling [36, 38]. Uanset de kliniske råd vedrørende LTBI-behandling bør sundhedspersoner med erfa</w:t>
      </w:r>
      <w:r w:rsidRPr="009B3B4D">
        <w:rPr>
          <w:rFonts w:ascii="Tahoma" w:hAnsi="Tahoma"/>
          <w:sz w:val="18"/>
        </w:rPr>
        <w:t>ring i håndtering af LTBI og tuberkulosesygdom holde disse kontakter under omhyggelig klinisk observation og forklare dem, hvordan de skal forholde sig til deres tilstand [35, 41].</w:t>
      </w:r>
    </w:p>
    <w:p w:rsidR="00DA3A70" w:rsidRPr="009B3B4D" w:rsidP="0028467E">
      <w:pPr>
        <w:spacing w:after="120"/>
        <w:rPr>
          <w:rFonts w:ascii="Tahoma" w:hAnsi="Tahoma" w:cs="Tahoma"/>
          <w:sz w:val="18"/>
          <w:szCs w:val="18"/>
        </w:rPr>
      </w:pPr>
      <w:r w:rsidRPr="009B3B4D">
        <w:rPr>
          <w:rFonts w:ascii="Tahoma" w:hAnsi="Tahoma"/>
          <w:sz w:val="18"/>
        </w:rPr>
        <w:t>Det anbefales at inddrage lokale og kommunale organisationer (herunder komm</w:t>
      </w:r>
      <w:r w:rsidRPr="009B3B4D">
        <w:rPr>
          <w:rFonts w:ascii="Tahoma" w:hAnsi="Tahoma"/>
          <w:sz w:val="18"/>
        </w:rPr>
        <w:t>unale sundhedspersoner, socialarbejdere og lign.) ved opsporing af kontakter i sårbare populationer, der kan være vanskelige at nå. En sådan tilgang kan være med til at sikre identificeringen af potentielle kontakter [42, 43].</w:t>
      </w:r>
    </w:p>
    <w:p w:rsidR="0098145B" w:rsidRPr="009B3B4D" w:rsidP="0028467E">
      <w:pPr>
        <w:spacing w:after="120"/>
        <w:rPr>
          <w:rFonts w:ascii="Tahoma" w:hAnsi="Tahoma" w:cs="Tahoma"/>
          <w:sz w:val="18"/>
          <w:szCs w:val="18"/>
        </w:rPr>
      </w:pPr>
      <w:r w:rsidRPr="009B3B4D">
        <w:rPr>
          <w:rFonts w:ascii="Tahoma" w:hAnsi="Tahoma"/>
          <w:sz w:val="18"/>
        </w:rPr>
        <w:t>Klinikere og nationale programledere skal interagere med de relevante sundhedsmyndigheder i værts- og/eller hjemlandet for tuberkulosepatienter fra indvandrergrupper eller mobile populationer, så et sammenhængende behandlingsforløb og om nødvendigt opspori</w:t>
      </w:r>
      <w:r w:rsidRPr="009B3B4D">
        <w:rPr>
          <w:rFonts w:ascii="Tahoma" w:hAnsi="Tahoma"/>
          <w:sz w:val="18"/>
        </w:rPr>
        <w:t xml:space="preserve">ng af kontakter kan sikres [44]. </w:t>
      </w:r>
    </w:p>
    <w:p w:rsidR="00DA3A70" w:rsidRPr="009B3B4D" w:rsidP="00604B0D">
      <w:pPr>
        <w:shd w:val="clear" w:color="auto" w:fill="D9D9D9"/>
        <w:autoSpaceDE w:val="0"/>
        <w:autoSpaceDN w:val="0"/>
        <w:adjustRightInd w:val="0"/>
        <w:spacing w:after="0"/>
        <w:jc w:val="both"/>
        <w:rPr>
          <w:rFonts w:ascii="Tahoma" w:hAnsi="Tahoma" w:cs="Tahoma"/>
          <w:b/>
          <w:bCs/>
          <w:i/>
          <w:sz w:val="24"/>
          <w:szCs w:val="24"/>
        </w:rPr>
      </w:pPr>
      <w:r w:rsidRPr="009B3B4D">
        <w:rPr>
          <w:rFonts w:ascii="Tahoma" w:hAnsi="Tahoma"/>
          <w:b/>
          <w:sz w:val="24"/>
          <w:shd w:val="clear" w:color="auto" w:fill="D9D9D9"/>
        </w:rPr>
        <w:t>Standard 19</w:t>
      </w:r>
    </w:p>
    <w:p w:rsidR="00DA3A70" w:rsidRPr="009B3B4D" w:rsidP="0028467E">
      <w:pPr>
        <w:spacing w:after="120"/>
        <w:rPr>
          <w:rFonts w:ascii="Tahoma" w:hAnsi="Tahoma" w:cs="Tahoma"/>
          <w:sz w:val="18"/>
          <w:szCs w:val="18"/>
        </w:rPr>
      </w:pPr>
      <w:r w:rsidRPr="009B3B4D">
        <w:rPr>
          <w:rFonts w:ascii="Tahoma" w:hAnsi="Tahoma"/>
          <w:sz w:val="18"/>
        </w:rPr>
        <w:t>Kontakter til en patient med smittefarlig tuberkulose, personer med hivinfektion, patienter der påbegynder antitumornekrosefaktor (TNF)-behandling, patienter i dialyse, patienter der skal have organ- eller blod</w:t>
      </w:r>
      <w:r w:rsidRPr="009B3B4D">
        <w:rPr>
          <w:rFonts w:ascii="Tahoma" w:hAnsi="Tahoma"/>
          <w:sz w:val="18"/>
        </w:rPr>
        <w:t>transplantation, og patienter med silikose bør testes for latent tuberkuloseinfektion. Hvis en person får konstateret latent tuberkuloseinfektion, bør vedkommende undersøges omhyggeligt for aktiv tuberkulose. Når aktiv tuberkulose er udelukket, bør forebyg</w:t>
      </w:r>
      <w:r w:rsidRPr="009B3B4D">
        <w:rPr>
          <w:rFonts w:ascii="Tahoma" w:hAnsi="Tahoma"/>
          <w:sz w:val="18"/>
        </w:rPr>
        <w:t>gende behandling i henhold til et WHO-anbefalet regime tilbydes.</w:t>
      </w:r>
    </w:p>
    <w:p w:rsidR="00DA3A70" w:rsidRPr="009B3B4D" w:rsidP="000D0DB0">
      <w:pPr>
        <w:pStyle w:val="EC-Title-6"/>
        <w:rPr>
          <w:b w:val="0"/>
          <w:sz w:val="24"/>
          <w:szCs w:val="24"/>
        </w:rPr>
      </w:pPr>
      <w:r w:rsidRPr="009B3B4D">
        <w:rPr>
          <w:sz w:val="24"/>
        </w:rPr>
        <w:t>EU-specifikke krav</w:t>
      </w:r>
    </w:p>
    <w:p w:rsidR="00DA3A70" w:rsidRPr="009B3B4D" w:rsidP="0028467E">
      <w:pPr>
        <w:spacing w:after="120"/>
        <w:rPr>
          <w:rFonts w:ascii="Tahoma" w:hAnsi="Tahoma" w:cs="Tahoma"/>
          <w:sz w:val="18"/>
          <w:szCs w:val="18"/>
        </w:rPr>
      </w:pPr>
      <w:r w:rsidRPr="009B3B4D">
        <w:rPr>
          <w:rFonts w:ascii="Tahoma" w:hAnsi="Tahoma"/>
          <w:sz w:val="18"/>
        </w:rPr>
        <w:t>Klinikere bør samarbejde med sundhedsmyndighederne for at gennemføre egnede procedurer til opsporing af kontakter i overensstemmelse med nationale og internationale anbefal</w:t>
      </w:r>
      <w:r w:rsidRPr="009B3B4D">
        <w:rPr>
          <w:rFonts w:ascii="Tahoma" w:hAnsi="Tahoma"/>
          <w:sz w:val="18"/>
        </w:rPr>
        <w:t>inger vedrørende opsporing i en stadigt større personkreds, når et smittefarligt indekstilfælde er diagnosticeret og anmeldt [40, 41, 45, 46]. Hvis et barn med tuberkulose (uanset infektionssted) er identificeret</w:t>
      </w:r>
      <w:r w:rsidR="00F41658">
        <w:rPr>
          <w:rFonts w:ascii="Tahoma" w:hAnsi="Tahoma"/>
          <w:sz w:val="18"/>
        </w:rPr>
        <w:t>,</w:t>
      </w:r>
      <w:r w:rsidRPr="009B3B4D">
        <w:rPr>
          <w:rFonts w:ascii="Tahoma" w:hAnsi="Tahoma"/>
          <w:sz w:val="18"/>
        </w:rPr>
        <w:t xml:space="preserve"> og der ikke er identificeret en smittekild</w:t>
      </w:r>
      <w:r w:rsidRPr="009B3B4D">
        <w:rPr>
          <w:rFonts w:ascii="Tahoma" w:hAnsi="Tahoma"/>
          <w:sz w:val="18"/>
        </w:rPr>
        <w:t xml:space="preserve">e, skal både kilde og kontakter opspores [41, 47]. </w:t>
      </w:r>
    </w:p>
    <w:p w:rsidR="00DA3A70" w:rsidRPr="009B3B4D" w:rsidP="0028467E">
      <w:pPr>
        <w:spacing w:after="120"/>
        <w:rPr>
          <w:rFonts w:ascii="Tahoma" w:hAnsi="Tahoma" w:cs="Tahoma"/>
          <w:sz w:val="18"/>
          <w:szCs w:val="18"/>
        </w:rPr>
      </w:pPr>
      <w:r w:rsidRPr="009B3B4D">
        <w:rPr>
          <w:rFonts w:ascii="Tahoma" w:hAnsi="Tahoma"/>
          <w:sz w:val="18"/>
        </w:rPr>
        <w:t>Personer i behandling med anti-TNF-ɑ bør betragtes som højrisiko-kontakter. I henhold til ESTC-standard 16 bør der hos individer med hivinfektion eller komorbiditeter påbegyndes behandling af latent infek</w:t>
      </w:r>
      <w:r w:rsidRPr="009B3B4D">
        <w:rPr>
          <w:rFonts w:ascii="Tahoma" w:hAnsi="Tahoma"/>
          <w:sz w:val="18"/>
        </w:rPr>
        <w:t>tion med det samme, hvis tuberkuloseinfektion identificeres ved TST- og/eller IGRA-test og aktiv tuberkulosesygdom er udelukket [10, 36, 38, 40, 48, 49].</w:t>
      </w:r>
    </w:p>
    <w:p w:rsidR="00DA3A70" w:rsidRPr="009B3B4D" w:rsidP="00DB519A">
      <w:pPr>
        <w:shd w:val="clear" w:color="auto" w:fill="D9D9D9"/>
        <w:autoSpaceDE w:val="0"/>
        <w:autoSpaceDN w:val="0"/>
        <w:adjustRightInd w:val="0"/>
        <w:spacing w:after="0"/>
        <w:jc w:val="both"/>
        <w:rPr>
          <w:rFonts w:ascii="Tahoma" w:hAnsi="Tahoma" w:cs="Tahoma"/>
          <w:bCs/>
          <w:sz w:val="24"/>
          <w:szCs w:val="24"/>
        </w:rPr>
      </w:pPr>
      <w:r w:rsidRPr="009B3B4D">
        <w:rPr>
          <w:rFonts w:ascii="Tahoma" w:hAnsi="Tahoma"/>
          <w:b/>
          <w:sz w:val="24"/>
          <w:shd w:val="clear" w:color="auto" w:fill="D9D9D9"/>
        </w:rPr>
        <w:t>Standard 20</w:t>
      </w:r>
    </w:p>
    <w:p w:rsidR="00DA3A70" w:rsidRPr="009B3B4D" w:rsidP="0028467E">
      <w:pPr>
        <w:spacing w:after="120"/>
        <w:rPr>
          <w:rFonts w:ascii="Tahoma" w:hAnsi="Tahoma" w:cs="Tahoma"/>
          <w:sz w:val="18"/>
          <w:szCs w:val="18"/>
        </w:rPr>
      </w:pPr>
      <w:r w:rsidRPr="009B3B4D">
        <w:rPr>
          <w:rFonts w:ascii="Tahoma" w:hAnsi="Tahoma"/>
          <w:sz w:val="18"/>
        </w:rPr>
        <w:t>Alle hospitaler og klinikker, der behandler patienter, som har eller formodes at have smit</w:t>
      </w:r>
      <w:r w:rsidRPr="009B3B4D">
        <w:rPr>
          <w:rFonts w:ascii="Tahoma" w:hAnsi="Tahoma"/>
          <w:sz w:val="18"/>
        </w:rPr>
        <w:t xml:space="preserve">tefarlig tuberkulose, bør udarbejde og gennemføre en relevant plan for kontrol af tuberkuloseinfektion. </w:t>
      </w:r>
    </w:p>
    <w:p w:rsidR="0098145B" w:rsidRPr="009B3B4D" w:rsidP="0098145B">
      <w:pPr>
        <w:pStyle w:val="EC-Title-6"/>
        <w:rPr>
          <w:sz w:val="24"/>
          <w:szCs w:val="24"/>
        </w:rPr>
      </w:pPr>
      <w:r w:rsidRPr="009B3B4D">
        <w:rPr>
          <w:sz w:val="24"/>
        </w:rPr>
        <w:t>EU-specifikke krav</w:t>
      </w:r>
    </w:p>
    <w:p w:rsidR="00DA3A70" w:rsidRPr="009B3B4D" w:rsidP="0028467E">
      <w:pPr>
        <w:spacing w:after="120"/>
        <w:rPr>
          <w:rFonts w:ascii="Tahoma" w:hAnsi="Tahoma" w:cs="Tahoma"/>
          <w:spacing w:val="-2"/>
          <w:sz w:val="18"/>
          <w:szCs w:val="18"/>
        </w:rPr>
      </w:pPr>
      <w:r w:rsidRPr="009B3B4D">
        <w:rPr>
          <w:rFonts w:ascii="Tahoma" w:hAnsi="Tahoma"/>
          <w:spacing w:val="-2"/>
          <w:sz w:val="18"/>
        </w:rPr>
        <w:t>Behandling i lokalsamfund, understøttet af foranstaltninger til infektionskontrol i hjemmet, bør være tilgængelig for patienter, der</w:t>
      </w:r>
      <w:r w:rsidRPr="009B3B4D">
        <w:rPr>
          <w:rFonts w:ascii="Tahoma" w:hAnsi="Tahoma"/>
          <w:spacing w:val="-2"/>
          <w:sz w:val="18"/>
        </w:rPr>
        <w:t xml:space="preserve"> foretrækker at blive behandlet i hjemmet [5, 24].</w:t>
      </w:r>
    </w:p>
    <w:p w:rsidR="00DA3A70" w:rsidRPr="009B3B4D" w:rsidP="0028467E">
      <w:pPr>
        <w:spacing w:after="120"/>
        <w:rPr>
          <w:rFonts w:ascii="Tahoma" w:hAnsi="Tahoma" w:cs="Tahoma"/>
          <w:spacing w:val="-2"/>
          <w:sz w:val="18"/>
          <w:szCs w:val="18"/>
        </w:rPr>
      </w:pPr>
      <w:r w:rsidRPr="009B3B4D">
        <w:rPr>
          <w:rFonts w:ascii="Tahoma" w:hAnsi="Tahoma"/>
          <w:spacing w:val="-2"/>
          <w:sz w:val="18"/>
        </w:rPr>
        <w:t xml:space="preserve">Hvis hospitalsindlæggelse er påkrævet, bør klinikerne sikre, at alle nyindlagte patienter, der formodes at have smittefarlig tuberkulose, kommer i </w:t>
      </w:r>
      <w:r w:rsidRPr="009B3B4D">
        <w:rPr>
          <w:rFonts w:ascii="Tahoma" w:hAnsi="Tahoma"/>
          <w:spacing w:val="-2"/>
          <w:sz w:val="18"/>
        </w:rPr>
        <w:t xml:space="preserve">isolation, indtil deres diagnose er bekræftet eller udelukket [2]. </w:t>
      </w:r>
    </w:p>
    <w:p w:rsidR="00DA3A70" w:rsidRPr="009B3B4D" w:rsidP="0028467E">
      <w:pPr>
        <w:spacing w:after="120"/>
        <w:rPr>
          <w:rFonts w:ascii="Tahoma" w:hAnsi="Tahoma" w:cs="Tahoma"/>
          <w:spacing w:val="-2"/>
          <w:sz w:val="18"/>
          <w:szCs w:val="18"/>
        </w:rPr>
      </w:pPr>
      <w:r w:rsidRPr="009B3B4D">
        <w:rPr>
          <w:rFonts w:ascii="Tahoma" w:hAnsi="Tahoma"/>
          <w:spacing w:val="-2"/>
          <w:sz w:val="18"/>
        </w:rPr>
        <w:t>For at forebygge overførsel af tuberkelbaciller til andre patienter, personale og/eller besøgende, bør smearpositive tuberkulosepatienter ideelt set isoleres i egnede lokaler, indtil de op</w:t>
      </w:r>
      <w:r w:rsidRPr="009B3B4D">
        <w:rPr>
          <w:rFonts w:ascii="Tahoma" w:hAnsi="Tahoma"/>
          <w:spacing w:val="-2"/>
          <w:sz w:val="18"/>
        </w:rPr>
        <w:t xml:space="preserve">når bakteriologisk konversion (negativ sputummikroskopi). Isoleringen bør finde sted i lokaler med undertryksventilation. </w:t>
      </w:r>
    </w:p>
    <w:p w:rsidR="00DA3A70" w:rsidRPr="009B3B4D" w:rsidP="0028467E">
      <w:pPr>
        <w:spacing w:after="120"/>
        <w:rPr>
          <w:rFonts w:ascii="Tahoma" w:hAnsi="Tahoma" w:cs="Tahoma"/>
          <w:spacing w:val="-2"/>
          <w:sz w:val="18"/>
          <w:szCs w:val="18"/>
        </w:rPr>
      </w:pPr>
      <w:r w:rsidRPr="009B3B4D">
        <w:rPr>
          <w:rFonts w:ascii="Tahoma" w:hAnsi="Tahoma"/>
          <w:spacing w:val="-2"/>
          <w:sz w:val="18"/>
        </w:rPr>
        <w:t xml:space="preserve">En relevant plan for infektionskontrol, der styres af en udpeget person, bør omfatte følgende fire dele: behandlingsmæssige </w:t>
      </w:r>
      <w:r w:rsidRPr="009B3B4D">
        <w:rPr>
          <w:rFonts w:ascii="Tahoma" w:hAnsi="Tahoma"/>
          <w:spacing w:val="-2"/>
          <w:sz w:val="18"/>
        </w:rPr>
        <w:t>aktiviteter, administrative kontroller, miljøkontroller og personalebeskyttelsestiltag [5, 50]. Relevante administrative foranstaltninger til kontrol af tuberkuloseinfektion bør finde anvendelse på alle hospitaler og klinikker, herunder tilstrækkelig respi</w:t>
      </w:r>
      <w:r w:rsidRPr="009B3B4D">
        <w:rPr>
          <w:rFonts w:ascii="Tahoma" w:hAnsi="Tahoma"/>
          <w:spacing w:val="-2"/>
          <w:sz w:val="18"/>
        </w:rPr>
        <w:t>ratorisk beskyttelse (f.eks. brug af åndedrætsværn efter tjek af pasform hos personalet og brug af operationsmaske i forbindelse med smittefarlige patienter). Relevante personalekurser i infektionskontrol og standardiserede sundhedsoplysninger til patiente</w:t>
      </w:r>
      <w:r w:rsidRPr="009B3B4D">
        <w:rPr>
          <w:rFonts w:ascii="Tahoma" w:hAnsi="Tahoma"/>
          <w:spacing w:val="-2"/>
          <w:sz w:val="18"/>
        </w:rPr>
        <w:t>r om passende hosteadfærd baseret på validerede værktøjer bør også indgå i planen for infektionskontrol. Der bør også oprettes infektionskontroludvalg, der dækker luftbårne sygdomme, og som omfatter infektionskontroleksperter [5, 50-52].</w:t>
      </w:r>
    </w:p>
    <w:p w:rsidR="00DA3A70" w:rsidRPr="009B3B4D" w:rsidP="00496312">
      <w:pPr>
        <w:shd w:val="clear" w:color="auto" w:fill="E7E6E6"/>
        <w:autoSpaceDE w:val="0"/>
        <w:autoSpaceDN w:val="0"/>
        <w:adjustRightInd w:val="0"/>
        <w:spacing w:after="0"/>
        <w:jc w:val="both"/>
        <w:rPr>
          <w:rFonts w:ascii="Tahoma" w:hAnsi="Tahoma" w:cs="Tahoma"/>
          <w:bCs/>
          <w:sz w:val="24"/>
          <w:szCs w:val="24"/>
        </w:rPr>
      </w:pPr>
      <w:r w:rsidRPr="009B3B4D">
        <w:rPr>
          <w:rFonts w:ascii="Tahoma" w:hAnsi="Tahoma"/>
          <w:b/>
          <w:sz w:val="24"/>
          <w:shd w:val="clear" w:color="auto" w:fill="D9D9D9"/>
        </w:rPr>
        <w:t>Standard 21</w:t>
      </w:r>
    </w:p>
    <w:p w:rsidR="00DA3A70" w:rsidRPr="009B3B4D" w:rsidP="0028467E">
      <w:pPr>
        <w:spacing w:after="120"/>
        <w:rPr>
          <w:rFonts w:ascii="Tahoma" w:hAnsi="Tahoma" w:cs="Tahoma"/>
          <w:sz w:val="18"/>
          <w:szCs w:val="18"/>
        </w:rPr>
      </w:pPr>
      <w:r w:rsidRPr="009B3B4D">
        <w:rPr>
          <w:rFonts w:ascii="Tahoma" w:hAnsi="Tahoma"/>
          <w:sz w:val="18"/>
        </w:rPr>
        <w:t>Alle s</w:t>
      </w:r>
      <w:r w:rsidRPr="009B3B4D">
        <w:rPr>
          <w:rFonts w:ascii="Tahoma" w:hAnsi="Tahoma"/>
          <w:sz w:val="18"/>
        </w:rPr>
        <w:t xml:space="preserve">undhedspersoner skal indrapportere både nye tuberkulosetilfælde og tilfælde med fornyet tuberkulosebehandling samt behandlingsresultaterne til lokale sundhedsmyndigheder i overensstemmelse med gældende lovkrav og politikker. </w:t>
      </w:r>
    </w:p>
    <w:p w:rsidR="0098145B" w:rsidRPr="009B3B4D" w:rsidP="00E2111F">
      <w:pPr>
        <w:pStyle w:val="EC-Title-6"/>
        <w:spacing w:after="0" w:line="276" w:lineRule="auto"/>
        <w:rPr>
          <w:sz w:val="24"/>
          <w:szCs w:val="24"/>
        </w:rPr>
      </w:pPr>
      <w:r w:rsidRPr="009B3B4D">
        <w:rPr>
          <w:sz w:val="24"/>
        </w:rPr>
        <w:t>EU-specifikke krav</w:t>
      </w:r>
    </w:p>
    <w:p w:rsidR="00E9311A" w:rsidRPr="009B3B4D" w:rsidP="00E2111F">
      <w:pPr>
        <w:spacing w:after="0"/>
        <w:rPr>
          <w:rFonts w:ascii="Tahoma" w:eastAsia="Batang" w:hAnsi="Tahoma" w:cs="Tahoma"/>
          <w:color w:val="69AE23"/>
          <w:sz w:val="30"/>
          <w:szCs w:val="30"/>
        </w:rPr>
      </w:pPr>
      <w:r w:rsidRPr="009B3B4D">
        <w:rPr>
          <w:rFonts w:ascii="Tahoma" w:hAnsi="Tahoma"/>
          <w:spacing w:val="-2"/>
          <w:sz w:val="18"/>
        </w:rPr>
        <w:t>Klinikere b</w:t>
      </w:r>
      <w:r w:rsidRPr="009B3B4D">
        <w:rPr>
          <w:rFonts w:ascii="Tahoma" w:hAnsi="Tahoma"/>
          <w:spacing w:val="-2"/>
          <w:sz w:val="18"/>
        </w:rPr>
        <w:t>ør evaluere resultaterne i deres klinik med regelmæssige mellemrum (f.eks. kvartalsvis) [18, 53]. Behandlingsresultaterne bør indrapporteres til lokale sundhedsmyndigheder i overensstemmelse med gældende krav og politikker og samtidig anvendes som et overv</w:t>
      </w:r>
      <w:r w:rsidRPr="009B3B4D">
        <w:rPr>
          <w:rFonts w:ascii="Tahoma" w:hAnsi="Tahoma"/>
          <w:spacing w:val="-2"/>
          <w:sz w:val="18"/>
        </w:rPr>
        <w:t>ågnings- og evalueringsværktøj for at forbedre kvaliteten af patienthåndteringen.</w:t>
      </w:r>
      <w:r w:rsidRPr="009B3B4D">
        <w:rPr>
          <w:rFonts w:ascii="Tahoma" w:hAnsi="Tahoma"/>
          <w:b/>
          <w:spacing w:val="-2"/>
          <w:sz w:val="18"/>
        </w:rPr>
        <w:t xml:space="preserve"> </w:t>
      </w:r>
      <w:r w:rsidRPr="009B3B4D">
        <w:rPr>
          <w:rFonts w:ascii="Tahoma" w:hAnsi="Tahoma"/>
          <w:spacing w:val="-2"/>
          <w:sz w:val="18"/>
        </w:rPr>
        <w:t>Oplysninger om behandlingsresultaterne bør også regelmæssigt kanaliseres tilbage fra sundhedsmyndighederne til sundhedspersonerne for at muliggøre en koordineret vurdering af</w:t>
      </w:r>
      <w:r w:rsidRPr="009B3B4D">
        <w:rPr>
          <w:rFonts w:ascii="Tahoma" w:hAnsi="Tahoma"/>
          <w:spacing w:val="-2"/>
          <w:sz w:val="18"/>
        </w:rPr>
        <w:t xml:space="preserve"> resultaterne. Oplysninger om det endelige patientresultat bør være tilgængelige på den klinik, der har igangsat behandlingen, også selvom patienten overføres til andre steder. Der skal sørges for relevante kurser til det sundhedspersonale, der skal indrap</w:t>
      </w:r>
      <w:r w:rsidRPr="009B3B4D">
        <w:rPr>
          <w:rFonts w:ascii="Tahoma" w:hAnsi="Tahoma"/>
          <w:spacing w:val="-2"/>
          <w:sz w:val="18"/>
        </w:rPr>
        <w:t>portere behandlingsresultaterne til sundhedsmyndighederne, og som skal foretage den kvartalsvise evaluering af klinikkens egne tilfælde. Dette princip gælder også tuberkulosepatienter, der flytter på tværs af EU [54-57].</w:t>
      </w:r>
      <w:r w:rsidRPr="009B3B4D">
        <w:br w:type="page"/>
      </w:r>
    </w:p>
    <w:p w:rsidR="00CC0F38" w:rsidRPr="009B3B4D" w:rsidP="0028467E">
      <w:pPr>
        <w:pStyle w:val="EC-Title-5"/>
        <w:spacing w:before="120"/>
      </w:pPr>
      <w:r w:rsidRPr="009B3B4D">
        <w:t>Referencer</w:t>
      </w:r>
    </w:p>
    <w:p w:rsidR="00DA3A70" w:rsidRPr="0019074F" w:rsidP="0028467E">
      <w:pPr>
        <w:pStyle w:val="EndNoteBibliography"/>
        <w:spacing w:after="0"/>
        <w:ind w:left="426" w:hanging="426"/>
        <w:jc w:val="left"/>
        <w:rPr>
          <w:rFonts w:ascii="Tahoma" w:hAnsi="Tahoma" w:cs="Tahoma"/>
          <w:sz w:val="16"/>
          <w:szCs w:val="16"/>
          <w:lang w:val="en-US"/>
        </w:rPr>
      </w:pPr>
      <w:r w:rsidRPr="009B3B4D">
        <w:rPr>
          <w:rFonts w:ascii="Tahoma" w:hAnsi="Tahoma"/>
          <w:sz w:val="16"/>
        </w:rPr>
        <w:t>1.</w:t>
      </w:r>
      <w:r w:rsidRPr="009B3B4D">
        <w:tab/>
      </w:r>
      <w:r w:rsidRPr="009B3B4D">
        <w:rPr>
          <w:rFonts w:ascii="Tahoma" w:hAnsi="Tahoma"/>
          <w:sz w:val="16"/>
        </w:rPr>
        <w:t xml:space="preserve">Schoch OD, Rieder P, Tueller C, Altpeter E, Zellweger JP, Rieder HL, et al. </w:t>
      </w:r>
      <w:r w:rsidRPr="0019074F">
        <w:rPr>
          <w:rFonts w:ascii="Tahoma" w:hAnsi="Tahoma"/>
          <w:sz w:val="16"/>
          <w:lang w:val="en-US"/>
        </w:rPr>
        <w:t>Diagnostic yield of sputum, induced sputum, and bronchoscopy after radiologic tuberculosis screening. Am J Respir Crit Care Med. 2007;175(1):80-86.</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2.</w:t>
      </w:r>
      <w:r w:rsidRPr="0019074F">
        <w:rPr>
          <w:lang w:val="en-US"/>
        </w:rPr>
        <w:tab/>
      </w:r>
      <w:r w:rsidRPr="0019074F">
        <w:rPr>
          <w:rFonts w:ascii="Tahoma" w:hAnsi="Tahoma"/>
          <w:sz w:val="16"/>
          <w:lang w:val="en-US"/>
        </w:rPr>
        <w:t>TB CARE I. International Stan</w:t>
      </w:r>
      <w:r w:rsidRPr="0019074F">
        <w:rPr>
          <w:rFonts w:ascii="Tahoma" w:hAnsi="Tahoma"/>
          <w:sz w:val="16"/>
          <w:lang w:val="en-US"/>
        </w:rPr>
        <w:t>dards for Tuberculosis Care. 3rd ed. The Hague: TB CARE; 2014.</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3.</w:t>
      </w:r>
      <w:r w:rsidRPr="0019074F">
        <w:rPr>
          <w:lang w:val="en-US"/>
        </w:rPr>
        <w:tab/>
      </w:r>
      <w:r w:rsidRPr="0019074F">
        <w:rPr>
          <w:rFonts w:ascii="Tahoma" w:hAnsi="Tahoma"/>
          <w:sz w:val="16"/>
          <w:lang w:val="en-US"/>
        </w:rPr>
        <w:t xml:space="preserve">Lewinsohn DM, Leonard MK, LoBue PA, Cohn DL, Daley CL, Desmond E, et al. Official American Thoracic Society/Infectious Diseases Society of America/Centers for Disease Control and Prevention </w:t>
      </w:r>
      <w:r w:rsidRPr="0019074F">
        <w:rPr>
          <w:rFonts w:ascii="Tahoma" w:hAnsi="Tahoma"/>
          <w:sz w:val="16"/>
          <w:lang w:val="en-US"/>
        </w:rPr>
        <w:t>Clinical Practice Guidelines: Diagnosis of Tuberculosis in Adults and Children. Clin Infect Dis. 2017;64(2):e1-e33.</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4.</w:t>
      </w:r>
      <w:r w:rsidRPr="0019074F">
        <w:rPr>
          <w:lang w:val="en-US"/>
        </w:rPr>
        <w:tab/>
      </w:r>
      <w:r w:rsidRPr="0019074F">
        <w:rPr>
          <w:rFonts w:ascii="Tahoma" w:hAnsi="Tahoma"/>
          <w:sz w:val="16"/>
          <w:lang w:val="en-US"/>
        </w:rPr>
        <w:t>European Centre for Disease Prevention and Control. Use of interferon-gamma release assays in support of TB diagnosis. Stockholm: ECDC; 2</w:t>
      </w:r>
      <w:r w:rsidRPr="0019074F">
        <w:rPr>
          <w:rFonts w:ascii="Tahoma" w:hAnsi="Tahoma"/>
          <w:sz w:val="16"/>
          <w:lang w:val="en-US"/>
        </w:rPr>
        <w:t>011.</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5.</w:t>
      </w:r>
      <w:r w:rsidRPr="0019074F">
        <w:rPr>
          <w:lang w:val="en-US"/>
        </w:rPr>
        <w:tab/>
      </w:r>
      <w:r w:rsidRPr="0019074F">
        <w:rPr>
          <w:rFonts w:ascii="Tahoma" w:hAnsi="Tahoma"/>
          <w:sz w:val="16"/>
          <w:lang w:val="en-US"/>
        </w:rPr>
        <w:t>World Health Organization. Compendium of WHO guidelines and associated standards: ensuring optimum delivery of the cascade of care for patients with tuberculosis. Geneva: World Health Organization; 2017.</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6.</w:t>
      </w:r>
      <w:r w:rsidRPr="0019074F">
        <w:rPr>
          <w:lang w:val="en-US"/>
        </w:rPr>
        <w:tab/>
      </w:r>
      <w:r w:rsidRPr="0019074F">
        <w:rPr>
          <w:rFonts w:ascii="Tahoma" w:hAnsi="Tahoma"/>
          <w:sz w:val="16"/>
          <w:lang w:val="en-US"/>
        </w:rPr>
        <w:t>Drobniewski FA, Hoffner S, Rusch-Gerdes S</w:t>
      </w:r>
      <w:r w:rsidRPr="0019074F">
        <w:rPr>
          <w:rFonts w:ascii="Tahoma" w:hAnsi="Tahoma"/>
          <w:sz w:val="16"/>
          <w:lang w:val="en-US"/>
        </w:rPr>
        <w:t>, Skenders G, Thomsen V. Recommended standards for modern tuberculosis laboratory services in Europe. Eur Respir J. 2006;28(5):903-909.</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7.</w:t>
      </w:r>
      <w:r w:rsidRPr="0019074F">
        <w:rPr>
          <w:lang w:val="en-US"/>
        </w:rPr>
        <w:tab/>
      </w:r>
      <w:r w:rsidRPr="0019074F">
        <w:rPr>
          <w:rFonts w:ascii="Tahoma" w:hAnsi="Tahoma"/>
          <w:sz w:val="16"/>
          <w:lang w:val="en-US"/>
        </w:rPr>
        <w:t xml:space="preserve">World Health Organization Regional Office for Europe. Algorithm for laboratory diagnosis and treatment-monitoring of </w:t>
      </w:r>
      <w:r w:rsidRPr="0019074F">
        <w:rPr>
          <w:rFonts w:ascii="Tahoma" w:hAnsi="Tahoma"/>
          <w:sz w:val="16"/>
          <w:lang w:val="en-US"/>
        </w:rPr>
        <w:t>pulmonary tuberculosis and drug-resistant tuberculosis using state-of-the-art rapid molecular diagnostic technologies. Expert opinion of the European Tuberculosis Laboratory Initiative core group members for the WHO European Region. Copenhagen: WHO Regiona</w:t>
      </w:r>
      <w:r w:rsidRPr="0019074F">
        <w:rPr>
          <w:rFonts w:ascii="Tahoma" w:hAnsi="Tahoma"/>
          <w:sz w:val="16"/>
          <w:lang w:val="en-US"/>
        </w:rPr>
        <w:t>l Office for Europe; 2017.</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8.</w:t>
      </w:r>
      <w:r w:rsidRPr="0019074F">
        <w:rPr>
          <w:lang w:val="en-US"/>
        </w:rPr>
        <w:tab/>
      </w:r>
      <w:r w:rsidRPr="0019074F">
        <w:rPr>
          <w:rFonts w:ascii="Tahoma" w:hAnsi="Tahoma"/>
          <w:sz w:val="16"/>
          <w:lang w:val="en-US"/>
        </w:rPr>
        <w:t>European Centre for Disease Prevention and Control. Handbook on TB laboratory diagnostic methods for the European Union. Stockholm: ECDC; 2016.</w:t>
      </w:r>
    </w:p>
    <w:p w:rsidR="00DA3A70" w:rsidRPr="009B3B4D" w:rsidP="0028467E">
      <w:pPr>
        <w:pStyle w:val="EndNoteBibliography"/>
        <w:spacing w:after="0"/>
        <w:ind w:left="426" w:hanging="426"/>
        <w:jc w:val="left"/>
        <w:rPr>
          <w:rFonts w:ascii="Tahoma" w:hAnsi="Tahoma" w:cs="Tahoma"/>
          <w:sz w:val="16"/>
          <w:szCs w:val="16"/>
        </w:rPr>
      </w:pPr>
      <w:r w:rsidRPr="0019074F">
        <w:rPr>
          <w:rFonts w:ascii="Tahoma" w:hAnsi="Tahoma"/>
          <w:sz w:val="16"/>
          <w:lang w:val="en-US"/>
        </w:rPr>
        <w:t>9.</w:t>
      </w:r>
      <w:r w:rsidRPr="0019074F">
        <w:rPr>
          <w:lang w:val="en-US"/>
        </w:rPr>
        <w:tab/>
      </w:r>
      <w:r w:rsidRPr="0019074F">
        <w:rPr>
          <w:rFonts w:ascii="Tahoma" w:hAnsi="Tahoma"/>
          <w:sz w:val="16"/>
          <w:lang w:val="en-US"/>
        </w:rPr>
        <w:t>Sotgiu G, Tiberi S, D'Ambrosio L, Centis R, Zumla A, Migliori GB. WHO recommend</w:t>
      </w:r>
      <w:r w:rsidRPr="0019074F">
        <w:rPr>
          <w:rFonts w:ascii="Tahoma" w:hAnsi="Tahoma"/>
          <w:sz w:val="16"/>
          <w:lang w:val="en-US"/>
        </w:rPr>
        <w:t xml:space="preserve">ations on shorter treatment of multidrug-resistant tuberculosis. </w:t>
      </w:r>
      <w:r w:rsidRPr="00E2211A">
        <w:rPr>
          <w:rFonts w:ascii="Tahoma" w:hAnsi="Tahoma"/>
          <w:sz w:val="16"/>
        </w:rPr>
        <w:t xml:space="preserve">Lancet. </w:t>
      </w:r>
      <w:r w:rsidRPr="009B3B4D">
        <w:rPr>
          <w:rFonts w:ascii="Tahoma" w:hAnsi="Tahoma"/>
          <w:sz w:val="16"/>
        </w:rPr>
        <w:t>2016;387(10037):2486-2487.</w:t>
      </w:r>
    </w:p>
    <w:p w:rsidR="00DA3A70" w:rsidRPr="009B3B4D" w:rsidP="0028467E">
      <w:pPr>
        <w:pStyle w:val="EndNoteBibliography"/>
        <w:spacing w:after="0"/>
        <w:ind w:left="426" w:hanging="426"/>
        <w:jc w:val="left"/>
        <w:rPr>
          <w:rFonts w:ascii="Tahoma" w:hAnsi="Tahoma" w:cs="Tahoma"/>
          <w:sz w:val="16"/>
          <w:szCs w:val="16"/>
        </w:rPr>
      </w:pPr>
      <w:r w:rsidRPr="009B3B4D">
        <w:rPr>
          <w:rFonts w:ascii="Tahoma" w:hAnsi="Tahoma"/>
          <w:sz w:val="16"/>
        </w:rPr>
        <w:t>10.</w:t>
      </w:r>
      <w:r w:rsidRPr="009B3B4D">
        <w:tab/>
      </w:r>
      <w:r w:rsidRPr="009B3B4D">
        <w:rPr>
          <w:rFonts w:ascii="Tahoma" w:hAnsi="Tahoma"/>
          <w:sz w:val="16"/>
        </w:rPr>
        <w:t xml:space="preserve">Diel R, Goletti D, Ferrara G, Bothamley G, Cirillo D, Kampmann B, et al. </w:t>
      </w:r>
      <w:r w:rsidRPr="0019074F">
        <w:rPr>
          <w:rFonts w:ascii="Tahoma" w:hAnsi="Tahoma"/>
          <w:sz w:val="16"/>
          <w:lang w:val="en-US"/>
        </w:rPr>
        <w:t>Interferon-gamma release assays for the diagnosis of latent Mycobacterium tuber</w:t>
      </w:r>
      <w:r w:rsidRPr="0019074F">
        <w:rPr>
          <w:rFonts w:ascii="Tahoma" w:hAnsi="Tahoma"/>
          <w:sz w:val="16"/>
          <w:lang w:val="en-US"/>
        </w:rPr>
        <w:t xml:space="preserve">culosis infection: a systematic review and meta-analysis. </w:t>
      </w:r>
      <w:r w:rsidRPr="009B3B4D">
        <w:rPr>
          <w:rFonts w:ascii="Tahoma" w:hAnsi="Tahoma"/>
          <w:sz w:val="16"/>
        </w:rPr>
        <w:t>Eur Respir J. 2011;37(1):88-99.</w:t>
      </w:r>
    </w:p>
    <w:p w:rsidR="00DA3A70" w:rsidRPr="0019074F" w:rsidP="0028467E">
      <w:pPr>
        <w:pStyle w:val="EndNoteBibliography"/>
        <w:spacing w:after="0"/>
        <w:ind w:left="426" w:hanging="426"/>
        <w:jc w:val="left"/>
        <w:rPr>
          <w:rFonts w:ascii="Tahoma" w:hAnsi="Tahoma" w:cs="Tahoma"/>
          <w:sz w:val="16"/>
          <w:szCs w:val="16"/>
          <w:lang w:val="en-US"/>
        </w:rPr>
      </w:pPr>
      <w:r w:rsidRPr="009B3B4D">
        <w:rPr>
          <w:rFonts w:ascii="Tahoma" w:hAnsi="Tahoma"/>
          <w:sz w:val="16"/>
        </w:rPr>
        <w:t>11.</w:t>
      </w:r>
      <w:r w:rsidRPr="009B3B4D">
        <w:tab/>
      </w:r>
      <w:r w:rsidRPr="009B3B4D">
        <w:rPr>
          <w:rFonts w:ascii="Tahoma" w:hAnsi="Tahoma"/>
          <w:sz w:val="16"/>
        </w:rPr>
        <w:t xml:space="preserve">Sester M, Sotgiu G, Lange C, Giehl C, Girardi E, Migliori GB, et al. </w:t>
      </w:r>
      <w:r w:rsidRPr="0019074F">
        <w:rPr>
          <w:rFonts w:ascii="Tahoma" w:hAnsi="Tahoma"/>
          <w:sz w:val="16"/>
          <w:lang w:val="en-US"/>
        </w:rPr>
        <w:t>Interferon-gamma release assays for the diagnosis of active tuberculosis: a systematic review</w:t>
      </w:r>
      <w:r w:rsidRPr="0019074F">
        <w:rPr>
          <w:rFonts w:ascii="Tahoma" w:hAnsi="Tahoma"/>
          <w:sz w:val="16"/>
          <w:lang w:val="en-US"/>
        </w:rPr>
        <w:t xml:space="preserve"> and meta-analysis. Eur Respir J. 2011;37(1):100-111.</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12.</w:t>
      </w:r>
      <w:r w:rsidRPr="0019074F">
        <w:rPr>
          <w:lang w:val="en-US"/>
        </w:rPr>
        <w:tab/>
      </w:r>
      <w:r w:rsidRPr="0019074F">
        <w:rPr>
          <w:rFonts w:ascii="Tahoma" w:hAnsi="Tahoma"/>
          <w:sz w:val="16"/>
          <w:lang w:val="en-US"/>
        </w:rPr>
        <w:t>Petruccioli E, Scriba TJ, Petrone L, Hatherill M, Cirillo DM, Joosten SA, et al. Correlates of tuberculosis risk: predictive biomarkers for progression to active tuberculosis. Eur Respir J. 2016;48(</w:t>
      </w:r>
      <w:r w:rsidRPr="0019074F">
        <w:rPr>
          <w:rFonts w:ascii="Tahoma" w:hAnsi="Tahoma"/>
          <w:sz w:val="16"/>
          <w:lang w:val="en-US"/>
        </w:rPr>
        <w:t>6):1751-1763.</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13.</w:t>
      </w:r>
      <w:r w:rsidRPr="0019074F">
        <w:rPr>
          <w:lang w:val="en-US"/>
        </w:rPr>
        <w:tab/>
      </w:r>
      <w:r w:rsidRPr="0019074F">
        <w:rPr>
          <w:rFonts w:ascii="Tahoma" w:hAnsi="Tahoma"/>
          <w:sz w:val="16"/>
          <w:lang w:val="en-US"/>
        </w:rPr>
        <w:t>Goletti D, Petruccioli E, Joosten SA, Ottenhoff TH. Tuberculosis Biomarkers: From Diagnosis to Protection. Infectious disease reports. 2016;8(2):6568.</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14.</w:t>
      </w:r>
      <w:r w:rsidRPr="0019074F">
        <w:rPr>
          <w:lang w:val="en-US"/>
        </w:rPr>
        <w:tab/>
      </w:r>
      <w:r w:rsidRPr="0019074F">
        <w:rPr>
          <w:rFonts w:ascii="Tahoma" w:hAnsi="Tahoma"/>
          <w:sz w:val="16"/>
          <w:lang w:val="en-US"/>
        </w:rPr>
        <w:t>Seddon JA, Furin JJ, Gale M, Del Castillo Barrientos H, Hurtado RM, Amanullah F, et</w:t>
      </w:r>
      <w:r w:rsidRPr="0019074F">
        <w:rPr>
          <w:rFonts w:ascii="Tahoma" w:hAnsi="Tahoma"/>
          <w:sz w:val="16"/>
          <w:lang w:val="en-US"/>
        </w:rPr>
        <w:t xml:space="preserve"> al. Caring for children with drug-resistant tuberculosis: practice-based recommendations. Am J Respir Crit Care Med. 2012;186(10):953-964.</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15.</w:t>
      </w:r>
      <w:r w:rsidRPr="0019074F">
        <w:rPr>
          <w:lang w:val="en-US"/>
        </w:rPr>
        <w:tab/>
      </w:r>
      <w:r w:rsidRPr="0019074F">
        <w:rPr>
          <w:rFonts w:ascii="Tahoma" w:hAnsi="Tahoma"/>
          <w:sz w:val="16"/>
          <w:lang w:val="en-US"/>
        </w:rPr>
        <w:t>World Health Organization. Guidance for national tuberculosis programmes on the management of tuberculosis in ch</w:t>
      </w:r>
      <w:r w:rsidRPr="0019074F">
        <w:rPr>
          <w:rFonts w:ascii="Tahoma" w:hAnsi="Tahoma"/>
          <w:sz w:val="16"/>
          <w:lang w:val="en-US"/>
        </w:rPr>
        <w:t>ildren. Second ed. Geneva: World Health Organization; 2014.</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16.</w:t>
      </w:r>
      <w:r w:rsidRPr="0019074F">
        <w:rPr>
          <w:lang w:val="en-US"/>
        </w:rPr>
        <w:tab/>
      </w:r>
      <w:r w:rsidRPr="0019074F">
        <w:rPr>
          <w:rFonts w:ascii="Tahoma" w:hAnsi="Tahoma"/>
          <w:sz w:val="16"/>
          <w:lang w:val="en-US"/>
        </w:rPr>
        <w:t xml:space="preserve">World Health Organization. Report of a WHO consultation on strengthening the active engagement of civil society organizations in the global TB prevention, care and control efforts. Geneva: </w:t>
      </w:r>
      <w:r w:rsidRPr="0019074F">
        <w:rPr>
          <w:rFonts w:ascii="Tahoma" w:hAnsi="Tahoma"/>
          <w:sz w:val="16"/>
          <w:lang w:val="en-US"/>
        </w:rPr>
        <w:t>World Health Organization; 2010. Report No.: WHO/HTM/TB/2010.15.</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17.</w:t>
      </w:r>
      <w:r w:rsidRPr="0019074F">
        <w:rPr>
          <w:lang w:val="en-US"/>
        </w:rPr>
        <w:tab/>
      </w:r>
      <w:r w:rsidRPr="0019074F">
        <w:rPr>
          <w:rFonts w:ascii="Tahoma" w:hAnsi="Tahoma"/>
          <w:sz w:val="16"/>
          <w:lang w:val="en-US"/>
        </w:rPr>
        <w:t>Patients’ Charter for Tuberculosis Care: World Care Council; 2006.</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18.</w:t>
      </w:r>
      <w:r w:rsidRPr="0019074F">
        <w:rPr>
          <w:lang w:val="en-US"/>
        </w:rPr>
        <w:tab/>
      </w:r>
      <w:r w:rsidRPr="0019074F">
        <w:rPr>
          <w:rFonts w:ascii="Tahoma" w:hAnsi="Tahoma"/>
          <w:sz w:val="16"/>
          <w:lang w:val="en-US"/>
        </w:rPr>
        <w:t>World Health Organization. Definitions and reporting framework for tuberculosis – 2013 revision. Geneva: Word Health</w:t>
      </w:r>
      <w:r w:rsidRPr="0019074F">
        <w:rPr>
          <w:rFonts w:ascii="Tahoma" w:hAnsi="Tahoma"/>
          <w:sz w:val="16"/>
          <w:lang w:val="en-US"/>
        </w:rPr>
        <w:t xml:space="preserve"> Organization; 2013.</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19.</w:t>
      </w:r>
      <w:r w:rsidRPr="0019074F">
        <w:rPr>
          <w:lang w:val="en-US"/>
        </w:rPr>
        <w:tab/>
      </w:r>
      <w:r w:rsidRPr="0019074F">
        <w:rPr>
          <w:rFonts w:ascii="Tahoma" w:hAnsi="Tahoma"/>
          <w:sz w:val="16"/>
          <w:lang w:val="en-US"/>
        </w:rPr>
        <w:t>Nahid P, Dorman SE, Alipanah N, Barry PM, Brozek JL, Cattamanchi A, et al. Official American Thoracic Society/Centers for Disease Control and Prevention/Infectious Diseases Society of America Clinical Practice Guidelines: Treatment</w:t>
      </w:r>
      <w:r w:rsidRPr="0019074F">
        <w:rPr>
          <w:rFonts w:ascii="Tahoma" w:hAnsi="Tahoma"/>
          <w:sz w:val="16"/>
          <w:lang w:val="en-US"/>
        </w:rPr>
        <w:t xml:space="preserve"> of Drug-Susceptible Tuberculosis. Clin Infect Dis. 2016;63(7):e147-e195.</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20.</w:t>
      </w:r>
      <w:r w:rsidRPr="0019074F">
        <w:rPr>
          <w:lang w:val="en-US"/>
        </w:rPr>
        <w:tab/>
      </w:r>
      <w:r w:rsidRPr="0019074F">
        <w:rPr>
          <w:rFonts w:ascii="Tahoma" w:hAnsi="Tahoma"/>
          <w:sz w:val="16"/>
          <w:lang w:val="en-US"/>
        </w:rPr>
        <w:t>Sotgiu G, Nahid P, Loddenkemper R, Abubakar I, Miravitlles M, Migliori GB. The ERS-endorsed official ATS/CDC/IDSA clinical practice guidelines on treatment of drug-susceptible tu</w:t>
      </w:r>
      <w:r w:rsidRPr="0019074F">
        <w:rPr>
          <w:rFonts w:ascii="Tahoma" w:hAnsi="Tahoma"/>
          <w:sz w:val="16"/>
          <w:lang w:val="en-US"/>
        </w:rPr>
        <w:t>berculosis. Eur Respir J. 2016;48(4):963-971.</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21.</w:t>
      </w:r>
      <w:r w:rsidRPr="0019074F">
        <w:rPr>
          <w:lang w:val="en-US"/>
        </w:rPr>
        <w:tab/>
      </w:r>
      <w:r w:rsidRPr="0019074F">
        <w:rPr>
          <w:rFonts w:ascii="Tahoma" w:hAnsi="Tahoma"/>
          <w:sz w:val="16"/>
          <w:lang w:val="en-US"/>
        </w:rPr>
        <w:t>Falzon D, Jaramillo E, Schunemann HJ, Arentz M, Bauer M, Bayona J, et al. WHO guidelines for the programmatic management of drug-resistant tuberculosis: 2011 update. Eur Respir J. 2011;38(3):516-528.</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22.</w:t>
      </w:r>
      <w:r w:rsidRPr="0019074F">
        <w:rPr>
          <w:lang w:val="en-US"/>
        </w:rPr>
        <w:tab/>
      </w:r>
      <w:r w:rsidRPr="0019074F">
        <w:rPr>
          <w:rFonts w:ascii="Tahoma" w:hAnsi="Tahoma"/>
          <w:sz w:val="16"/>
          <w:lang w:val="en-US"/>
        </w:rPr>
        <w:t>Mi</w:t>
      </w:r>
      <w:r w:rsidRPr="0019074F">
        <w:rPr>
          <w:rFonts w:ascii="Tahoma" w:hAnsi="Tahoma"/>
          <w:sz w:val="16"/>
          <w:lang w:val="en-US"/>
        </w:rPr>
        <w:t>tnick CD, White RA, Lu C, Rodriguez CA, Bayona J, Becerra MC, et al. on behalf of the Collaborative Group for Analysis of Bacteriology Data in MDRTBT. Multidrug-resistant tuberculosis treatment failure detection depends on monitoring interval and microbiol</w:t>
      </w:r>
      <w:r w:rsidRPr="0019074F">
        <w:rPr>
          <w:rFonts w:ascii="Tahoma" w:hAnsi="Tahoma"/>
          <w:sz w:val="16"/>
          <w:lang w:val="en-US"/>
        </w:rPr>
        <w:t>ogical method. Eur Respir J. 2016;48(4):1160-1170.</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23.</w:t>
      </w:r>
      <w:r w:rsidRPr="0019074F">
        <w:rPr>
          <w:lang w:val="en-US"/>
        </w:rPr>
        <w:tab/>
      </w:r>
      <w:r w:rsidRPr="0019074F">
        <w:rPr>
          <w:rFonts w:ascii="Tahoma" w:hAnsi="Tahoma"/>
          <w:sz w:val="16"/>
          <w:lang w:val="en-US"/>
        </w:rPr>
        <w:t>World Health Organization. WHO treatment guidelines for drug-resistant tuberculosis: 2016 update. Geneva: World Health Organization; 2016.</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24.</w:t>
      </w:r>
      <w:r w:rsidRPr="0019074F">
        <w:rPr>
          <w:lang w:val="en-US"/>
        </w:rPr>
        <w:tab/>
      </w:r>
      <w:r w:rsidRPr="0019074F">
        <w:rPr>
          <w:rFonts w:ascii="Tahoma" w:hAnsi="Tahoma"/>
          <w:sz w:val="16"/>
          <w:lang w:val="en-US"/>
        </w:rPr>
        <w:t>World Health Organization. Guidelines for treatment of dru</w:t>
      </w:r>
      <w:r w:rsidRPr="0019074F">
        <w:rPr>
          <w:rFonts w:ascii="Tahoma" w:hAnsi="Tahoma"/>
          <w:sz w:val="16"/>
          <w:lang w:val="en-US"/>
        </w:rPr>
        <w:t>g-susceptible tuberculosis and patient care, 2017 update. Geneva: World Health Organization; 2017.</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25.</w:t>
      </w:r>
      <w:r w:rsidRPr="0019074F">
        <w:rPr>
          <w:lang w:val="en-US"/>
        </w:rPr>
        <w:tab/>
      </w:r>
      <w:r w:rsidRPr="0019074F">
        <w:rPr>
          <w:rFonts w:ascii="Tahoma" w:hAnsi="Tahoma"/>
          <w:sz w:val="16"/>
          <w:lang w:val="en-US"/>
        </w:rPr>
        <w:t>Falzon D, Schunemann HJ, Harausz E, Gonzalez-Angulo L, Lienhardt C, Jaramillo E, et al. World Health Organization treatment guidelines for drug-resistant</w:t>
      </w:r>
      <w:r w:rsidRPr="0019074F">
        <w:rPr>
          <w:rFonts w:ascii="Tahoma" w:hAnsi="Tahoma"/>
          <w:sz w:val="16"/>
          <w:lang w:val="en-US"/>
        </w:rPr>
        <w:t xml:space="preserve"> tuberculosis, 2016 update. Eur Respir J. 2017;49(3).</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26.</w:t>
      </w:r>
      <w:r w:rsidRPr="0019074F">
        <w:rPr>
          <w:lang w:val="en-US"/>
        </w:rPr>
        <w:tab/>
      </w:r>
      <w:r w:rsidRPr="0019074F">
        <w:rPr>
          <w:rFonts w:ascii="Tahoma" w:hAnsi="Tahoma"/>
          <w:sz w:val="16"/>
          <w:lang w:val="en-US"/>
        </w:rPr>
        <w:t>van der Werf MJ, Kodmon C, Dara M, Catchpole M. Shorter regimens for multidrug-resistant tuberculosis should also be applicable in Europe. Eur Respir J 2017;49(6).</w:t>
      </w:r>
    </w:p>
    <w:p w:rsidR="00DA3A70" w:rsidRPr="00E2211A" w:rsidP="0028467E">
      <w:pPr>
        <w:pStyle w:val="EndNoteBibliography"/>
        <w:spacing w:after="0"/>
        <w:ind w:left="426" w:hanging="426"/>
        <w:jc w:val="left"/>
        <w:rPr>
          <w:rFonts w:ascii="Tahoma" w:hAnsi="Tahoma" w:cs="Tahoma"/>
          <w:sz w:val="16"/>
          <w:szCs w:val="16"/>
          <w:lang w:val="fr-FR"/>
        </w:rPr>
      </w:pPr>
      <w:r w:rsidRPr="0019074F">
        <w:rPr>
          <w:rFonts w:ascii="Tahoma" w:hAnsi="Tahoma"/>
          <w:sz w:val="16"/>
          <w:lang w:val="en-US"/>
        </w:rPr>
        <w:t>27.</w:t>
      </w:r>
      <w:r w:rsidRPr="0019074F">
        <w:rPr>
          <w:lang w:val="en-US"/>
        </w:rPr>
        <w:tab/>
      </w:r>
      <w:r w:rsidRPr="0019074F">
        <w:rPr>
          <w:rFonts w:ascii="Tahoma" w:hAnsi="Tahoma"/>
          <w:sz w:val="16"/>
          <w:lang w:val="en-US"/>
        </w:rPr>
        <w:t>Caminero JA, Piubello A, Scard</w:t>
      </w:r>
      <w:r w:rsidRPr="0019074F">
        <w:rPr>
          <w:rFonts w:ascii="Tahoma" w:hAnsi="Tahoma"/>
          <w:sz w:val="16"/>
          <w:lang w:val="en-US"/>
        </w:rPr>
        <w:t xml:space="preserve">igli A, Migliori GB. Proposal for a standardised treatment regimen to manage pre- and extensively drug-resistant tuberculosis cases. </w:t>
      </w:r>
      <w:r w:rsidRPr="00E2211A">
        <w:rPr>
          <w:rFonts w:ascii="Tahoma" w:hAnsi="Tahoma"/>
          <w:sz w:val="16"/>
          <w:lang w:val="fr-FR"/>
        </w:rPr>
        <w:t>Eur Respir J. 2017;50(1).</w:t>
      </w:r>
    </w:p>
    <w:p w:rsidR="00DA3A70" w:rsidRPr="00E2211A" w:rsidP="0028467E">
      <w:pPr>
        <w:pStyle w:val="EndNoteBibliography"/>
        <w:spacing w:after="0"/>
        <w:ind w:left="426" w:hanging="426"/>
        <w:jc w:val="left"/>
        <w:rPr>
          <w:rFonts w:ascii="Tahoma" w:hAnsi="Tahoma" w:cs="Tahoma"/>
          <w:sz w:val="16"/>
          <w:szCs w:val="16"/>
          <w:lang w:val="en-US"/>
        </w:rPr>
      </w:pPr>
      <w:r w:rsidRPr="00E2211A">
        <w:rPr>
          <w:rFonts w:ascii="Tahoma" w:hAnsi="Tahoma"/>
          <w:sz w:val="16"/>
          <w:lang w:val="fr-FR"/>
        </w:rPr>
        <w:t>28.</w:t>
      </w:r>
      <w:r w:rsidRPr="00E2211A">
        <w:rPr>
          <w:lang w:val="fr-FR"/>
        </w:rPr>
        <w:tab/>
      </w:r>
      <w:r w:rsidRPr="00E2211A">
        <w:rPr>
          <w:rFonts w:ascii="Tahoma" w:hAnsi="Tahoma"/>
          <w:sz w:val="16"/>
          <w:lang w:val="fr-FR"/>
        </w:rPr>
        <w:t xml:space="preserve">Esposito S, D'Ambrosio L, Tadolini M, Schaaf HS, Caminero Luna J, Marais B, et al. </w:t>
      </w:r>
      <w:r w:rsidRPr="0019074F">
        <w:rPr>
          <w:rFonts w:ascii="Tahoma" w:hAnsi="Tahoma"/>
          <w:sz w:val="16"/>
          <w:lang w:val="en-US"/>
        </w:rPr>
        <w:t>ERS/WHO Tu</w:t>
      </w:r>
      <w:r w:rsidRPr="0019074F">
        <w:rPr>
          <w:rFonts w:ascii="Tahoma" w:hAnsi="Tahoma"/>
          <w:sz w:val="16"/>
          <w:lang w:val="en-US"/>
        </w:rPr>
        <w:t xml:space="preserve">berculosis Consilium assistance with extensively drug-resistant tuberculosis management in a child: case study of compassionate delamanid use. </w:t>
      </w:r>
      <w:r w:rsidRPr="00E2211A">
        <w:rPr>
          <w:rFonts w:ascii="Tahoma" w:hAnsi="Tahoma"/>
          <w:sz w:val="16"/>
          <w:lang w:val="en-US"/>
        </w:rPr>
        <w:t>Eur Respir J. 2014;44(3):811-815.</w:t>
      </w:r>
    </w:p>
    <w:p w:rsidR="00DA3A70" w:rsidRPr="009B3B4D" w:rsidP="0028467E">
      <w:pPr>
        <w:pStyle w:val="EndNoteBibliography"/>
        <w:spacing w:after="0"/>
        <w:ind w:left="426" w:hanging="426"/>
        <w:jc w:val="left"/>
        <w:rPr>
          <w:rFonts w:ascii="Tahoma" w:hAnsi="Tahoma" w:cs="Tahoma"/>
          <w:sz w:val="16"/>
          <w:szCs w:val="16"/>
        </w:rPr>
      </w:pPr>
      <w:r w:rsidRPr="00E2211A">
        <w:rPr>
          <w:rFonts w:ascii="Tahoma" w:hAnsi="Tahoma"/>
          <w:sz w:val="16"/>
          <w:lang w:val="en-US"/>
        </w:rPr>
        <w:t>29.</w:t>
      </w:r>
      <w:r w:rsidRPr="00E2211A">
        <w:rPr>
          <w:lang w:val="en-US"/>
        </w:rPr>
        <w:tab/>
      </w:r>
      <w:r w:rsidRPr="00E2211A">
        <w:rPr>
          <w:rFonts w:ascii="Tahoma" w:hAnsi="Tahoma"/>
          <w:sz w:val="16"/>
          <w:lang w:val="en-US"/>
        </w:rPr>
        <w:t xml:space="preserve">Borisov SE, Dheda K, Enwerem M, Romero Leyet R, D'Ambrosio L, Centis R, et </w:t>
      </w:r>
      <w:r w:rsidRPr="00E2211A">
        <w:rPr>
          <w:rFonts w:ascii="Tahoma" w:hAnsi="Tahoma"/>
          <w:sz w:val="16"/>
          <w:lang w:val="en-US"/>
        </w:rPr>
        <w:t xml:space="preserve">al. </w:t>
      </w:r>
      <w:r w:rsidRPr="0019074F">
        <w:rPr>
          <w:rFonts w:ascii="Tahoma" w:hAnsi="Tahoma"/>
          <w:sz w:val="16"/>
          <w:lang w:val="en-US"/>
        </w:rPr>
        <w:t xml:space="preserve">Effectiveness and safety of bedaquiline-containing regimens in the treatment of MDR- and XDR-TB: a multicentre study. </w:t>
      </w:r>
      <w:r w:rsidRPr="009B3B4D">
        <w:rPr>
          <w:rFonts w:ascii="Tahoma" w:hAnsi="Tahoma"/>
          <w:sz w:val="16"/>
        </w:rPr>
        <w:t>Eur Respir J. 2017;49(5).</w:t>
      </w:r>
    </w:p>
    <w:p w:rsidR="00DA3A70" w:rsidRPr="00E2211A" w:rsidP="0028467E">
      <w:pPr>
        <w:pStyle w:val="EndNoteBibliography"/>
        <w:spacing w:after="0"/>
        <w:ind w:left="426" w:hanging="426"/>
        <w:jc w:val="left"/>
        <w:rPr>
          <w:rFonts w:ascii="Tahoma" w:hAnsi="Tahoma" w:cs="Tahoma"/>
          <w:sz w:val="16"/>
          <w:szCs w:val="16"/>
          <w:lang w:val="fr-FR"/>
        </w:rPr>
      </w:pPr>
      <w:r w:rsidRPr="009B3B4D">
        <w:rPr>
          <w:rFonts w:ascii="Tahoma" w:hAnsi="Tahoma"/>
          <w:sz w:val="16"/>
        </w:rPr>
        <w:t>30.</w:t>
      </w:r>
      <w:r w:rsidRPr="009B3B4D">
        <w:tab/>
      </w:r>
      <w:r w:rsidRPr="009B3B4D">
        <w:rPr>
          <w:rFonts w:ascii="Tahoma" w:hAnsi="Tahoma"/>
          <w:sz w:val="16"/>
        </w:rPr>
        <w:t xml:space="preserve">Blasi F, Dara M, van der Werf MJ, Migliori GB. </w:t>
      </w:r>
      <w:r w:rsidRPr="0019074F">
        <w:rPr>
          <w:rFonts w:ascii="Tahoma" w:hAnsi="Tahoma"/>
          <w:sz w:val="16"/>
          <w:lang w:val="en-US"/>
        </w:rPr>
        <w:t>Supporting TB clinicians managing difficult cases: the ER</w:t>
      </w:r>
      <w:r w:rsidRPr="0019074F">
        <w:rPr>
          <w:rFonts w:ascii="Tahoma" w:hAnsi="Tahoma"/>
          <w:sz w:val="16"/>
          <w:lang w:val="en-US"/>
        </w:rPr>
        <w:t xml:space="preserve">S/WHO Consilium. </w:t>
      </w:r>
      <w:r w:rsidRPr="00E2211A">
        <w:rPr>
          <w:rFonts w:ascii="Tahoma" w:hAnsi="Tahoma"/>
          <w:sz w:val="16"/>
          <w:lang w:val="fr-FR"/>
        </w:rPr>
        <w:t>Eur Respir J. 2013;41(3):491-494.</w:t>
      </w:r>
    </w:p>
    <w:p w:rsidR="00DA3A70" w:rsidRPr="009B3B4D" w:rsidP="0028467E">
      <w:pPr>
        <w:pStyle w:val="EndNoteBibliography"/>
        <w:spacing w:after="0"/>
        <w:ind w:left="426" w:hanging="426"/>
        <w:jc w:val="left"/>
        <w:rPr>
          <w:rFonts w:ascii="Tahoma" w:hAnsi="Tahoma" w:cs="Tahoma"/>
          <w:sz w:val="16"/>
          <w:szCs w:val="16"/>
        </w:rPr>
      </w:pPr>
      <w:r w:rsidRPr="00E2211A">
        <w:rPr>
          <w:rFonts w:ascii="Tahoma" w:hAnsi="Tahoma"/>
          <w:sz w:val="16"/>
          <w:lang w:val="fr-FR"/>
        </w:rPr>
        <w:t>31.</w:t>
      </w:r>
      <w:r w:rsidRPr="00E2211A">
        <w:rPr>
          <w:lang w:val="fr-FR"/>
        </w:rPr>
        <w:tab/>
      </w:r>
      <w:r w:rsidRPr="00E2211A">
        <w:rPr>
          <w:rFonts w:ascii="Tahoma" w:hAnsi="Tahoma"/>
          <w:sz w:val="16"/>
          <w:lang w:val="fr-FR"/>
        </w:rPr>
        <w:t xml:space="preserve">Tadolini M, Garcia-Prats AJ, D'Ambrosio L, Hewison C, Centis R, Schaaf HS, et al. </w:t>
      </w:r>
      <w:r w:rsidRPr="0019074F">
        <w:rPr>
          <w:rFonts w:ascii="Tahoma" w:hAnsi="Tahoma"/>
          <w:sz w:val="16"/>
          <w:lang w:val="en-US"/>
        </w:rPr>
        <w:t>Compassionate use of new drugs in children and adolescents with multidrug-resistant and extensively drug-resistant tube</w:t>
      </w:r>
      <w:r w:rsidRPr="0019074F">
        <w:rPr>
          <w:rFonts w:ascii="Tahoma" w:hAnsi="Tahoma"/>
          <w:sz w:val="16"/>
          <w:lang w:val="en-US"/>
        </w:rPr>
        <w:t xml:space="preserve">rculosis: early experiences and challenges. </w:t>
      </w:r>
      <w:r w:rsidRPr="009B3B4D">
        <w:rPr>
          <w:rFonts w:ascii="Tahoma" w:hAnsi="Tahoma"/>
          <w:sz w:val="16"/>
        </w:rPr>
        <w:t>Eur Respir J. 2016;48(3):938-943.</w:t>
      </w:r>
    </w:p>
    <w:p w:rsidR="00DA3A70" w:rsidRPr="0019074F" w:rsidP="0028467E">
      <w:pPr>
        <w:pStyle w:val="EndNoteBibliography"/>
        <w:spacing w:after="0"/>
        <w:ind w:left="426" w:hanging="426"/>
        <w:jc w:val="left"/>
        <w:rPr>
          <w:rFonts w:ascii="Tahoma" w:hAnsi="Tahoma" w:cs="Tahoma"/>
          <w:sz w:val="16"/>
          <w:szCs w:val="16"/>
          <w:lang w:val="en-US"/>
        </w:rPr>
      </w:pPr>
      <w:r w:rsidRPr="009B3B4D">
        <w:rPr>
          <w:rFonts w:ascii="Tahoma" w:hAnsi="Tahoma"/>
          <w:sz w:val="16"/>
        </w:rPr>
        <w:t>32.</w:t>
      </w:r>
      <w:r w:rsidRPr="009B3B4D">
        <w:tab/>
      </w:r>
      <w:r w:rsidRPr="009B3B4D">
        <w:rPr>
          <w:rFonts w:ascii="Tahoma" w:hAnsi="Tahoma"/>
          <w:sz w:val="16"/>
        </w:rPr>
        <w:t xml:space="preserve">Lange C, Abubakar I, Alffenaar JW, Bothamley G, Caminero JA, Carvalho AC, et al. </w:t>
      </w:r>
      <w:r w:rsidRPr="0019074F">
        <w:rPr>
          <w:rFonts w:ascii="Tahoma" w:hAnsi="Tahoma"/>
          <w:sz w:val="16"/>
          <w:lang w:val="en-US"/>
        </w:rPr>
        <w:t>Management of patients with multidrug-resistant/extensively drug-resistant tuberculosis in Eu</w:t>
      </w:r>
      <w:r w:rsidRPr="0019074F">
        <w:rPr>
          <w:rFonts w:ascii="Tahoma" w:hAnsi="Tahoma"/>
          <w:sz w:val="16"/>
          <w:lang w:val="en-US"/>
        </w:rPr>
        <w:t>rope: a TBNET consensus statement. Eur Respir J. 2014;44(1):23-63.</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33.</w:t>
      </w:r>
      <w:r w:rsidRPr="0019074F">
        <w:rPr>
          <w:lang w:val="en-US"/>
        </w:rPr>
        <w:tab/>
      </w:r>
      <w:r w:rsidRPr="0019074F">
        <w:rPr>
          <w:rFonts w:ascii="Tahoma" w:hAnsi="Tahoma"/>
          <w:sz w:val="16"/>
          <w:lang w:val="en-US"/>
        </w:rPr>
        <w:t>Caminero JA. Management of multidrug-resistant tuberculosis and patients in retreatment. Eur Respir J. 2005;25(5):928-936.</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34.</w:t>
      </w:r>
      <w:r w:rsidRPr="0019074F">
        <w:rPr>
          <w:lang w:val="en-US"/>
        </w:rPr>
        <w:tab/>
      </w:r>
      <w:r w:rsidRPr="0019074F">
        <w:rPr>
          <w:rFonts w:ascii="Tahoma" w:hAnsi="Tahoma"/>
          <w:sz w:val="16"/>
          <w:lang w:val="en-US"/>
        </w:rPr>
        <w:t>World Health Organization. WHO policy on collaborative TB/</w:t>
      </w:r>
      <w:r w:rsidRPr="0019074F">
        <w:rPr>
          <w:rFonts w:ascii="Tahoma" w:hAnsi="Tahoma"/>
          <w:sz w:val="16"/>
          <w:lang w:val="en-US"/>
        </w:rPr>
        <w:t>HIV activities: guidelines for national programmes and other stakeholders. Geneva: World Health Organization; 2012.</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35.</w:t>
      </w:r>
      <w:r w:rsidRPr="0019074F">
        <w:rPr>
          <w:lang w:val="en-US"/>
        </w:rPr>
        <w:tab/>
      </w:r>
      <w:r w:rsidRPr="0019074F">
        <w:rPr>
          <w:rFonts w:ascii="Tahoma" w:hAnsi="Tahoma"/>
          <w:sz w:val="16"/>
          <w:lang w:val="en-US"/>
        </w:rPr>
        <w:t>European Centre for Disease Prevention and Control. Management of contacts of MDRTB and XDR TB patients. Stockholm: ECDC; 2012.</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36.</w:t>
      </w:r>
      <w:r w:rsidRPr="0019074F">
        <w:rPr>
          <w:lang w:val="en-US"/>
        </w:rPr>
        <w:tab/>
      </w:r>
      <w:r w:rsidRPr="0019074F">
        <w:rPr>
          <w:rFonts w:ascii="Tahoma" w:hAnsi="Tahoma"/>
          <w:sz w:val="16"/>
          <w:lang w:val="en-US"/>
        </w:rPr>
        <w:t>World Health Organization. Guidelines on the management of latent tuberculosis infection. 2015.</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37.</w:t>
      </w:r>
      <w:r w:rsidRPr="0019074F">
        <w:rPr>
          <w:lang w:val="en-US"/>
        </w:rPr>
        <w:tab/>
      </w:r>
      <w:r w:rsidRPr="0019074F">
        <w:rPr>
          <w:rFonts w:ascii="Tahoma" w:hAnsi="Tahoma"/>
          <w:sz w:val="16"/>
          <w:lang w:val="en-US"/>
        </w:rPr>
        <w:t xml:space="preserve">Zenner D, Beer N, Harris RJ, Lipman MC, Stagg HR, van der Werf MJ. Treatment of Latent Tuberculosis Infection: An Updated Network Meta-analysis. Ann Intern </w:t>
      </w:r>
      <w:r w:rsidRPr="0019074F">
        <w:rPr>
          <w:rFonts w:ascii="Tahoma" w:hAnsi="Tahoma"/>
          <w:sz w:val="16"/>
          <w:lang w:val="en-US"/>
        </w:rPr>
        <w:t>Med. 2017;167(4):248-255.</w:t>
      </w:r>
    </w:p>
    <w:p w:rsidR="00DA3A70" w:rsidRPr="00E2211A" w:rsidP="0028467E">
      <w:pPr>
        <w:pStyle w:val="EndNoteBibliography"/>
        <w:spacing w:after="0"/>
        <w:ind w:left="426" w:hanging="426"/>
        <w:jc w:val="left"/>
        <w:rPr>
          <w:rFonts w:ascii="Tahoma" w:hAnsi="Tahoma" w:cs="Tahoma"/>
          <w:sz w:val="16"/>
          <w:szCs w:val="16"/>
        </w:rPr>
      </w:pPr>
      <w:r w:rsidRPr="0019074F">
        <w:rPr>
          <w:rFonts w:ascii="Tahoma" w:hAnsi="Tahoma"/>
          <w:sz w:val="16"/>
          <w:lang w:val="en-US"/>
        </w:rPr>
        <w:t>38.</w:t>
      </w:r>
      <w:r w:rsidRPr="0019074F">
        <w:rPr>
          <w:lang w:val="en-US"/>
        </w:rPr>
        <w:tab/>
      </w:r>
      <w:r w:rsidRPr="0019074F">
        <w:rPr>
          <w:rFonts w:ascii="Tahoma" w:hAnsi="Tahoma"/>
          <w:sz w:val="16"/>
          <w:lang w:val="en-US"/>
        </w:rPr>
        <w:t xml:space="preserve">Getahun H, Matteelli A, Abubakar I, Aziz MA, Baddeley A, Barreira D, et al. Management of latent Mycobacterium tuberculosis infection: WHO guidelines for low tuberculosis burden countries. </w:t>
      </w:r>
      <w:r w:rsidRPr="00E2211A">
        <w:rPr>
          <w:rFonts w:ascii="Tahoma" w:hAnsi="Tahoma"/>
          <w:sz w:val="16"/>
        </w:rPr>
        <w:t>Eur Respir J. 2015;46(6):1563-1576.</w:t>
      </w:r>
    </w:p>
    <w:p w:rsidR="00DA3A70" w:rsidRPr="00E2211A" w:rsidP="0028467E">
      <w:pPr>
        <w:pStyle w:val="EndNoteBibliography"/>
        <w:spacing w:after="0"/>
        <w:ind w:left="426" w:hanging="426"/>
        <w:jc w:val="left"/>
        <w:rPr>
          <w:rFonts w:ascii="Tahoma" w:hAnsi="Tahoma" w:cs="Tahoma"/>
          <w:sz w:val="16"/>
          <w:szCs w:val="16"/>
          <w:lang w:val="en-US"/>
        </w:rPr>
      </w:pPr>
      <w:r w:rsidRPr="00E2211A">
        <w:rPr>
          <w:rFonts w:ascii="Tahoma" w:hAnsi="Tahoma"/>
          <w:sz w:val="16"/>
        </w:rPr>
        <w:t>3</w:t>
      </w:r>
      <w:r w:rsidRPr="00E2211A">
        <w:rPr>
          <w:rFonts w:ascii="Tahoma" w:hAnsi="Tahoma"/>
          <w:sz w:val="16"/>
        </w:rPr>
        <w:t>9.</w:t>
      </w:r>
      <w:r w:rsidRPr="00E2211A">
        <w:tab/>
      </w:r>
      <w:r w:rsidRPr="00E2211A">
        <w:rPr>
          <w:rFonts w:ascii="Tahoma" w:hAnsi="Tahoma"/>
          <w:sz w:val="16"/>
        </w:rPr>
        <w:t xml:space="preserve">Creswell J, Raviglione M, Ottmani S, Migliori GB, Uplekar M, Blanc L, et al. </w:t>
      </w:r>
      <w:r w:rsidRPr="0019074F">
        <w:rPr>
          <w:rFonts w:ascii="Tahoma" w:hAnsi="Tahoma"/>
          <w:sz w:val="16"/>
          <w:lang w:val="en-US"/>
        </w:rPr>
        <w:t xml:space="preserve">Tuberculosis and noncommunicable diseases: neglected links and missed opportunities. </w:t>
      </w:r>
      <w:r w:rsidRPr="00E2211A">
        <w:rPr>
          <w:rFonts w:ascii="Tahoma" w:hAnsi="Tahoma"/>
          <w:sz w:val="16"/>
          <w:lang w:val="en-US"/>
        </w:rPr>
        <w:t>Eur Respir J. 2011;37(5):1269-1282.</w:t>
      </w:r>
    </w:p>
    <w:p w:rsidR="00DA3A70" w:rsidRPr="009B3B4D" w:rsidP="0028467E">
      <w:pPr>
        <w:pStyle w:val="EndNoteBibliography"/>
        <w:spacing w:after="0"/>
        <w:ind w:left="426" w:hanging="426"/>
        <w:jc w:val="left"/>
        <w:rPr>
          <w:rFonts w:ascii="Tahoma" w:hAnsi="Tahoma" w:cs="Tahoma"/>
          <w:sz w:val="16"/>
          <w:szCs w:val="16"/>
        </w:rPr>
      </w:pPr>
      <w:r w:rsidRPr="009B3B4D">
        <w:rPr>
          <w:rFonts w:ascii="Tahoma" w:hAnsi="Tahoma"/>
          <w:sz w:val="16"/>
        </w:rPr>
        <w:t>40.</w:t>
      </w:r>
      <w:r w:rsidRPr="009B3B4D">
        <w:tab/>
      </w:r>
      <w:r w:rsidRPr="009B3B4D">
        <w:rPr>
          <w:rFonts w:ascii="Tahoma" w:hAnsi="Tahoma"/>
          <w:sz w:val="16"/>
        </w:rPr>
        <w:t>Erkens CG, Kamphorst M, Abubakar I, Bothamley GH, C</w:t>
      </w:r>
      <w:r w:rsidRPr="009B3B4D">
        <w:rPr>
          <w:rFonts w:ascii="Tahoma" w:hAnsi="Tahoma"/>
          <w:sz w:val="16"/>
        </w:rPr>
        <w:t xml:space="preserve">hemtob D, Haas W, et al. </w:t>
      </w:r>
      <w:r w:rsidRPr="00E2211A">
        <w:rPr>
          <w:rFonts w:ascii="Tahoma" w:hAnsi="Tahoma"/>
          <w:sz w:val="16"/>
        </w:rPr>
        <w:t xml:space="preserve">Tuberculosis contact investigation in low prevalence countries: a European consensus. </w:t>
      </w:r>
      <w:r w:rsidRPr="009B3B4D">
        <w:rPr>
          <w:rFonts w:ascii="Tahoma" w:hAnsi="Tahoma"/>
          <w:sz w:val="16"/>
        </w:rPr>
        <w:t>Eur Respir J. 2010;36(4):925-949.</w:t>
      </w:r>
    </w:p>
    <w:p w:rsidR="00DA3A70" w:rsidRPr="0019074F" w:rsidP="0028467E">
      <w:pPr>
        <w:pStyle w:val="EndNoteBibliography"/>
        <w:spacing w:after="0"/>
        <w:ind w:left="426" w:hanging="426"/>
        <w:jc w:val="left"/>
        <w:rPr>
          <w:rFonts w:ascii="Tahoma" w:hAnsi="Tahoma" w:cs="Tahoma"/>
          <w:sz w:val="16"/>
          <w:szCs w:val="16"/>
          <w:lang w:val="en-US"/>
        </w:rPr>
      </w:pPr>
      <w:r w:rsidRPr="009B3B4D">
        <w:rPr>
          <w:rFonts w:ascii="Tahoma" w:hAnsi="Tahoma"/>
          <w:sz w:val="16"/>
        </w:rPr>
        <w:t>41.</w:t>
      </w:r>
      <w:r w:rsidRPr="009B3B4D">
        <w:tab/>
      </w:r>
      <w:r w:rsidRPr="009B3B4D">
        <w:rPr>
          <w:rFonts w:ascii="Tahoma" w:hAnsi="Tahoma"/>
          <w:sz w:val="16"/>
        </w:rPr>
        <w:t xml:space="preserve">Luzzati R, Migliori G, Zignol M, Cirillo D, Maschi M, Tominz R, et al. </w:t>
      </w:r>
      <w:r w:rsidRPr="0019074F">
        <w:rPr>
          <w:rFonts w:ascii="Tahoma" w:hAnsi="Tahoma"/>
          <w:sz w:val="16"/>
          <w:lang w:val="en-US"/>
        </w:rPr>
        <w:t>Children under 5 years are at risk f</w:t>
      </w:r>
      <w:r w:rsidRPr="0019074F">
        <w:rPr>
          <w:rFonts w:ascii="Tahoma" w:hAnsi="Tahoma"/>
          <w:sz w:val="16"/>
          <w:lang w:val="en-US"/>
        </w:rPr>
        <w:t>or tuberculosis after occasional contact with highly contagious patients: an out-patient outbreak from a smear positive health care worker. Eur Respir J. 2017;In press.</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42.</w:t>
      </w:r>
      <w:r w:rsidRPr="0019074F">
        <w:rPr>
          <w:lang w:val="en-US"/>
        </w:rPr>
        <w:tab/>
      </w:r>
      <w:r w:rsidRPr="0019074F">
        <w:rPr>
          <w:rFonts w:ascii="Tahoma" w:hAnsi="Tahoma"/>
          <w:sz w:val="16"/>
          <w:lang w:val="en-US"/>
        </w:rPr>
        <w:t>European Centre for Disease Prevention and Control. Guidance on tuberculosis contro</w:t>
      </w:r>
      <w:r w:rsidRPr="0019074F">
        <w:rPr>
          <w:rFonts w:ascii="Tahoma" w:hAnsi="Tahoma"/>
          <w:sz w:val="16"/>
          <w:lang w:val="en-US"/>
        </w:rPr>
        <w:t>l in vulnerable and hard-to-reach populations. Stockholm: ECDC; 2016.</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43.</w:t>
      </w:r>
      <w:r w:rsidRPr="0019074F">
        <w:rPr>
          <w:lang w:val="en-US"/>
        </w:rPr>
        <w:tab/>
      </w:r>
      <w:r w:rsidRPr="0019074F">
        <w:rPr>
          <w:rFonts w:ascii="Tahoma" w:hAnsi="Tahoma"/>
          <w:sz w:val="16"/>
          <w:lang w:val="en-US"/>
        </w:rPr>
        <w:t>National Instititute for Health and Care Excellence. Tuberculosis (NG33). London: NICE; 2016.</w:t>
      </w:r>
    </w:p>
    <w:p w:rsidR="00DA3A70" w:rsidRPr="00E2211A" w:rsidP="0028467E">
      <w:pPr>
        <w:pStyle w:val="EndNoteBibliography"/>
        <w:spacing w:after="0"/>
        <w:ind w:left="426" w:hanging="426"/>
        <w:jc w:val="left"/>
        <w:rPr>
          <w:rFonts w:ascii="Tahoma" w:hAnsi="Tahoma" w:cs="Tahoma"/>
          <w:sz w:val="16"/>
          <w:szCs w:val="16"/>
        </w:rPr>
      </w:pPr>
      <w:r w:rsidRPr="0019074F">
        <w:rPr>
          <w:rFonts w:ascii="Tahoma" w:hAnsi="Tahoma"/>
          <w:sz w:val="16"/>
          <w:lang w:val="en-US"/>
        </w:rPr>
        <w:t>44.</w:t>
      </w:r>
      <w:r w:rsidRPr="0019074F">
        <w:rPr>
          <w:lang w:val="en-US"/>
        </w:rPr>
        <w:tab/>
      </w:r>
      <w:r w:rsidRPr="0019074F">
        <w:rPr>
          <w:rFonts w:ascii="Tahoma" w:hAnsi="Tahoma"/>
          <w:sz w:val="16"/>
          <w:lang w:val="en-US"/>
        </w:rPr>
        <w:t xml:space="preserve">Dara M, de Colombani P, Petrova-Benedict R, Centis R, Zellweger JP, Sandgren A, et </w:t>
      </w:r>
      <w:r w:rsidRPr="0019074F">
        <w:rPr>
          <w:rFonts w:ascii="Tahoma" w:hAnsi="Tahoma"/>
          <w:sz w:val="16"/>
          <w:lang w:val="en-US"/>
        </w:rPr>
        <w:t xml:space="preserve">al. Wolfheze Transborder Migration Task F. Minimum package for cross-border TB control and care in the WHO European region: a Wolfheze consensus statement. </w:t>
      </w:r>
      <w:r w:rsidRPr="00E2211A">
        <w:rPr>
          <w:rFonts w:ascii="Tahoma" w:hAnsi="Tahoma"/>
          <w:sz w:val="16"/>
        </w:rPr>
        <w:t>Eur Respir J. 2012;40(5):1081-1090.</w:t>
      </w:r>
    </w:p>
    <w:p w:rsidR="00DA3A70" w:rsidRPr="0019074F" w:rsidP="0028467E">
      <w:pPr>
        <w:pStyle w:val="EndNoteBibliography"/>
        <w:spacing w:after="0"/>
        <w:ind w:left="426" w:hanging="426"/>
        <w:jc w:val="left"/>
        <w:rPr>
          <w:rFonts w:ascii="Tahoma" w:hAnsi="Tahoma" w:cs="Tahoma"/>
          <w:sz w:val="16"/>
          <w:szCs w:val="16"/>
          <w:lang w:val="en-US"/>
        </w:rPr>
      </w:pPr>
      <w:r w:rsidRPr="00E2211A">
        <w:rPr>
          <w:rFonts w:ascii="Tahoma" w:hAnsi="Tahoma"/>
          <w:sz w:val="16"/>
        </w:rPr>
        <w:t>45.</w:t>
      </w:r>
      <w:r w:rsidRPr="00E2211A">
        <w:tab/>
      </w:r>
      <w:r w:rsidRPr="00E2211A">
        <w:rPr>
          <w:rFonts w:ascii="Tahoma" w:hAnsi="Tahoma"/>
          <w:sz w:val="16"/>
        </w:rPr>
        <w:t xml:space="preserve">Leung CC, Rieder HL, Lange C, Yew WW. </w:t>
      </w:r>
      <w:r w:rsidRPr="0019074F">
        <w:rPr>
          <w:rFonts w:ascii="Tahoma" w:hAnsi="Tahoma"/>
          <w:sz w:val="16"/>
          <w:lang w:val="en-US"/>
        </w:rPr>
        <w:t>Treatment of latent in</w:t>
      </w:r>
      <w:r w:rsidRPr="0019074F">
        <w:rPr>
          <w:rFonts w:ascii="Tahoma" w:hAnsi="Tahoma"/>
          <w:sz w:val="16"/>
          <w:lang w:val="en-US"/>
        </w:rPr>
        <w:t>fection with Mycobacterium tuberculosis: update 2010. Eur Respir J. 2011;37(3):690-711.</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46.</w:t>
      </w:r>
      <w:r w:rsidRPr="0019074F">
        <w:rPr>
          <w:lang w:val="en-US"/>
        </w:rPr>
        <w:tab/>
      </w:r>
      <w:r w:rsidRPr="0019074F">
        <w:rPr>
          <w:rFonts w:ascii="Tahoma" w:hAnsi="Tahoma"/>
          <w:sz w:val="16"/>
          <w:lang w:val="en-US"/>
        </w:rPr>
        <w:t>Woldehanna S, Volmink J. Treatment of latent tuberculosis infection in HIV infected persons. The Cochrane database of systematic reviews. 2004(1):Cd000171.</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47.</w:t>
      </w:r>
      <w:r w:rsidRPr="0019074F">
        <w:rPr>
          <w:lang w:val="en-US"/>
        </w:rPr>
        <w:tab/>
      </w:r>
      <w:r w:rsidRPr="0019074F">
        <w:rPr>
          <w:rFonts w:ascii="Tahoma" w:hAnsi="Tahoma"/>
          <w:sz w:val="16"/>
          <w:lang w:val="en-US"/>
        </w:rPr>
        <w:t>Euro</w:t>
      </w:r>
      <w:r w:rsidRPr="0019074F">
        <w:rPr>
          <w:rFonts w:ascii="Tahoma" w:hAnsi="Tahoma"/>
          <w:sz w:val="16"/>
          <w:lang w:val="en-US"/>
        </w:rPr>
        <w:t>pean Centre for Disease Prevention and Control. Investigation and control of tuberculosis incidents affecting children in congregate settings. Stockholm: ECDC; 2013.</w:t>
      </w:r>
    </w:p>
    <w:p w:rsidR="00DA3A70" w:rsidRPr="00E2211A" w:rsidP="0028467E">
      <w:pPr>
        <w:pStyle w:val="EndNoteBibliography"/>
        <w:spacing w:after="0"/>
        <w:ind w:left="426" w:hanging="426"/>
        <w:jc w:val="left"/>
        <w:rPr>
          <w:rFonts w:ascii="Tahoma" w:hAnsi="Tahoma" w:cs="Tahoma"/>
          <w:sz w:val="16"/>
          <w:szCs w:val="16"/>
          <w:lang w:val="fr-FR"/>
        </w:rPr>
      </w:pPr>
      <w:r w:rsidRPr="0019074F">
        <w:rPr>
          <w:rFonts w:ascii="Tahoma" w:hAnsi="Tahoma"/>
          <w:sz w:val="16"/>
          <w:lang w:val="en-US"/>
        </w:rPr>
        <w:t>48.</w:t>
      </w:r>
      <w:r w:rsidRPr="0019074F">
        <w:rPr>
          <w:lang w:val="en-US"/>
        </w:rPr>
        <w:tab/>
      </w:r>
      <w:r w:rsidRPr="0019074F">
        <w:rPr>
          <w:rFonts w:ascii="Tahoma" w:hAnsi="Tahoma"/>
          <w:sz w:val="16"/>
          <w:lang w:val="en-US"/>
        </w:rPr>
        <w:t>Mack U, Migliori GB, Sester M, Rieder HL, Ehlers S, Goletti D, et al. Tbnet. LTBI: lat</w:t>
      </w:r>
      <w:r w:rsidRPr="0019074F">
        <w:rPr>
          <w:rFonts w:ascii="Tahoma" w:hAnsi="Tahoma"/>
          <w:sz w:val="16"/>
          <w:lang w:val="en-US"/>
        </w:rPr>
        <w:t xml:space="preserve">ent tuberculosis infection or lasting immune responses to M. tuberculosis? </w:t>
      </w:r>
      <w:r w:rsidRPr="00E2211A">
        <w:rPr>
          <w:rFonts w:ascii="Tahoma" w:hAnsi="Tahoma"/>
          <w:sz w:val="16"/>
          <w:lang w:val="fr-FR"/>
        </w:rPr>
        <w:t>A TBNET consensus statement. Eur Respir J. 2009;33(5):956-973.</w:t>
      </w:r>
    </w:p>
    <w:p w:rsidR="00DA3A70" w:rsidRPr="0019074F" w:rsidP="0028467E">
      <w:pPr>
        <w:pStyle w:val="EndNoteBibliography"/>
        <w:spacing w:after="0"/>
        <w:ind w:left="426" w:hanging="426"/>
        <w:jc w:val="left"/>
        <w:rPr>
          <w:rFonts w:ascii="Tahoma" w:hAnsi="Tahoma" w:cs="Tahoma"/>
          <w:sz w:val="16"/>
          <w:szCs w:val="16"/>
          <w:lang w:val="en-US"/>
        </w:rPr>
      </w:pPr>
      <w:r w:rsidRPr="00E2211A">
        <w:rPr>
          <w:rFonts w:ascii="Tahoma" w:hAnsi="Tahoma"/>
          <w:sz w:val="16"/>
          <w:lang w:val="fr-FR"/>
        </w:rPr>
        <w:t>49.</w:t>
      </w:r>
      <w:r w:rsidRPr="00E2211A">
        <w:rPr>
          <w:lang w:val="fr-FR"/>
        </w:rPr>
        <w:tab/>
      </w:r>
      <w:r w:rsidRPr="00E2211A">
        <w:rPr>
          <w:rFonts w:ascii="Tahoma" w:hAnsi="Tahoma"/>
          <w:sz w:val="16"/>
          <w:lang w:val="fr-FR"/>
        </w:rPr>
        <w:t xml:space="preserve">Lange C, Rieder HL. </w:t>
      </w:r>
      <w:r w:rsidRPr="0019074F">
        <w:rPr>
          <w:rFonts w:ascii="Tahoma" w:hAnsi="Tahoma"/>
          <w:sz w:val="16"/>
          <w:lang w:val="en-US"/>
        </w:rPr>
        <w:t>Intention to test is intention to treat. Am J Respir Crit Care Med. 2011;183(1):3-4.</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50.</w:t>
      </w:r>
      <w:r w:rsidRPr="0019074F">
        <w:rPr>
          <w:lang w:val="en-US"/>
        </w:rPr>
        <w:tab/>
      </w:r>
      <w:r w:rsidRPr="0019074F">
        <w:rPr>
          <w:rFonts w:ascii="Tahoma" w:hAnsi="Tahoma"/>
          <w:sz w:val="16"/>
          <w:lang w:val="en-US"/>
        </w:rPr>
        <w:t>World</w:t>
      </w:r>
      <w:r w:rsidRPr="0019074F">
        <w:rPr>
          <w:rFonts w:ascii="Tahoma" w:hAnsi="Tahoma"/>
          <w:sz w:val="16"/>
          <w:lang w:val="en-US"/>
        </w:rPr>
        <w:t xml:space="preserve"> Health Organization. WHO policy on TB infection control in health - care facilities, congregate settings and households. Geneva: World Health Organization; 2009.</w:t>
      </w:r>
    </w:p>
    <w:p w:rsidR="00DA3A70" w:rsidRPr="00E2211A" w:rsidP="0028467E">
      <w:pPr>
        <w:pStyle w:val="EndNoteBibliography"/>
        <w:spacing w:after="0"/>
        <w:ind w:left="426" w:hanging="426"/>
        <w:jc w:val="left"/>
        <w:rPr>
          <w:rFonts w:ascii="Tahoma" w:hAnsi="Tahoma" w:cs="Tahoma"/>
          <w:sz w:val="16"/>
          <w:szCs w:val="16"/>
          <w:lang w:val="fr-FR"/>
        </w:rPr>
      </w:pPr>
      <w:r w:rsidRPr="0019074F">
        <w:rPr>
          <w:rFonts w:ascii="Tahoma" w:hAnsi="Tahoma"/>
          <w:sz w:val="16"/>
          <w:lang w:val="en-US"/>
        </w:rPr>
        <w:t>51.</w:t>
      </w:r>
      <w:r w:rsidRPr="0019074F">
        <w:rPr>
          <w:lang w:val="en-US"/>
        </w:rPr>
        <w:tab/>
      </w:r>
      <w:r w:rsidRPr="0019074F">
        <w:rPr>
          <w:rFonts w:ascii="Tahoma" w:hAnsi="Tahoma"/>
          <w:sz w:val="16"/>
          <w:lang w:val="en-US"/>
        </w:rPr>
        <w:t>Sotgiu G, D'Ambrosio L, Centis R, Bothamley G, Cirillo DM, De Lorenzo S, et al. TB and M/</w:t>
      </w:r>
      <w:r w:rsidRPr="0019074F">
        <w:rPr>
          <w:rFonts w:ascii="Tahoma" w:hAnsi="Tahoma"/>
          <w:sz w:val="16"/>
          <w:lang w:val="en-US"/>
        </w:rPr>
        <w:t xml:space="preserve">XDR-TB infection control in European TB reference centres: the Achilles' heel? </w:t>
      </w:r>
      <w:r w:rsidRPr="00E2211A">
        <w:rPr>
          <w:rFonts w:ascii="Tahoma" w:hAnsi="Tahoma"/>
          <w:sz w:val="16"/>
          <w:lang w:val="fr-FR"/>
        </w:rPr>
        <w:t>Eur Respir J. 2011;38(5):1221-1223.</w:t>
      </w:r>
    </w:p>
    <w:p w:rsidR="00DA3A70" w:rsidRPr="009B3B4D" w:rsidP="0028467E">
      <w:pPr>
        <w:pStyle w:val="EndNoteBibliography"/>
        <w:spacing w:after="0"/>
        <w:ind w:left="426" w:hanging="426"/>
        <w:jc w:val="left"/>
        <w:rPr>
          <w:rFonts w:ascii="Tahoma" w:hAnsi="Tahoma" w:cs="Tahoma"/>
          <w:sz w:val="16"/>
          <w:szCs w:val="16"/>
        </w:rPr>
      </w:pPr>
      <w:r w:rsidRPr="00E2211A">
        <w:rPr>
          <w:rFonts w:ascii="Tahoma" w:hAnsi="Tahoma"/>
          <w:sz w:val="16"/>
          <w:lang w:val="fr-FR"/>
        </w:rPr>
        <w:t>52.</w:t>
      </w:r>
      <w:r w:rsidRPr="00E2211A">
        <w:rPr>
          <w:lang w:val="fr-FR"/>
        </w:rPr>
        <w:tab/>
      </w:r>
      <w:r w:rsidRPr="00E2211A">
        <w:rPr>
          <w:rFonts w:ascii="Tahoma" w:hAnsi="Tahoma"/>
          <w:sz w:val="16"/>
          <w:lang w:val="fr-FR"/>
        </w:rPr>
        <w:t xml:space="preserve">Matteelli A, Centis R, D'Ambrosio L, Sotgiu G, Tadolini M, Pontali E, et al. </w:t>
      </w:r>
      <w:r w:rsidRPr="0019074F">
        <w:rPr>
          <w:rFonts w:ascii="Tahoma" w:hAnsi="Tahoma"/>
          <w:sz w:val="16"/>
          <w:lang w:val="en-US"/>
        </w:rPr>
        <w:t>WHO strategies for the programmatic management of drug-resis</w:t>
      </w:r>
      <w:r w:rsidRPr="0019074F">
        <w:rPr>
          <w:rFonts w:ascii="Tahoma" w:hAnsi="Tahoma"/>
          <w:sz w:val="16"/>
          <w:lang w:val="en-US"/>
        </w:rPr>
        <w:t xml:space="preserve">tant tuberculosis. </w:t>
      </w:r>
      <w:r w:rsidRPr="009B3B4D">
        <w:rPr>
          <w:rFonts w:ascii="Tahoma" w:hAnsi="Tahoma"/>
          <w:sz w:val="16"/>
        </w:rPr>
        <w:t>Expert Rev Respir Med. 2016;10(9):991-1002.</w:t>
      </w:r>
    </w:p>
    <w:p w:rsidR="00DA3A70" w:rsidRPr="0019074F" w:rsidP="0028467E">
      <w:pPr>
        <w:pStyle w:val="EndNoteBibliography"/>
        <w:spacing w:after="0"/>
        <w:ind w:left="426" w:hanging="426"/>
        <w:jc w:val="left"/>
        <w:rPr>
          <w:rFonts w:ascii="Tahoma" w:hAnsi="Tahoma" w:cs="Tahoma"/>
          <w:sz w:val="16"/>
          <w:szCs w:val="16"/>
          <w:lang w:val="en-US"/>
        </w:rPr>
      </w:pPr>
      <w:r w:rsidRPr="009B3B4D">
        <w:rPr>
          <w:rFonts w:ascii="Tahoma" w:hAnsi="Tahoma"/>
          <w:sz w:val="16"/>
        </w:rPr>
        <w:t>53.</w:t>
      </w:r>
      <w:r w:rsidRPr="009B3B4D">
        <w:tab/>
      </w:r>
      <w:r w:rsidRPr="009B3B4D">
        <w:rPr>
          <w:rFonts w:ascii="Tahoma" w:hAnsi="Tahoma"/>
          <w:sz w:val="16"/>
        </w:rPr>
        <w:t xml:space="preserve">Laserson KF, Thorpe LE, Leimane V, Weyer K, Mitnick CD, Riekstina V, et al. </w:t>
      </w:r>
      <w:r w:rsidRPr="0019074F">
        <w:rPr>
          <w:rFonts w:ascii="Tahoma" w:hAnsi="Tahoma"/>
          <w:sz w:val="16"/>
          <w:lang w:val="en-US"/>
        </w:rPr>
        <w:t>Speaking the same language: treatment outcome definitions for multidrug-resistant tuberculosis. Int J Tuberc Lung</w:t>
      </w:r>
      <w:r w:rsidRPr="0019074F">
        <w:rPr>
          <w:rFonts w:ascii="Tahoma" w:hAnsi="Tahoma"/>
          <w:sz w:val="16"/>
          <w:lang w:val="en-US"/>
        </w:rPr>
        <w:t xml:space="preserve"> Dis. 2005;9(6):640-645.</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54.</w:t>
      </w:r>
      <w:r w:rsidRPr="0019074F">
        <w:rPr>
          <w:lang w:val="en-US"/>
        </w:rPr>
        <w:tab/>
      </w:r>
      <w:r w:rsidRPr="0019074F">
        <w:rPr>
          <w:rFonts w:ascii="Tahoma" w:hAnsi="Tahoma"/>
          <w:sz w:val="16"/>
          <w:lang w:val="en-US"/>
        </w:rPr>
        <w:t>European Centre for Disease Prevention and Control, World Health Organization. Regional Office for Europe. Tuberculosis surveillance and monitoring in Europe: 2017. Stockholm: ECDC; 2017. Available from: http://dx.doi.org/10.29</w:t>
      </w:r>
      <w:r w:rsidRPr="0019074F">
        <w:rPr>
          <w:rFonts w:ascii="Tahoma" w:hAnsi="Tahoma"/>
          <w:sz w:val="16"/>
          <w:lang w:val="en-US"/>
        </w:rPr>
        <w:t>00/2767.</w:t>
      </w:r>
    </w:p>
    <w:p w:rsidR="00DA3A70" w:rsidRPr="0019074F"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55.</w:t>
      </w:r>
      <w:r w:rsidRPr="0019074F">
        <w:rPr>
          <w:lang w:val="en-US"/>
        </w:rPr>
        <w:tab/>
      </w:r>
      <w:r w:rsidRPr="0019074F">
        <w:rPr>
          <w:rFonts w:ascii="Tahoma" w:hAnsi="Tahoma"/>
          <w:sz w:val="16"/>
          <w:lang w:val="en-US"/>
        </w:rPr>
        <w:t>Mor Z, Migliori GB, Althomsons SP, Loddenkemper R, Trnka L, Iademarco MF. Comparison of tuberculosis surveillance systems in low-incidence industrialised countries. Eur Respir J. 2008;32(6):1616-1624.</w:t>
      </w:r>
    </w:p>
    <w:p w:rsidR="00DA3A70" w:rsidRPr="00E2211A" w:rsidP="0028467E">
      <w:pPr>
        <w:pStyle w:val="EndNoteBibliography"/>
        <w:spacing w:after="0"/>
        <w:ind w:left="426" w:hanging="426"/>
        <w:jc w:val="left"/>
        <w:rPr>
          <w:rFonts w:ascii="Tahoma" w:hAnsi="Tahoma" w:cs="Tahoma"/>
          <w:sz w:val="16"/>
          <w:szCs w:val="16"/>
          <w:lang w:val="en-US"/>
        </w:rPr>
      </w:pPr>
      <w:r w:rsidRPr="0019074F">
        <w:rPr>
          <w:rFonts w:ascii="Tahoma" w:hAnsi="Tahoma"/>
          <w:sz w:val="16"/>
          <w:lang w:val="en-US"/>
        </w:rPr>
        <w:t>56.</w:t>
      </w:r>
      <w:r w:rsidRPr="0019074F">
        <w:rPr>
          <w:lang w:val="en-US"/>
        </w:rPr>
        <w:tab/>
      </w:r>
      <w:r w:rsidRPr="0019074F">
        <w:rPr>
          <w:rFonts w:ascii="Tahoma" w:hAnsi="Tahoma"/>
          <w:sz w:val="16"/>
          <w:lang w:val="en-US"/>
        </w:rPr>
        <w:t>Uplekar M, Atre S, Wells WA, Weil D, L</w:t>
      </w:r>
      <w:r w:rsidRPr="0019074F">
        <w:rPr>
          <w:rFonts w:ascii="Tahoma" w:hAnsi="Tahoma"/>
          <w:sz w:val="16"/>
          <w:lang w:val="en-US"/>
        </w:rPr>
        <w:t xml:space="preserve">opez R, Migliori G, et al. Mandatory tuberculosis case notification in high tuberculosis-incidence countries: policy and practices. </w:t>
      </w:r>
      <w:r w:rsidRPr="00E2211A">
        <w:rPr>
          <w:rFonts w:ascii="Tahoma" w:hAnsi="Tahoma"/>
          <w:sz w:val="16"/>
          <w:lang w:val="en-US"/>
        </w:rPr>
        <w:t>Eur Respir J. 2016(48):1571-1581.</w:t>
      </w:r>
    </w:p>
    <w:p w:rsidR="008B2FFB" w:rsidRPr="000D0DB0" w:rsidP="0028467E">
      <w:pPr>
        <w:pStyle w:val="EndNoteBibliography"/>
        <w:ind w:left="426" w:hanging="426"/>
        <w:jc w:val="left"/>
      </w:pPr>
      <w:r w:rsidRPr="00E2211A">
        <w:rPr>
          <w:rFonts w:ascii="Tahoma" w:hAnsi="Tahoma"/>
          <w:sz w:val="16"/>
          <w:lang w:val="en-US"/>
        </w:rPr>
        <w:t>57.</w:t>
      </w:r>
      <w:r w:rsidRPr="00E2211A">
        <w:rPr>
          <w:lang w:val="en-US"/>
        </w:rPr>
        <w:tab/>
      </w:r>
      <w:r w:rsidRPr="00E2211A">
        <w:rPr>
          <w:rFonts w:ascii="Tahoma" w:hAnsi="Tahoma"/>
          <w:sz w:val="16"/>
          <w:lang w:val="en-US"/>
        </w:rPr>
        <w:t>Heldal E, Kuyvenhoven JV, Wares F, Migliori GB, Ditiu L, Fernandez de la Hoz K, et al.</w:t>
      </w:r>
      <w:r w:rsidRPr="00E2211A">
        <w:rPr>
          <w:rFonts w:ascii="Tahoma" w:hAnsi="Tahoma"/>
          <w:sz w:val="16"/>
          <w:lang w:val="en-US"/>
        </w:rPr>
        <w:t xml:space="preserve"> </w:t>
      </w:r>
      <w:r w:rsidRPr="0019074F">
        <w:rPr>
          <w:rFonts w:ascii="Tahoma" w:hAnsi="Tahoma"/>
          <w:sz w:val="16"/>
          <w:lang w:val="en-US"/>
        </w:rPr>
        <w:t xml:space="preserve">Diagnosis and treatment of tuberculosis in undocumented migrants in low- or intermediate-incidence countries. </w:t>
      </w:r>
      <w:r w:rsidRPr="009B3B4D">
        <w:rPr>
          <w:rFonts w:ascii="Tahoma" w:hAnsi="Tahoma"/>
          <w:sz w:val="16"/>
        </w:rPr>
        <w:t>Int J Tuberc Lung Dis. 2008;12(8):878-888.</w:t>
      </w:r>
    </w:p>
    <w:sectPr w:rsidSect="000D0DB0">
      <w:footerReference w:type="default" r:id="rId5"/>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4C94" w:rsidRPr="00847A9F" w:rsidP="00847A9F">
    <w:pPr>
      <w:pStyle w:val="Footer"/>
      <w:spacing w:after="0" w:line="240" w:lineRule="auto"/>
      <w:jc w:val="center"/>
      <w:rPr>
        <w:rFonts w:ascii="Arial" w:hAnsi="Arial" w:cs="Arial"/>
        <w:sz w:val="20"/>
        <w:szCs w:val="20"/>
      </w:rPr>
    </w:pPr>
  </w:p>
  <w:p w:rsidR="00974C94" w:rsidRPr="00847A9F" w:rsidP="00847A9F">
    <w:pPr>
      <w:pStyle w:val="Footer"/>
      <w:spacing w:after="0" w:line="240" w:lineRule="auto"/>
      <w:jc w:val="center"/>
      <w:rPr>
        <w:rFonts w:ascii="Arial" w:hAnsi="Arial" w:cs="Arial"/>
        <w:sz w:val="20"/>
        <w:szCs w:val="20"/>
      </w:rPr>
    </w:pPr>
    <w:r>
      <w:rPr>
        <w:rFonts w:ascii="Arial" w:hAnsi="Arial"/>
        <w:sz w:val="20"/>
      </w:rPr>
      <w:t xml:space="preserve">- </w:t>
    </w:r>
    <w:r w:rsidRPr="00847A9F">
      <w:rPr>
        <w:rFonts w:ascii="Arial" w:hAnsi="Arial" w:cs="Arial"/>
        <w:sz w:val="20"/>
        <w:szCs w:val="20"/>
      </w:rPr>
      <w:fldChar w:fldCharType="begin"/>
    </w:r>
    <w:r w:rsidRPr="00847A9F">
      <w:rPr>
        <w:rFonts w:ascii="Arial" w:hAnsi="Arial" w:cs="Arial"/>
        <w:sz w:val="20"/>
        <w:szCs w:val="20"/>
      </w:rPr>
      <w:instrText xml:space="preserve"> PAGE   \* MERGEFORMAT </w:instrText>
    </w:r>
    <w:r w:rsidRPr="00847A9F">
      <w:rPr>
        <w:rFonts w:ascii="Arial" w:hAnsi="Arial" w:cs="Arial"/>
        <w:sz w:val="20"/>
        <w:szCs w:val="20"/>
      </w:rPr>
      <w:fldChar w:fldCharType="separate"/>
    </w:r>
    <w:r>
      <w:rPr>
        <w:rFonts w:ascii="Arial" w:hAnsi="Arial" w:cs="Arial"/>
        <w:noProof/>
        <w:sz w:val="20"/>
        <w:szCs w:val="20"/>
      </w:rPr>
      <w:t>1</w:t>
    </w:r>
    <w:r w:rsidRPr="00847A9F">
      <w:rPr>
        <w:rFonts w:ascii="Arial" w:hAnsi="Arial" w:cs="Arial"/>
        <w:sz w:val="20"/>
        <w:szCs w:val="20"/>
      </w:rPr>
      <w:fldChar w:fldCharType="end"/>
    </w:r>
    <w:r>
      <w:rPr>
        <w:rFonts w:ascii="Arial" w:hAnsi="Arial"/>
        <w:sz w:val="20"/>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C0C01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9E6CF02"/>
    <w:lvl w:ilvl="0">
      <w:start w:val="1"/>
      <w:numFmt w:val="decimal"/>
      <w:lvlText w:val="%1."/>
      <w:lvlJc w:val="left"/>
      <w:pPr>
        <w:tabs>
          <w:tab w:val="num" w:pos="1492"/>
        </w:tabs>
        <w:ind w:left="1492" w:hanging="360"/>
      </w:pPr>
    </w:lvl>
  </w:abstractNum>
  <w:abstractNum w:abstractNumId="2">
    <w:nsid w:val="FFFFFF7D"/>
    <w:multiLevelType w:val="singleLevel"/>
    <w:tmpl w:val="99EEE6BA"/>
    <w:lvl w:ilvl="0">
      <w:start w:val="1"/>
      <w:numFmt w:val="decimal"/>
      <w:lvlText w:val="%1."/>
      <w:lvlJc w:val="left"/>
      <w:pPr>
        <w:tabs>
          <w:tab w:val="num" w:pos="1209"/>
        </w:tabs>
        <w:ind w:left="1209" w:hanging="360"/>
      </w:pPr>
    </w:lvl>
  </w:abstractNum>
  <w:abstractNum w:abstractNumId="3">
    <w:nsid w:val="FFFFFF7E"/>
    <w:multiLevelType w:val="singleLevel"/>
    <w:tmpl w:val="72D86C2A"/>
    <w:lvl w:ilvl="0">
      <w:start w:val="1"/>
      <w:numFmt w:val="decimal"/>
      <w:lvlText w:val="%1."/>
      <w:lvlJc w:val="left"/>
      <w:pPr>
        <w:tabs>
          <w:tab w:val="num" w:pos="926"/>
        </w:tabs>
        <w:ind w:left="926" w:hanging="360"/>
      </w:pPr>
    </w:lvl>
  </w:abstractNum>
  <w:abstractNum w:abstractNumId="4">
    <w:nsid w:val="FFFFFF7F"/>
    <w:multiLevelType w:val="singleLevel"/>
    <w:tmpl w:val="A70AAB4A"/>
    <w:lvl w:ilvl="0">
      <w:start w:val="1"/>
      <w:numFmt w:val="decimal"/>
      <w:lvlText w:val="%1."/>
      <w:lvlJc w:val="left"/>
      <w:pPr>
        <w:tabs>
          <w:tab w:val="num" w:pos="643"/>
        </w:tabs>
        <w:ind w:left="643" w:hanging="360"/>
      </w:pPr>
    </w:lvl>
  </w:abstractNum>
  <w:abstractNum w:abstractNumId="5">
    <w:nsid w:val="FFFFFF80"/>
    <w:multiLevelType w:val="singleLevel"/>
    <w:tmpl w:val="70443C5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208272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86664C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F40748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8E47074"/>
    <w:lvl w:ilvl="0">
      <w:start w:val="1"/>
      <w:numFmt w:val="decimal"/>
      <w:lvlText w:val="%1."/>
      <w:lvlJc w:val="left"/>
      <w:pPr>
        <w:tabs>
          <w:tab w:val="num" w:pos="360"/>
        </w:tabs>
        <w:ind w:left="360" w:hanging="360"/>
      </w:pPr>
    </w:lvl>
  </w:abstractNum>
  <w:abstractNum w:abstractNumId="10">
    <w:nsid w:val="FFFFFF89"/>
    <w:multiLevelType w:val="singleLevel"/>
    <w:tmpl w:val="D75C68EC"/>
    <w:lvl w:ilvl="0">
      <w:start w:val="1"/>
      <w:numFmt w:val="bullet"/>
      <w:lvlText w:val=""/>
      <w:lvlJc w:val="left"/>
      <w:pPr>
        <w:tabs>
          <w:tab w:val="num" w:pos="360"/>
        </w:tabs>
        <w:ind w:left="360" w:hanging="360"/>
      </w:pPr>
      <w:rPr>
        <w:rFonts w:ascii="Symbol" w:hAnsi="Symbol" w:hint="default"/>
      </w:rPr>
    </w:lvl>
  </w:abstractNum>
  <w:abstractNum w:abstractNumId="11">
    <w:nsid w:val="00155751"/>
    <w:multiLevelType w:val="hybridMultilevel"/>
    <w:tmpl w:val="B3A8BCD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055784F"/>
    <w:multiLevelType w:val="hybridMultilevel"/>
    <w:tmpl w:val="81F29F4C"/>
    <w:lvl w:ilvl="0">
      <w:start w:val="1"/>
      <w:numFmt w:val="decimal"/>
      <w:lvlText w:val="%1."/>
      <w:lvlJc w:val="left"/>
      <w:pPr>
        <w:ind w:left="720" w:hanging="360"/>
      </w:pPr>
      <w:rPr>
        <w:b w:val="0"/>
        <w:i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C5302E4"/>
    <w:multiLevelType w:val="hybridMultilevel"/>
    <w:tmpl w:val="40FA02F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E6A1D1C"/>
    <w:multiLevelType w:val="hybridMultilevel"/>
    <w:tmpl w:val="D9367C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0F70A20"/>
    <w:multiLevelType w:val="hybridMultilevel"/>
    <w:tmpl w:val="3AD68A96"/>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11180650"/>
    <w:multiLevelType w:val="hybridMultilevel"/>
    <w:tmpl w:val="C21651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4D441C"/>
    <w:multiLevelType w:val="hybridMultilevel"/>
    <w:tmpl w:val="6BCC0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8A11B89"/>
    <w:multiLevelType w:val="hybridMultilevel"/>
    <w:tmpl w:val="ECD67F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E153C81"/>
    <w:multiLevelType w:val="hybridMultilevel"/>
    <w:tmpl w:val="B4BC1B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EC051EA"/>
    <w:multiLevelType w:val="hybridMultilevel"/>
    <w:tmpl w:val="709CAB64"/>
    <w:lvl w:ilvl="0">
      <w:start w:val="0"/>
      <w:numFmt w:val="bullet"/>
      <w:lvlText w:val="-"/>
      <w:lvlJc w:val="left"/>
      <w:pPr>
        <w:ind w:left="720" w:hanging="360"/>
      </w:pPr>
      <w:rPr>
        <w:rFonts w:ascii="Times New Roman" w:eastAsia="Times New Roman" w:hAnsi="Times New Roman" w:cs="Times New Roman"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ED43C67"/>
    <w:multiLevelType w:val="hybridMultilevel"/>
    <w:tmpl w:val="B9D8218C"/>
    <w:lvl w:ilvl="0">
      <w:start w:val="1"/>
      <w:numFmt w:val="upperLetter"/>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19A277D"/>
    <w:multiLevelType w:val="hybridMultilevel"/>
    <w:tmpl w:val="58A2B9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8DC1440"/>
    <w:multiLevelType w:val="hybridMultilevel"/>
    <w:tmpl w:val="43F808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6555F88"/>
    <w:multiLevelType w:val="hybridMultilevel"/>
    <w:tmpl w:val="74DA41A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5">
    <w:nsid w:val="57577DC4"/>
    <w:multiLevelType w:val="hybridMultilevel"/>
    <w:tmpl w:val="6DC476D2"/>
    <w:lvl w:ilvl="0">
      <w:start w:val="1"/>
      <w:numFmt w:val="decimal"/>
      <w:lvlText w:val="%1."/>
      <w:lvlJc w:val="left"/>
      <w:pPr>
        <w:ind w:left="720" w:hanging="360"/>
      </w:pPr>
      <w:rPr>
        <w:color w:val="FF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8AB5821"/>
    <w:multiLevelType w:val="hybridMultilevel"/>
    <w:tmpl w:val="F00CB6B6"/>
    <w:lvl w:ilvl="0">
      <w:start w:val="1"/>
      <w:numFmt w:val="decimal"/>
      <w:pStyle w:val="Paragrafoelenco1"/>
      <w:lvlText w:val="%1."/>
      <w:lvlJc w:val="left"/>
      <w:pPr>
        <w:ind w:left="720" w:hanging="360"/>
      </w:pPr>
      <w:rPr>
        <w:rFonts w:ascii="Tahoma" w:hAnsi="Tahoma" w:cs="Tahoma" w:hint="default"/>
        <w:b w:val="0"/>
        <w:i w:val="0"/>
        <w:caps w:val="0"/>
        <w:color w:val="auto"/>
        <w:sz w:val="20"/>
        <w:szCs w:val="2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AD85BAD"/>
    <w:multiLevelType w:val="hybridMultilevel"/>
    <w:tmpl w:val="902A218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717867A3"/>
    <w:multiLevelType w:val="hybridMultilevel"/>
    <w:tmpl w:val="F15E2EA6"/>
    <w:lvl w:ilvl="0">
      <w:start w:val="1"/>
      <w:numFmt w:val="upperLetter"/>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6F4432E"/>
    <w:multiLevelType w:val="hybridMultilevel"/>
    <w:tmpl w:val="8A7EA14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91F7A9A"/>
    <w:multiLevelType w:val="hybridMultilevel"/>
    <w:tmpl w:val="83FCF31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AF564D6"/>
    <w:multiLevelType w:val="hybridMultilevel"/>
    <w:tmpl w:val="D26AC7E6"/>
    <w:lvl w:ilvl="0">
      <w:start w:val="1"/>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15"/>
  </w:num>
  <w:num w:numId="4">
    <w:abstractNumId w:val="20"/>
  </w:num>
  <w:num w:numId="5">
    <w:abstractNumId w:val="12"/>
  </w:num>
  <w:num w:numId="6">
    <w:abstractNumId w:val="11"/>
  </w:num>
  <w:num w:numId="7">
    <w:abstractNumId w:val="26"/>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29"/>
  </w:num>
  <w:num w:numId="19">
    <w:abstractNumId w:val="24"/>
  </w:num>
  <w:num w:numId="20">
    <w:abstractNumId w:val="19"/>
  </w:num>
  <w:num w:numId="21">
    <w:abstractNumId w:val="22"/>
  </w:num>
  <w:num w:numId="22">
    <w:abstractNumId w:val="30"/>
  </w:num>
  <w:num w:numId="23">
    <w:abstractNumId w:val="25"/>
  </w:num>
  <w:num w:numId="24">
    <w:abstractNumId w:val="0"/>
  </w:num>
  <w:num w:numId="25">
    <w:abstractNumId w:val="14"/>
  </w:num>
  <w:num w:numId="26">
    <w:abstractNumId w:val="18"/>
  </w:num>
  <w:num w:numId="27">
    <w:abstractNumId w:val="17"/>
  </w:num>
  <w:num w:numId="28">
    <w:abstractNumId w:val="27"/>
  </w:num>
  <w:num w:numId="29">
    <w:abstractNumId w:val="23"/>
  </w:num>
  <w:num w:numId="30">
    <w:abstractNumId w:val="13"/>
  </w:num>
  <w:num w:numId="31">
    <w:abstractNumId w:val="1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70"/>
    <w:rsid w:val="00000350"/>
    <w:rsid w:val="000026F4"/>
    <w:rsid w:val="00002EF3"/>
    <w:rsid w:val="000034CF"/>
    <w:rsid w:val="000071D2"/>
    <w:rsid w:val="000124B6"/>
    <w:rsid w:val="00012ADD"/>
    <w:rsid w:val="00014162"/>
    <w:rsid w:val="0001487C"/>
    <w:rsid w:val="0002066E"/>
    <w:rsid w:val="00024F83"/>
    <w:rsid w:val="00026A77"/>
    <w:rsid w:val="000279A6"/>
    <w:rsid w:val="00032C1C"/>
    <w:rsid w:val="0003464B"/>
    <w:rsid w:val="000347EA"/>
    <w:rsid w:val="00037B0F"/>
    <w:rsid w:val="00041534"/>
    <w:rsid w:val="0004182E"/>
    <w:rsid w:val="00042858"/>
    <w:rsid w:val="000466F2"/>
    <w:rsid w:val="000479A2"/>
    <w:rsid w:val="00052E50"/>
    <w:rsid w:val="00053CE8"/>
    <w:rsid w:val="00054BA2"/>
    <w:rsid w:val="00055EC2"/>
    <w:rsid w:val="00056E42"/>
    <w:rsid w:val="000606C7"/>
    <w:rsid w:val="000634B3"/>
    <w:rsid w:val="00067414"/>
    <w:rsid w:val="0007118B"/>
    <w:rsid w:val="00071A2E"/>
    <w:rsid w:val="00071CA9"/>
    <w:rsid w:val="000726E4"/>
    <w:rsid w:val="00073EA2"/>
    <w:rsid w:val="000740EA"/>
    <w:rsid w:val="000753CB"/>
    <w:rsid w:val="00083CEE"/>
    <w:rsid w:val="000840C5"/>
    <w:rsid w:val="000872D3"/>
    <w:rsid w:val="00090759"/>
    <w:rsid w:val="00091034"/>
    <w:rsid w:val="00093100"/>
    <w:rsid w:val="00093675"/>
    <w:rsid w:val="00094E61"/>
    <w:rsid w:val="000953B5"/>
    <w:rsid w:val="00097EA7"/>
    <w:rsid w:val="000A2B79"/>
    <w:rsid w:val="000A2B9B"/>
    <w:rsid w:val="000A3A87"/>
    <w:rsid w:val="000A3E29"/>
    <w:rsid w:val="000A3F03"/>
    <w:rsid w:val="000A40BC"/>
    <w:rsid w:val="000A60C4"/>
    <w:rsid w:val="000A7B26"/>
    <w:rsid w:val="000B0623"/>
    <w:rsid w:val="000B0CFE"/>
    <w:rsid w:val="000B0D43"/>
    <w:rsid w:val="000B2922"/>
    <w:rsid w:val="000B7864"/>
    <w:rsid w:val="000C1461"/>
    <w:rsid w:val="000C2136"/>
    <w:rsid w:val="000C21E9"/>
    <w:rsid w:val="000C28F4"/>
    <w:rsid w:val="000C3973"/>
    <w:rsid w:val="000C46C9"/>
    <w:rsid w:val="000C4F54"/>
    <w:rsid w:val="000C5921"/>
    <w:rsid w:val="000C5E86"/>
    <w:rsid w:val="000C672A"/>
    <w:rsid w:val="000C6EA1"/>
    <w:rsid w:val="000D0DB0"/>
    <w:rsid w:val="000D1274"/>
    <w:rsid w:val="000D1427"/>
    <w:rsid w:val="000D1B85"/>
    <w:rsid w:val="000D3A2D"/>
    <w:rsid w:val="000D5670"/>
    <w:rsid w:val="000E1278"/>
    <w:rsid w:val="000F23C9"/>
    <w:rsid w:val="000F2946"/>
    <w:rsid w:val="000F2C5B"/>
    <w:rsid w:val="000F4226"/>
    <w:rsid w:val="000F5AA3"/>
    <w:rsid w:val="000F5F9C"/>
    <w:rsid w:val="000F76CA"/>
    <w:rsid w:val="001035A5"/>
    <w:rsid w:val="00110B63"/>
    <w:rsid w:val="00121291"/>
    <w:rsid w:val="00125B6D"/>
    <w:rsid w:val="00126616"/>
    <w:rsid w:val="001269EE"/>
    <w:rsid w:val="001304C7"/>
    <w:rsid w:val="00136802"/>
    <w:rsid w:val="00136E20"/>
    <w:rsid w:val="00136ED6"/>
    <w:rsid w:val="0014061E"/>
    <w:rsid w:val="0014258F"/>
    <w:rsid w:val="00143D62"/>
    <w:rsid w:val="001449C6"/>
    <w:rsid w:val="00146FC2"/>
    <w:rsid w:val="0015365C"/>
    <w:rsid w:val="0015455B"/>
    <w:rsid w:val="00155B28"/>
    <w:rsid w:val="00162F60"/>
    <w:rsid w:val="0016337C"/>
    <w:rsid w:val="00163959"/>
    <w:rsid w:val="00166790"/>
    <w:rsid w:val="00170B6E"/>
    <w:rsid w:val="00171A18"/>
    <w:rsid w:val="00172D5C"/>
    <w:rsid w:val="001730CE"/>
    <w:rsid w:val="001736AD"/>
    <w:rsid w:val="00173820"/>
    <w:rsid w:val="0017517E"/>
    <w:rsid w:val="001752D3"/>
    <w:rsid w:val="00176AC3"/>
    <w:rsid w:val="001771D6"/>
    <w:rsid w:val="001855AB"/>
    <w:rsid w:val="00185AFB"/>
    <w:rsid w:val="0019074F"/>
    <w:rsid w:val="00192273"/>
    <w:rsid w:val="00192B0D"/>
    <w:rsid w:val="00193DC5"/>
    <w:rsid w:val="001959C6"/>
    <w:rsid w:val="00196487"/>
    <w:rsid w:val="001A3531"/>
    <w:rsid w:val="001A4728"/>
    <w:rsid w:val="001A4CCF"/>
    <w:rsid w:val="001A5261"/>
    <w:rsid w:val="001B1BA1"/>
    <w:rsid w:val="001B5093"/>
    <w:rsid w:val="001B5D93"/>
    <w:rsid w:val="001B6412"/>
    <w:rsid w:val="001B68DA"/>
    <w:rsid w:val="001C393A"/>
    <w:rsid w:val="001C5792"/>
    <w:rsid w:val="001C5873"/>
    <w:rsid w:val="001C6951"/>
    <w:rsid w:val="001C779B"/>
    <w:rsid w:val="001C77C5"/>
    <w:rsid w:val="001D233F"/>
    <w:rsid w:val="001D3415"/>
    <w:rsid w:val="001D515B"/>
    <w:rsid w:val="001D536F"/>
    <w:rsid w:val="001D70E6"/>
    <w:rsid w:val="001E19FE"/>
    <w:rsid w:val="001E20E9"/>
    <w:rsid w:val="001E2F2E"/>
    <w:rsid w:val="001E4CEB"/>
    <w:rsid w:val="001E6775"/>
    <w:rsid w:val="001F10C9"/>
    <w:rsid w:val="001F47EF"/>
    <w:rsid w:val="001F5C22"/>
    <w:rsid w:val="001F6F3E"/>
    <w:rsid w:val="002059D7"/>
    <w:rsid w:val="002076D3"/>
    <w:rsid w:val="0021121E"/>
    <w:rsid w:val="00211980"/>
    <w:rsid w:val="00213427"/>
    <w:rsid w:val="00217017"/>
    <w:rsid w:val="00222311"/>
    <w:rsid w:val="002227A7"/>
    <w:rsid w:val="002250CC"/>
    <w:rsid w:val="0023067B"/>
    <w:rsid w:val="00230B5C"/>
    <w:rsid w:val="0023121D"/>
    <w:rsid w:val="00232D78"/>
    <w:rsid w:val="00232E0C"/>
    <w:rsid w:val="00234417"/>
    <w:rsid w:val="00236007"/>
    <w:rsid w:val="002362B5"/>
    <w:rsid w:val="002377D4"/>
    <w:rsid w:val="00237A50"/>
    <w:rsid w:val="00240F94"/>
    <w:rsid w:val="00242164"/>
    <w:rsid w:val="002425A4"/>
    <w:rsid w:val="00243203"/>
    <w:rsid w:val="00243FFC"/>
    <w:rsid w:val="002444B5"/>
    <w:rsid w:val="00250D1C"/>
    <w:rsid w:val="00251222"/>
    <w:rsid w:val="00251710"/>
    <w:rsid w:val="00251911"/>
    <w:rsid w:val="00251953"/>
    <w:rsid w:val="00251BE7"/>
    <w:rsid w:val="00252ABC"/>
    <w:rsid w:val="00254EDF"/>
    <w:rsid w:val="00256D28"/>
    <w:rsid w:val="00257944"/>
    <w:rsid w:val="00264E5E"/>
    <w:rsid w:val="00267443"/>
    <w:rsid w:val="002701E1"/>
    <w:rsid w:val="0027030B"/>
    <w:rsid w:val="0027045A"/>
    <w:rsid w:val="00270D45"/>
    <w:rsid w:val="00274D20"/>
    <w:rsid w:val="0027624E"/>
    <w:rsid w:val="0027775B"/>
    <w:rsid w:val="00283609"/>
    <w:rsid w:val="0028467E"/>
    <w:rsid w:val="00287121"/>
    <w:rsid w:val="0029231A"/>
    <w:rsid w:val="002939B8"/>
    <w:rsid w:val="0029556C"/>
    <w:rsid w:val="002961B5"/>
    <w:rsid w:val="00297557"/>
    <w:rsid w:val="0029793E"/>
    <w:rsid w:val="002A11F0"/>
    <w:rsid w:val="002A533F"/>
    <w:rsid w:val="002A5D0B"/>
    <w:rsid w:val="002B346A"/>
    <w:rsid w:val="002B4136"/>
    <w:rsid w:val="002B6751"/>
    <w:rsid w:val="002C278C"/>
    <w:rsid w:val="002C2A75"/>
    <w:rsid w:val="002C5489"/>
    <w:rsid w:val="002C5A7D"/>
    <w:rsid w:val="002C5F15"/>
    <w:rsid w:val="002D0D81"/>
    <w:rsid w:val="002D130E"/>
    <w:rsid w:val="002D2934"/>
    <w:rsid w:val="002D4BDD"/>
    <w:rsid w:val="002D6B2B"/>
    <w:rsid w:val="002E0B13"/>
    <w:rsid w:val="002E4529"/>
    <w:rsid w:val="002E47FD"/>
    <w:rsid w:val="002E5F96"/>
    <w:rsid w:val="002E69D3"/>
    <w:rsid w:val="002E714E"/>
    <w:rsid w:val="002F2A5A"/>
    <w:rsid w:val="002F3F70"/>
    <w:rsid w:val="002F45F2"/>
    <w:rsid w:val="002F4926"/>
    <w:rsid w:val="002F49F5"/>
    <w:rsid w:val="002F623E"/>
    <w:rsid w:val="002F6F3E"/>
    <w:rsid w:val="003003DA"/>
    <w:rsid w:val="003073B3"/>
    <w:rsid w:val="00313CA4"/>
    <w:rsid w:val="00314886"/>
    <w:rsid w:val="00314A47"/>
    <w:rsid w:val="00320170"/>
    <w:rsid w:val="00322570"/>
    <w:rsid w:val="00322F85"/>
    <w:rsid w:val="003247C6"/>
    <w:rsid w:val="00325CF7"/>
    <w:rsid w:val="00327791"/>
    <w:rsid w:val="00327D7E"/>
    <w:rsid w:val="0033246A"/>
    <w:rsid w:val="00332575"/>
    <w:rsid w:val="0033381B"/>
    <w:rsid w:val="00334B37"/>
    <w:rsid w:val="00340B09"/>
    <w:rsid w:val="003450AE"/>
    <w:rsid w:val="00352241"/>
    <w:rsid w:val="00352431"/>
    <w:rsid w:val="00353103"/>
    <w:rsid w:val="0035545C"/>
    <w:rsid w:val="003562DF"/>
    <w:rsid w:val="003571C8"/>
    <w:rsid w:val="00360484"/>
    <w:rsid w:val="00360784"/>
    <w:rsid w:val="00360A97"/>
    <w:rsid w:val="00363A61"/>
    <w:rsid w:val="00363B8A"/>
    <w:rsid w:val="00363C6B"/>
    <w:rsid w:val="00363D85"/>
    <w:rsid w:val="00364A59"/>
    <w:rsid w:val="003663F5"/>
    <w:rsid w:val="00366496"/>
    <w:rsid w:val="00370A99"/>
    <w:rsid w:val="00371D7A"/>
    <w:rsid w:val="00372ACE"/>
    <w:rsid w:val="0037414E"/>
    <w:rsid w:val="003751DE"/>
    <w:rsid w:val="003771C2"/>
    <w:rsid w:val="00377D0B"/>
    <w:rsid w:val="00380057"/>
    <w:rsid w:val="00381656"/>
    <w:rsid w:val="00382546"/>
    <w:rsid w:val="003830D8"/>
    <w:rsid w:val="00387647"/>
    <w:rsid w:val="00391B04"/>
    <w:rsid w:val="00392E2D"/>
    <w:rsid w:val="00394E0D"/>
    <w:rsid w:val="00396373"/>
    <w:rsid w:val="00396855"/>
    <w:rsid w:val="00397D0C"/>
    <w:rsid w:val="003A4098"/>
    <w:rsid w:val="003A4444"/>
    <w:rsid w:val="003B02DC"/>
    <w:rsid w:val="003B07C8"/>
    <w:rsid w:val="003B106F"/>
    <w:rsid w:val="003B431F"/>
    <w:rsid w:val="003C0153"/>
    <w:rsid w:val="003C06B1"/>
    <w:rsid w:val="003C0936"/>
    <w:rsid w:val="003C0B22"/>
    <w:rsid w:val="003C18EB"/>
    <w:rsid w:val="003C3ACF"/>
    <w:rsid w:val="003C40FE"/>
    <w:rsid w:val="003C545A"/>
    <w:rsid w:val="003C75A7"/>
    <w:rsid w:val="003D04FB"/>
    <w:rsid w:val="003D0D61"/>
    <w:rsid w:val="003D3F58"/>
    <w:rsid w:val="003E2A85"/>
    <w:rsid w:val="003E4C55"/>
    <w:rsid w:val="003E5976"/>
    <w:rsid w:val="003E5F1C"/>
    <w:rsid w:val="003E66D6"/>
    <w:rsid w:val="003E69A1"/>
    <w:rsid w:val="003E76A2"/>
    <w:rsid w:val="003E7DFF"/>
    <w:rsid w:val="003F0B0C"/>
    <w:rsid w:val="003F1CE8"/>
    <w:rsid w:val="003F315D"/>
    <w:rsid w:val="003F5EEE"/>
    <w:rsid w:val="004025D9"/>
    <w:rsid w:val="00402E1D"/>
    <w:rsid w:val="00403259"/>
    <w:rsid w:val="00406F24"/>
    <w:rsid w:val="004076FC"/>
    <w:rsid w:val="00410A6B"/>
    <w:rsid w:val="00410EF0"/>
    <w:rsid w:val="00411296"/>
    <w:rsid w:val="004141A8"/>
    <w:rsid w:val="0041589D"/>
    <w:rsid w:val="00415CD3"/>
    <w:rsid w:val="0041632C"/>
    <w:rsid w:val="004222D7"/>
    <w:rsid w:val="004238D6"/>
    <w:rsid w:val="004246F1"/>
    <w:rsid w:val="00424941"/>
    <w:rsid w:val="00425C05"/>
    <w:rsid w:val="00427F35"/>
    <w:rsid w:val="00431534"/>
    <w:rsid w:val="0043285B"/>
    <w:rsid w:val="00434411"/>
    <w:rsid w:val="00437D86"/>
    <w:rsid w:val="0044267B"/>
    <w:rsid w:val="004446C0"/>
    <w:rsid w:val="00446C50"/>
    <w:rsid w:val="0044763D"/>
    <w:rsid w:val="00450C22"/>
    <w:rsid w:val="0045142D"/>
    <w:rsid w:val="00452236"/>
    <w:rsid w:val="0046235A"/>
    <w:rsid w:val="00463005"/>
    <w:rsid w:val="004646B1"/>
    <w:rsid w:val="004647E8"/>
    <w:rsid w:val="004658A8"/>
    <w:rsid w:val="0047340F"/>
    <w:rsid w:val="004739EF"/>
    <w:rsid w:val="0047445E"/>
    <w:rsid w:val="00477D39"/>
    <w:rsid w:val="00481C51"/>
    <w:rsid w:val="00481EB6"/>
    <w:rsid w:val="004827ED"/>
    <w:rsid w:val="00482B66"/>
    <w:rsid w:val="004839B6"/>
    <w:rsid w:val="0048487E"/>
    <w:rsid w:val="00484D43"/>
    <w:rsid w:val="0048703C"/>
    <w:rsid w:val="00491664"/>
    <w:rsid w:val="00491EF4"/>
    <w:rsid w:val="00492ED6"/>
    <w:rsid w:val="00494D55"/>
    <w:rsid w:val="004956D4"/>
    <w:rsid w:val="004957EF"/>
    <w:rsid w:val="00495E27"/>
    <w:rsid w:val="00496312"/>
    <w:rsid w:val="00497B7C"/>
    <w:rsid w:val="004A0599"/>
    <w:rsid w:val="004A2C44"/>
    <w:rsid w:val="004A2D43"/>
    <w:rsid w:val="004A39B1"/>
    <w:rsid w:val="004B1F0B"/>
    <w:rsid w:val="004B1FDD"/>
    <w:rsid w:val="004B4AA2"/>
    <w:rsid w:val="004B4EB0"/>
    <w:rsid w:val="004B5890"/>
    <w:rsid w:val="004B69FD"/>
    <w:rsid w:val="004B6FC5"/>
    <w:rsid w:val="004C18C1"/>
    <w:rsid w:val="004C1C75"/>
    <w:rsid w:val="004C28FB"/>
    <w:rsid w:val="004C3DD6"/>
    <w:rsid w:val="004C4531"/>
    <w:rsid w:val="004D2373"/>
    <w:rsid w:val="004D36BF"/>
    <w:rsid w:val="004D3907"/>
    <w:rsid w:val="004D4F8D"/>
    <w:rsid w:val="004D55B3"/>
    <w:rsid w:val="004D6F34"/>
    <w:rsid w:val="004D724D"/>
    <w:rsid w:val="004E0655"/>
    <w:rsid w:val="004E08F4"/>
    <w:rsid w:val="004E1242"/>
    <w:rsid w:val="004E36AA"/>
    <w:rsid w:val="004E72AD"/>
    <w:rsid w:val="004E7878"/>
    <w:rsid w:val="004F1574"/>
    <w:rsid w:val="004F1FA2"/>
    <w:rsid w:val="004F2590"/>
    <w:rsid w:val="004F2FA7"/>
    <w:rsid w:val="004F344C"/>
    <w:rsid w:val="004F5376"/>
    <w:rsid w:val="004F618E"/>
    <w:rsid w:val="004F7210"/>
    <w:rsid w:val="004F7661"/>
    <w:rsid w:val="00507351"/>
    <w:rsid w:val="00507844"/>
    <w:rsid w:val="00510CF2"/>
    <w:rsid w:val="00510F35"/>
    <w:rsid w:val="00511A12"/>
    <w:rsid w:val="00514487"/>
    <w:rsid w:val="00515792"/>
    <w:rsid w:val="00517228"/>
    <w:rsid w:val="00521D21"/>
    <w:rsid w:val="00524376"/>
    <w:rsid w:val="005257F9"/>
    <w:rsid w:val="00525E02"/>
    <w:rsid w:val="005267C9"/>
    <w:rsid w:val="00526D61"/>
    <w:rsid w:val="00530616"/>
    <w:rsid w:val="00532606"/>
    <w:rsid w:val="00533CE4"/>
    <w:rsid w:val="0053661F"/>
    <w:rsid w:val="00536FB6"/>
    <w:rsid w:val="0054062F"/>
    <w:rsid w:val="00543015"/>
    <w:rsid w:val="00546107"/>
    <w:rsid w:val="00546BCD"/>
    <w:rsid w:val="005503FE"/>
    <w:rsid w:val="00550A13"/>
    <w:rsid w:val="00552208"/>
    <w:rsid w:val="00552593"/>
    <w:rsid w:val="00555543"/>
    <w:rsid w:val="0055593C"/>
    <w:rsid w:val="0055733C"/>
    <w:rsid w:val="005619F1"/>
    <w:rsid w:val="00563401"/>
    <w:rsid w:val="00563F8F"/>
    <w:rsid w:val="00564730"/>
    <w:rsid w:val="005671D7"/>
    <w:rsid w:val="0057174A"/>
    <w:rsid w:val="00571926"/>
    <w:rsid w:val="005731B7"/>
    <w:rsid w:val="005739A7"/>
    <w:rsid w:val="0057481C"/>
    <w:rsid w:val="00577395"/>
    <w:rsid w:val="0058068E"/>
    <w:rsid w:val="00583785"/>
    <w:rsid w:val="005849B0"/>
    <w:rsid w:val="00586908"/>
    <w:rsid w:val="00587A44"/>
    <w:rsid w:val="00592DCC"/>
    <w:rsid w:val="00593AC8"/>
    <w:rsid w:val="00593C5A"/>
    <w:rsid w:val="00595BCD"/>
    <w:rsid w:val="005A045B"/>
    <w:rsid w:val="005A06E9"/>
    <w:rsid w:val="005A08DD"/>
    <w:rsid w:val="005A0DF5"/>
    <w:rsid w:val="005A29FD"/>
    <w:rsid w:val="005A57F3"/>
    <w:rsid w:val="005A714F"/>
    <w:rsid w:val="005B0D9E"/>
    <w:rsid w:val="005B2A34"/>
    <w:rsid w:val="005B2BDD"/>
    <w:rsid w:val="005B361F"/>
    <w:rsid w:val="005C0D3B"/>
    <w:rsid w:val="005C16A7"/>
    <w:rsid w:val="005C2159"/>
    <w:rsid w:val="005C26AD"/>
    <w:rsid w:val="005C564F"/>
    <w:rsid w:val="005C62D9"/>
    <w:rsid w:val="005C6765"/>
    <w:rsid w:val="005C7523"/>
    <w:rsid w:val="005D1D2E"/>
    <w:rsid w:val="005D2955"/>
    <w:rsid w:val="005D52C6"/>
    <w:rsid w:val="005D600A"/>
    <w:rsid w:val="005D7F2E"/>
    <w:rsid w:val="005E673D"/>
    <w:rsid w:val="005F0264"/>
    <w:rsid w:val="005F0BA4"/>
    <w:rsid w:val="005F3B1D"/>
    <w:rsid w:val="005F7187"/>
    <w:rsid w:val="005F7C8B"/>
    <w:rsid w:val="00601169"/>
    <w:rsid w:val="00601545"/>
    <w:rsid w:val="00602E21"/>
    <w:rsid w:val="00604B0D"/>
    <w:rsid w:val="00607054"/>
    <w:rsid w:val="00607AE7"/>
    <w:rsid w:val="00611252"/>
    <w:rsid w:val="0061345F"/>
    <w:rsid w:val="006167B1"/>
    <w:rsid w:val="00617F98"/>
    <w:rsid w:val="00627127"/>
    <w:rsid w:val="006314E3"/>
    <w:rsid w:val="00632004"/>
    <w:rsid w:val="006348B6"/>
    <w:rsid w:val="00640C2F"/>
    <w:rsid w:val="00644B49"/>
    <w:rsid w:val="00652197"/>
    <w:rsid w:val="00654620"/>
    <w:rsid w:val="006553B5"/>
    <w:rsid w:val="00656283"/>
    <w:rsid w:val="0065761A"/>
    <w:rsid w:val="006631F0"/>
    <w:rsid w:val="00663E32"/>
    <w:rsid w:val="00664E84"/>
    <w:rsid w:val="00664FB0"/>
    <w:rsid w:val="00665A11"/>
    <w:rsid w:val="00665BF3"/>
    <w:rsid w:val="00667584"/>
    <w:rsid w:val="00667CB2"/>
    <w:rsid w:val="00672326"/>
    <w:rsid w:val="0067307F"/>
    <w:rsid w:val="00673E0F"/>
    <w:rsid w:val="00675E72"/>
    <w:rsid w:val="00676223"/>
    <w:rsid w:val="00676A69"/>
    <w:rsid w:val="00676D5D"/>
    <w:rsid w:val="00680ED8"/>
    <w:rsid w:val="006920D1"/>
    <w:rsid w:val="0069291B"/>
    <w:rsid w:val="006933C9"/>
    <w:rsid w:val="0069416F"/>
    <w:rsid w:val="00695293"/>
    <w:rsid w:val="00696357"/>
    <w:rsid w:val="00696485"/>
    <w:rsid w:val="00696D47"/>
    <w:rsid w:val="006A6423"/>
    <w:rsid w:val="006A6F25"/>
    <w:rsid w:val="006A7047"/>
    <w:rsid w:val="006B0DBA"/>
    <w:rsid w:val="006B0F4C"/>
    <w:rsid w:val="006B249E"/>
    <w:rsid w:val="006B3571"/>
    <w:rsid w:val="006B4C9A"/>
    <w:rsid w:val="006B50B6"/>
    <w:rsid w:val="006B520C"/>
    <w:rsid w:val="006B58F2"/>
    <w:rsid w:val="006C1882"/>
    <w:rsid w:val="006C1FAD"/>
    <w:rsid w:val="006C2B1A"/>
    <w:rsid w:val="006C2BDC"/>
    <w:rsid w:val="006C38C1"/>
    <w:rsid w:val="006C3D4F"/>
    <w:rsid w:val="006C3DFF"/>
    <w:rsid w:val="006C40D1"/>
    <w:rsid w:val="006C4A0E"/>
    <w:rsid w:val="006C5383"/>
    <w:rsid w:val="006C5A10"/>
    <w:rsid w:val="006C5DBB"/>
    <w:rsid w:val="006C7512"/>
    <w:rsid w:val="006D08E4"/>
    <w:rsid w:val="006D0C4D"/>
    <w:rsid w:val="006D2DF6"/>
    <w:rsid w:val="006D31DF"/>
    <w:rsid w:val="006D41FD"/>
    <w:rsid w:val="006D44DF"/>
    <w:rsid w:val="006D5205"/>
    <w:rsid w:val="006D7F79"/>
    <w:rsid w:val="006E0574"/>
    <w:rsid w:val="006E24D4"/>
    <w:rsid w:val="006E4834"/>
    <w:rsid w:val="006E5773"/>
    <w:rsid w:val="006E58D6"/>
    <w:rsid w:val="006E74A2"/>
    <w:rsid w:val="006E7CB1"/>
    <w:rsid w:val="006F3340"/>
    <w:rsid w:val="006F6381"/>
    <w:rsid w:val="006F7186"/>
    <w:rsid w:val="006F7CE6"/>
    <w:rsid w:val="0070136A"/>
    <w:rsid w:val="00703112"/>
    <w:rsid w:val="007062DA"/>
    <w:rsid w:val="00707676"/>
    <w:rsid w:val="00710388"/>
    <w:rsid w:val="007174B8"/>
    <w:rsid w:val="00717C8B"/>
    <w:rsid w:val="00720FE4"/>
    <w:rsid w:val="0072270C"/>
    <w:rsid w:val="007231CD"/>
    <w:rsid w:val="0072496D"/>
    <w:rsid w:val="00727553"/>
    <w:rsid w:val="0073144A"/>
    <w:rsid w:val="0073150F"/>
    <w:rsid w:val="0073288F"/>
    <w:rsid w:val="00732DAC"/>
    <w:rsid w:val="00735157"/>
    <w:rsid w:val="00737730"/>
    <w:rsid w:val="0074004A"/>
    <w:rsid w:val="0074309E"/>
    <w:rsid w:val="00743643"/>
    <w:rsid w:val="00743DD5"/>
    <w:rsid w:val="00745E86"/>
    <w:rsid w:val="00746BB9"/>
    <w:rsid w:val="00750858"/>
    <w:rsid w:val="00751A70"/>
    <w:rsid w:val="007529D3"/>
    <w:rsid w:val="0075326E"/>
    <w:rsid w:val="0075422C"/>
    <w:rsid w:val="007542ED"/>
    <w:rsid w:val="00754629"/>
    <w:rsid w:val="007579EF"/>
    <w:rsid w:val="00760DA0"/>
    <w:rsid w:val="0076186B"/>
    <w:rsid w:val="00763F72"/>
    <w:rsid w:val="007646A2"/>
    <w:rsid w:val="0076561E"/>
    <w:rsid w:val="00772152"/>
    <w:rsid w:val="00772B5A"/>
    <w:rsid w:val="00775C7E"/>
    <w:rsid w:val="00777A8A"/>
    <w:rsid w:val="00781944"/>
    <w:rsid w:val="00781A3D"/>
    <w:rsid w:val="00785886"/>
    <w:rsid w:val="00785BB3"/>
    <w:rsid w:val="00785BC6"/>
    <w:rsid w:val="007863DB"/>
    <w:rsid w:val="007874B0"/>
    <w:rsid w:val="00787F0F"/>
    <w:rsid w:val="007917B2"/>
    <w:rsid w:val="00792037"/>
    <w:rsid w:val="007925C3"/>
    <w:rsid w:val="00792C6D"/>
    <w:rsid w:val="00792D92"/>
    <w:rsid w:val="007965F5"/>
    <w:rsid w:val="007A2CA0"/>
    <w:rsid w:val="007A4BFB"/>
    <w:rsid w:val="007A5A67"/>
    <w:rsid w:val="007A684B"/>
    <w:rsid w:val="007A6A97"/>
    <w:rsid w:val="007A7103"/>
    <w:rsid w:val="007A7392"/>
    <w:rsid w:val="007A7AAD"/>
    <w:rsid w:val="007B0370"/>
    <w:rsid w:val="007B1A06"/>
    <w:rsid w:val="007B23B1"/>
    <w:rsid w:val="007B437C"/>
    <w:rsid w:val="007B57C5"/>
    <w:rsid w:val="007B5F88"/>
    <w:rsid w:val="007C0D77"/>
    <w:rsid w:val="007C4A53"/>
    <w:rsid w:val="007C5582"/>
    <w:rsid w:val="007C5935"/>
    <w:rsid w:val="007C69B5"/>
    <w:rsid w:val="007C6E10"/>
    <w:rsid w:val="007D278F"/>
    <w:rsid w:val="007D44A8"/>
    <w:rsid w:val="007D59EB"/>
    <w:rsid w:val="007D6F72"/>
    <w:rsid w:val="007D76FC"/>
    <w:rsid w:val="007E1A15"/>
    <w:rsid w:val="007E296E"/>
    <w:rsid w:val="007E3481"/>
    <w:rsid w:val="007E4364"/>
    <w:rsid w:val="007E447B"/>
    <w:rsid w:val="007E7600"/>
    <w:rsid w:val="007F0D85"/>
    <w:rsid w:val="007F27F1"/>
    <w:rsid w:val="008071EA"/>
    <w:rsid w:val="00807369"/>
    <w:rsid w:val="00807EF2"/>
    <w:rsid w:val="008104F9"/>
    <w:rsid w:val="00810EF4"/>
    <w:rsid w:val="00811D92"/>
    <w:rsid w:val="00811E0D"/>
    <w:rsid w:val="00814325"/>
    <w:rsid w:val="00816443"/>
    <w:rsid w:val="00817DFE"/>
    <w:rsid w:val="00822B41"/>
    <w:rsid w:val="00824235"/>
    <w:rsid w:val="008249D1"/>
    <w:rsid w:val="008260F5"/>
    <w:rsid w:val="0082752D"/>
    <w:rsid w:val="008309DB"/>
    <w:rsid w:val="00830F53"/>
    <w:rsid w:val="00832224"/>
    <w:rsid w:val="0083234E"/>
    <w:rsid w:val="00832AE9"/>
    <w:rsid w:val="00832CE5"/>
    <w:rsid w:val="00835340"/>
    <w:rsid w:val="00836DC0"/>
    <w:rsid w:val="00837587"/>
    <w:rsid w:val="00837CE6"/>
    <w:rsid w:val="00837EF1"/>
    <w:rsid w:val="00842B2B"/>
    <w:rsid w:val="0084330E"/>
    <w:rsid w:val="00843845"/>
    <w:rsid w:val="00847A9F"/>
    <w:rsid w:val="00847E1B"/>
    <w:rsid w:val="0085308C"/>
    <w:rsid w:val="00854F21"/>
    <w:rsid w:val="00855741"/>
    <w:rsid w:val="00860189"/>
    <w:rsid w:val="0086025C"/>
    <w:rsid w:val="0086228D"/>
    <w:rsid w:val="00862A04"/>
    <w:rsid w:val="00864464"/>
    <w:rsid w:val="00864C0C"/>
    <w:rsid w:val="0086570A"/>
    <w:rsid w:val="0086705F"/>
    <w:rsid w:val="0087368A"/>
    <w:rsid w:val="00874579"/>
    <w:rsid w:val="008745B1"/>
    <w:rsid w:val="00876060"/>
    <w:rsid w:val="008770BF"/>
    <w:rsid w:val="00880A30"/>
    <w:rsid w:val="00893043"/>
    <w:rsid w:val="00894F6F"/>
    <w:rsid w:val="0089621F"/>
    <w:rsid w:val="008A049F"/>
    <w:rsid w:val="008A39C9"/>
    <w:rsid w:val="008A4017"/>
    <w:rsid w:val="008A4A71"/>
    <w:rsid w:val="008A5017"/>
    <w:rsid w:val="008B0B11"/>
    <w:rsid w:val="008B2FFB"/>
    <w:rsid w:val="008B3297"/>
    <w:rsid w:val="008B5D95"/>
    <w:rsid w:val="008B6A9D"/>
    <w:rsid w:val="008C003E"/>
    <w:rsid w:val="008C154E"/>
    <w:rsid w:val="008C2AB2"/>
    <w:rsid w:val="008C7B4C"/>
    <w:rsid w:val="008D07DC"/>
    <w:rsid w:val="008D20C8"/>
    <w:rsid w:val="008D3402"/>
    <w:rsid w:val="008D49FE"/>
    <w:rsid w:val="008D5CCE"/>
    <w:rsid w:val="008D6E3C"/>
    <w:rsid w:val="008D6F89"/>
    <w:rsid w:val="008E4323"/>
    <w:rsid w:val="008E6EBA"/>
    <w:rsid w:val="008F22B9"/>
    <w:rsid w:val="008F2C33"/>
    <w:rsid w:val="008F673E"/>
    <w:rsid w:val="009004A9"/>
    <w:rsid w:val="00900879"/>
    <w:rsid w:val="009056D0"/>
    <w:rsid w:val="00906041"/>
    <w:rsid w:val="00906B47"/>
    <w:rsid w:val="009112EB"/>
    <w:rsid w:val="00911D9F"/>
    <w:rsid w:val="009124F5"/>
    <w:rsid w:val="00912F2C"/>
    <w:rsid w:val="00913A9A"/>
    <w:rsid w:val="00920292"/>
    <w:rsid w:val="0092204B"/>
    <w:rsid w:val="00922199"/>
    <w:rsid w:val="00923E13"/>
    <w:rsid w:val="00924D06"/>
    <w:rsid w:val="009269A4"/>
    <w:rsid w:val="00927EF3"/>
    <w:rsid w:val="00931F4C"/>
    <w:rsid w:val="00934088"/>
    <w:rsid w:val="00935647"/>
    <w:rsid w:val="0093566D"/>
    <w:rsid w:val="009366BB"/>
    <w:rsid w:val="009426D1"/>
    <w:rsid w:val="00942D10"/>
    <w:rsid w:val="009469FE"/>
    <w:rsid w:val="00955166"/>
    <w:rsid w:val="00957744"/>
    <w:rsid w:val="00957B73"/>
    <w:rsid w:val="009614A0"/>
    <w:rsid w:val="0096318E"/>
    <w:rsid w:val="00963B1E"/>
    <w:rsid w:val="00965857"/>
    <w:rsid w:val="0097021B"/>
    <w:rsid w:val="0097049A"/>
    <w:rsid w:val="009707BE"/>
    <w:rsid w:val="00970C3A"/>
    <w:rsid w:val="00970FCE"/>
    <w:rsid w:val="00974920"/>
    <w:rsid w:val="00974937"/>
    <w:rsid w:val="00974C94"/>
    <w:rsid w:val="0097587B"/>
    <w:rsid w:val="0098145B"/>
    <w:rsid w:val="00984A6B"/>
    <w:rsid w:val="009851D7"/>
    <w:rsid w:val="00992305"/>
    <w:rsid w:val="009930DB"/>
    <w:rsid w:val="009A210F"/>
    <w:rsid w:val="009A2B5F"/>
    <w:rsid w:val="009A3645"/>
    <w:rsid w:val="009A4574"/>
    <w:rsid w:val="009A50CB"/>
    <w:rsid w:val="009A5874"/>
    <w:rsid w:val="009A602D"/>
    <w:rsid w:val="009B0993"/>
    <w:rsid w:val="009B225F"/>
    <w:rsid w:val="009B2476"/>
    <w:rsid w:val="009B3B4D"/>
    <w:rsid w:val="009B3DCE"/>
    <w:rsid w:val="009B492C"/>
    <w:rsid w:val="009B4C93"/>
    <w:rsid w:val="009B5451"/>
    <w:rsid w:val="009B5FA7"/>
    <w:rsid w:val="009B7835"/>
    <w:rsid w:val="009B7BDE"/>
    <w:rsid w:val="009C03B7"/>
    <w:rsid w:val="009C1651"/>
    <w:rsid w:val="009C4579"/>
    <w:rsid w:val="009C4B08"/>
    <w:rsid w:val="009C60B2"/>
    <w:rsid w:val="009C7F17"/>
    <w:rsid w:val="009D066D"/>
    <w:rsid w:val="009D7A44"/>
    <w:rsid w:val="009E0BD0"/>
    <w:rsid w:val="009E2C4D"/>
    <w:rsid w:val="009E4055"/>
    <w:rsid w:val="009E52F3"/>
    <w:rsid w:val="009E6DDE"/>
    <w:rsid w:val="009F0F2D"/>
    <w:rsid w:val="009F55BF"/>
    <w:rsid w:val="009F6E6C"/>
    <w:rsid w:val="009F7408"/>
    <w:rsid w:val="009F7CCE"/>
    <w:rsid w:val="00A0112E"/>
    <w:rsid w:val="00A019DC"/>
    <w:rsid w:val="00A02375"/>
    <w:rsid w:val="00A02690"/>
    <w:rsid w:val="00A11047"/>
    <w:rsid w:val="00A11C1B"/>
    <w:rsid w:val="00A120A9"/>
    <w:rsid w:val="00A13E19"/>
    <w:rsid w:val="00A145DF"/>
    <w:rsid w:val="00A152C5"/>
    <w:rsid w:val="00A175B5"/>
    <w:rsid w:val="00A17E48"/>
    <w:rsid w:val="00A202C1"/>
    <w:rsid w:val="00A22950"/>
    <w:rsid w:val="00A2538B"/>
    <w:rsid w:val="00A26450"/>
    <w:rsid w:val="00A3398D"/>
    <w:rsid w:val="00A343E7"/>
    <w:rsid w:val="00A34B2E"/>
    <w:rsid w:val="00A34F15"/>
    <w:rsid w:val="00A430FC"/>
    <w:rsid w:val="00A4560A"/>
    <w:rsid w:val="00A505E6"/>
    <w:rsid w:val="00A52960"/>
    <w:rsid w:val="00A55398"/>
    <w:rsid w:val="00A57641"/>
    <w:rsid w:val="00A6098B"/>
    <w:rsid w:val="00A62A50"/>
    <w:rsid w:val="00A702A0"/>
    <w:rsid w:val="00A70C68"/>
    <w:rsid w:val="00A752BF"/>
    <w:rsid w:val="00A75603"/>
    <w:rsid w:val="00A7718D"/>
    <w:rsid w:val="00A804B2"/>
    <w:rsid w:val="00A80996"/>
    <w:rsid w:val="00A82B43"/>
    <w:rsid w:val="00A84A13"/>
    <w:rsid w:val="00A85363"/>
    <w:rsid w:val="00A92F11"/>
    <w:rsid w:val="00A93840"/>
    <w:rsid w:val="00A9429F"/>
    <w:rsid w:val="00A9572C"/>
    <w:rsid w:val="00AA1BDB"/>
    <w:rsid w:val="00AA2831"/>
    <w:rsid w:val="00AA2C08"/>
    <w:rsid w:val="00AA440D"/>
    <w:rsid w:val="00AA5B0E"/>
    <w:rsid w:val="00AA5E4B"/>
    <w:rsid w:val="00AA6545"/>
    <w:rsid w:val="00AA7FB1"/>
    <w:rsid w:val="00AB088E"/>
    <w:rsid w:val="00AB3A45"/>
    <w:rsid w:val="00AB3BC7"/>
    <w:rsid w:val="00AB587B"/>
    <w:rsid w:val="00AB5F63"/>
    <w:rsid w:val="00AC0886"/>
    <w:rsid w:val="00AC099B"/>
    <w:rsid w:val="00AC0B61"/>
    <w:rsid w:val="00AC3758"/>
    <w:rsid w:val="00AC37B6"/>
    <w:rsid w:val="00AC4B51"/>
    <w:rsid w:val="00AC503E"/>
    <w:rsid w:val="00AD18DC"/>
    <w:rsid w:val="00AD3B70"/>
    <w:rsid w:val="00AD3E99"/>
    <w:rsid w:val="00AD5F2F"/>
    <w:rsid w:val="00AE377E"/>
    <w:rsid w:val="00AE43F6"/>
    <w:rsid w:val="00AE6410"/>
    <w:rsid w:val="00AE6DD8"/>
    <w:rsid w:val="00AF02DC"/>
    <w:rsid w:val="00AF0569"/>
    <w:rsid w:val="00AF0FD4"/>
    <w:rsid w:val="00AF35A2"/>
    <w:rsid w:val="00AF5F04"/>
    <w:rsid w:val="00B005DF"/>
    <w:rsid w:val="00B0261E"/>
    <w:rsid w:val="00B10CB2"/>
    <w:rsid w:val="00B12846"/>
    <w:rsid w:val="00B13454"/>
    <w:rsid w:val="00B177FA"/>
    <w:rsid w:val="00B17E3C"/>
    <w:rsid w:val="00B210E1"/>
    <w:rsid w:val="00B2130F"/>
    <w:rsid w:val="00B213D6"/>
    <w:rsid w:val="00B23375"/>
    <w:rsid w:val="00B264D1"/>
    <w:rsid w:val="00B267BF"/>
    <w:rsid w:val="00B273B6"/>
    <w:rsid w:val="00B27A6E"/>
    <w:rsid w:val="00B30874"/>
    <w:rsid w:val="00B311C4"/>
    <w:rsid w:val="00B3424A"/>
    <w:rsid w:val="00B34820"/>
    <w:rsid w:val="00B3568F"/>
    <w:rsid w:val="00B3586E"/>
    <w:rsid w:val="00B37B9F"/>
    <w:rsid w:val="00B41685"/>
    <w:rsid w:val="00B41E6C"/>
    <w:rsid w:val="00B42BAC"/>
    <w:rsid w:val="00B44601"/>
    <w:rsid w:val="00B45340"/>
    <w:rsid w:val="00B469E9"/>
    <w:rsid w:val="00B52CB3"/>
    <w:rsid w:val="00B540EF"/>
    <w:rsid w:val="00B54212"/>
    <w:rsid w:val="00B56A06"/>
    <w:rsid w:val="00B63F33"/>
    <w:rsid w:val="00B65A54"/>
    <w:rsid w:val="00B70192"/>
    <w:rsid w:val="00B70D4F"/>
    <w:rsid w:val="00B73A3E"/>
    <w:rsid w:val="00B7516C"/>
    <w:rsid w:val="00B76236"/>
    <w:rsid w:val="00B80A1E"/>
    <w:rsid w:val="00B84874"/>
    <w:rsid w:val="00B90A35"/>
    <w:rsid w:val="00B92CE0"/>
    <w:rsid w:val="00B932CB"/>
    <w:rsid w:val="00B94AE8"/>
    <w:rsid w:val="00B94CF8"/>
    <w:rsid w:val="00B94FAC"/>
    <w:rsid w:val="00B9537F"/>
    <w:rsid w:val="00B95859"/>
    <w:rsid w:val="00BA0DE0"/>
    <w:rsid w:val="00BA12C8"/>
    <w:rsid w:val="00BA1C3F"/>
    <w:rsid w:val="00BA2181"/>
    <w:rsid w:val="00BB0F20"/>
    <w:rsid w:val="00BB213F"/>
    <w:rsid w:val="00BB6FA9"/>
    <w:rsid w:val="00BB72E3"/>
    <w:rsid w:val="00BC44A1"/>
    <w:rsid w:val="00BC662A"/>
    <w:rsid w:val="00BD3F81"/>
    <w:rsid w:val="00BD4FDA"/>
    <w:rsid w:val="00BD7FD4"/>
    <w:rsid w:val="00BE0183"/>
    <w:rsid w:val="00BE11F5"/>
    <w:rsid w:val="00BE259C"/>
    <w:rsid w:val="00BE59AD"/>
    <w:rsid w:val="00BE5AF1"/>
    <w:rsid w:val="00BE7A45"/>
    <w:rsid w:val="00BF0AEA"/>
    <w:rsid w:val="00BF1369"/>
    <w:rsid w:val="00BF40D6"/>
    <w:rsid w:val="00BF55F1"/>
    <w:rsid w:val="00BF5B9D"/>
    <w:rsid w:val="00BF6E2E"/>
    <w:rsid w:val="00BF6EC0"/>
    <w:rsid w:val="00C03958"/>
    <w:rsid w:val="00C05265"/>
    <w:rsid w:val="00C05635"/>
    <w:rsid w:val="00C0627D"/>
    <w:rsid w:val="00C06763"/>
    <w:rsid w:val="00C06D61"/>
    <w:rsid w:val="00C0704B"/>
    <w:rsid w:val="00C074DD"/>
    <w:rsid w:val="00C1171A"/>
    <w:rsid w:val="00C163AC"/>
    <w:rsid w:val="00C16C42"/>
    <w:rsid w:val="00C17704"/>
    <w:rsid w:val="00C206D2"/>
    <w:rsid w:val="00C21E09"/>
    <w:rsid w:val="00C21ED3"/>
    <w:rsid w:val="00C23FEF"/>
    <w:rsid w:val="00C252B8"/>
    <w:rsid w:val="00C26BF7"/>
    <w:rsid w:val="00C302C4"/>
    <w:rsid w:val="00C318AA"/>
    <w:rsid w:val="00C36EB3"/>
    <w:rsid w:val="00C3772F"/>
    <w:rsid w:val="00C37C78"/>
    <w:rsid w:val="00C4198B"/>
    <w:rsid w:val="00C423A2"/>
    <w:rsid w:val="00C424EC"/>
    <w:rsid w:val="00C42A8E"/>
    <w:rsid w:val="00C44BC5"/>
    <w:rsid w:val="00C4507B"/>
    <w:rsid w:val="00C50B06"/>
    <w:rsid w:val="00C53A13"/>
    <w:rsid w:val="00C54FDC"/>
    <w:rsid w:val="00C55A05"/>
    <w:rsid w:val="00C568C1"/>
    <w:rsid w:val="00C57F2D"/>
    <w:rsid w:val="00C6031A"/>
    <w:rsid w:val="00C62897"/>
    <w:rsid w:val="00C63523"/>
    <w:rsid w:val="00C63F5C"/>
    <w:rsid w:val="00C6426D"/>
    <w:rsid w:val="00C65C5D"/>
    <w:rsid w:val="00C6614D"/>
    <w:rsid w:val="00C664D5"/>
    <w:rsid w:val="00C72FE5"/>
    <w:rsid w:val="00C76C44"/>
    <w:rsid w:val="00C828C8"/>
    <w:rsid w:val="00C8316A"/>
    <w:rsid w:val="00C86081"/>
    <w:rsid w:val="00C9140C"/>
    <w:rsid w:val="00C91D61"/>
    <w:rsid w:val="00C91E4A"/>
    <w:rsid w:val="00C94426"/>
    <w:rsid w:val="00C95058"/>
    <w:rsid w:val="00C9683A"/>
    <w:rsid w:val="00C96E63"/>
    <w:rsid w:val="00C971FB"/>
    <w:rsid w:val="00CA17B5"/>
    <w:rsid w:val="00CA3721"/>
    <w:rsid w:val="00CA3C2A"/>
    <w:rsid w:val="00CA41E3"/>
    <w:rsid w:val="00CA57C6"/>
    <w:rsid w:val="00CA5846"/>
    <w:rsid w:val="00CB0709"/>
    <w:rsid w:val="00CB1970"/>
    <w:rsid w:val="00CB238E"/>
    <w:rsid w:val="00CC0F38"/>
    <w:rsid w:val="00CC174D"/>
    <w:rsid w:val="00CC1C3E"/>
    <w:rsid w:val="00CC4A51"/>
    <w:rsid w:val="00CC51EA"/>
    <w:rsid w:val="00CC61BE"/>
    <w:rsid w:val="00CC655F"/>
    <w:rsid w:val="00CC6A64"/>
    <w:rsid w:val="00CC749A"/>
    <w:rsid w:val="00CD08C9"/>
    <w:rsid w:val="00CD2374"/>
    <w:rsid w:val="00CD29B6"/>
    <w:rsid w:val="00CD38FE"/>
    <w:rsid w:val="00CD3C91"/>
    <w:rsid w:val="00CD414E"/>
    <w:rsid w:val="00CD42C5"/>
    <w:rsid w:val="00CD4CB1"/>
    <w:rsid w:val="00CD767D"/>
    <w:rsid w:val="00CE1923"/>
    <w:rsid w:val="00CE446F"/>
    <w:rsid w:val="00CE57FD"/>
    <w:rsid w:val="00CF061D"/>
    <w:rsid w:val="00CF5449"/>
    <w:rsid w:val="00D02891"/>
    <w:rsid w:val="00D02C21"/>
    <w:rsid w:val="00D05118"/>
    <w:rsid w:val="00D05149"/>
    <w:rsid w:val="00D05A69"/>
    <w:rsid w:val="00D10293"/>
    <w:rsid w:val="00D10ABC"/>
    <w:rsid w:val="00D15364"/>
    <w:rsid w:val="00D15DD0"/>
    <w:rsid w:val="00D1675C"/>
    <w:rsid w:val="00D22BD5"/>
    <w:rsid w:val="00D25736"/>
    <w:rsid w:val="00D25A72"/>
    <w:rsid w:val="00D25B20"/>
    <w:rsid w:val="00D25CDC"/>
    <w:rsid w:val="00D316E4"/>
    <w:rsid w:val="00D31A43"/>
    <w:rsid w:val="00D3465F"/>
    <w:rsid w:val="00D35CC1"/>
    <w:rsid w:val="00D3644F"/>
    <w:rsid w:val="00D36572"/>
    <w:rsid w:val="00D37C4C"/>
    <w:rsid w:val="00D40336"/>
    <w:rsid w:val="00D40AC5"/>
    <w:rsid w:val="00D414FB"/>
    <w:rsid w:val="00D41552"/>
    <w:rsid w:val="00D41663"/>
    <w:rsid w:val="00D4329B"/>
    <w:rsid w:val="00D44641"/>
    <w:rsid w:val="00D45D56"/>
    <w:rsid w:val="00D461A8"/>
    <w:rsid w:val="00D46DB7"/>
    <w:rsid w:val="00D556ED"/>
    <w:rsid w:val="00D577A9"/>
    <w:rsid w:val="00D62849"/>
    <w:rsid w:val="00D64EE2"/>
    <w:rsid w:val="00D6572E"/>
    <w:rsid w:val="00D6674E"/>
    <w:rsid w:val="00D66FE3"/>
    <w:rsid w:val="00D67988"/>
    <w:rsid w:val="00D70D37"/>
    <w:rsid w:val="00D70E63"/>
    <w:rsid w:val="00D71D71"/>
    <w:rsid w:val="00D75507"/>
    <w:rsid w:val="00D767F4"/>
    <w:rsid w:val="00D800C6"/>
    <w:rsid w:val="00D80A65"/>
    <w:rsid w:val="00D81CC5"/>
    <w:rsid w:val="00D830C5"/>
    <w:rsid w:val="00D836ED"/>
    <w:rsid w:val="00D83D8D"/>
    <w:rsid w:val="00D8437A"/>
    <w:rsid w:val="00D93188"/>
    <w:rsid w:val="00D936F3"/>
    <w:rsid w:val="00D93FA9"/>
    <w:rsid w:val="00D96C94"/>
    <w:rsid w:val="00DA035C"/>
    <w:rsid w:val="00DA3177"/>
    <w:rsid w:val="00DA3A70"/>
    <w:rsid w:val="00DA4AB9"/>
    <w:rsid w:val="00DA4E53"/>
    <w:rsid w:val="00DA5C61"/>
    <w:rsid w:val="00DA5EBB"/>
    <w:rsid w:val="00DA7E9E"/>
    <w:rsid w:val="00DB08BC"/>
    <w:rsid w:val="00DB12C5"/>
    <w:rsid w:val="00DB42C7"/>
    <w:rsid w:val="00DB4D60"/>
    <w:rsid w:val="00DB519A"/>
    <w:rsid w:val="00DB5CCC"/>
    <w:rsid w:val="00DB6B14"/>
    <w:rsid w:val="00DC0FA4"/>
    <w:rsid w:val="00DC1162"/>
    <w:rsid w:val="00DC2CD9"/>
    <w:rsid w:val="00DC2FBF"/>
    <w:rsid w:val="00DC4763"/>
    <w:rsid w:val="00DC4792"/>
    <w:rsid w:val="00DC7D07"/>
    <w:rsid w:val="00DD04E9"/>
    <w:rsid w:val="00DD0CA8"/>
    <w:rsid w:val="00DD3AF9"/>
    <w:rsid w:val="00DD51DC"/>
    <w:rsid w:val="00DD6054"/>
    <w:rsid w:val="00DD7BE3"/>
    <w:rsid w:val="00DE0849"/>
    <w:rsid w:val="00DE2EE9"/>
    <w:rsid w:val="00DE3C64"/>
    <w:rsid w:val="00DE41F7"/>
    <w:rsid w:val="00DE4FB8"/>
    <w:rsid w:val="00DE7BD5"/>
    <w:rsid w:val="00DF0FCE"/>
    <w:rsid w:val="00DF2117"/>
    <w:rsid w:val="00DF2AF7"/>
    <w:rsid w:val="00DF2CA0"/>
    <w:rsid w:val="00DF31F5"/>
    <w:rsid w:val="00DF337F"/>
    <w:rsid w:val="00DF5B05"/>
    <w:rsid w:val="00DF60B9"/>
    <w:rsid w:val="00DF6F62"/>
    <w:rsid w:val="00E063A5"/>
    <w:rsid w:val="00E10EDD"/>
    <w:rsid w:val="00E12236"/>
    <w:rsid w:val="00E130AA"/>
    <w:rsid w:val="00E153DB"/>
    <w:rsid w:val="00E1592C"/>
    <w:rsid w:val="00E203CD"/>
    <w:rsid w:val="00E2106F"/>
    <w:rsid w:val="00E2111F"/>
    <w:rsid w:val="00E2211A"/>
    <w:rsid w:val="00E23086"/>
    <w:rsid w:val="00E23785"/>
    <w:rsid w:val="00E24A10"/>
    <w:rsid w:val="00E25A06"/>
    <w:rsid w:val="00E25E96"/>
    <w:rsid w:val="00E26AA5"/>
    <w:rsid w:val="00E3006B"/>
    <w:rsid w:val="00E335F1"/>
    <w:rsid w:val="00E33787"/>
    <w:rsid w:val="00E34A79"/>
    <w:rsid w:val="00E34C47"/>
    <w:rsid w:val="00E34DF9"/>
    <w:rsid w:val="00E372E9"/>
    <w:rsid w:val="00E37A38"/>
    <w:rsid w:val="00E430BD"/>
    <w:rsid w:val="00E44496"/>
    <w:rsid w:val="00E47DA6"/>
    <w:rsid w:val="00E50DAF"/>
    <w:rsid w:val="00E54190"/>
    <w:rsid w:val="00E60016"/>
    <w:rsid w:val="00E6221C"/>
    <w:rsid w:val="00E62B81"/>
    <w:rsid w:val="00E6325E"/>
    <w:rsid w:val="00E6687B"/>
    <w:rsid w:val="00E7294B"/>
    <w:rsid w:val="00E73019"/>
    <w:rsid w:val="00E80312"/>
    <w:rsid w:val="00E804AE"/>
    <w:rsid w:val="00E81791"/>
    <w:rsid w:val="00E81EA6"/>
    <w:rsid w:val="00E90D6E"/>
    <w:rsid w:val="00E91237"/>
    <w:rsid w:val="00E92173"/>
    <w:rsid w:val="00E9311A"/>
    <w:rsid w:val="00E9347F"/>
    <w:rsid w:val="00E93802"/>
    <w:rsid w:val="00E95FBF"/>
    <w:rsid w:val="00EA078F"/>
    <w:rsid w:val="00EA1C4B"/>
    <w:rsid w:val="00EA1DD2"/>
    <w:rsid w:val="00EA274D"/>
    <w:rsid w:val="00EB2C2C"/>
    <w:rsid w:val="00EB5B09"/>
    <w:rsid w:val="00EB5E82"/>
    <w:rsid w:val="00EB6E51"/>
    <w:rsid w:val="00EB7B12"/>
    <w:rsid w:val="00EB7D91"/>
    <w:rsid w:val="00EC16FB"/>
    <w:rsid w:val="00EC6C62"/>
    <w:rsid w:val="00EC75FD"/>
    <w:rsid w:val="00EC7CD2"/>
    <w:rsid w:val="00ED19B7"/>
    <w:rsid w:val="00ED245D"/>
    <w:rsid w:val="00ED3A13"/>
    <w:rsid w:val="00ED4793"/>
    <w:rsid w:val="00ED51D9"/>
    <w:rsid w:val="00ED5411"/>
    <w:rsid w:val="00ED5B42"/>
    <w:rsid w:val="00EE0213"/>
    <w:rsid w:val="00EE4F53"/>
    <w:rsid w:val="00EE7670"/>
    <w:rsid w:val="00EE7EB5"/>
    <w:rsid w:val="00EF355D"/>
    <w:rsid w:val="00EF6C85"/>
    <w:rsid w:val="00F026FA"/>
    <w:rsid w:val="00F02794"/>
    <w:rsid w:val="00F032B0"/>
    <w:rsid w:val="00F03325"/>
    <w:rsid w:val="00F035A9"/>
    <w:rsid w:val="00F04026"/>
    <w:rsid w:val="00F061B5"/>
    <w:rsid w:val="00F0729E"/>
    <w:rsid w:val="00F10761"/>
    <w:rsid w:val="00F11E69"/>
    <w:rsid w:val="00F1602D"/>
    <w:rsid w:val="00F16ACF"/>
    <w:rsid w:val="00F17E1D"/>
    <w:rsid w:val="00F25799"/>
    <w:rsid w:val="00F25BD5"/>
    <w:rsid w:val="00F34357"/>
    <w:rsid w:val="00F34F3F"/>
    <w:rsid w:val="00F37A02"/>
    <w:rsid w:val="00F40B94"/>
    <w:rsid w:val="00F4135D"/>
    <w:rsid w:val="00F41658"/>
    <w:rsid w:val="00F41679"/>
    <w:rsid w:val="00F41717"/>
    <w:rsid w:val="00F433DB"/>
    <w:rsid w:val="00F4410E"/>
    <w:rsid w:val="00F448E2"/>
    <w:rsid w:val="00F54A6D"/>
    <w:rsid w:val="00F54C7F"/>
    <w:rsid w:val="00F55903"/>
    <w:rsid w:val="00F56E40"/>
    <w:rsid w:val="00F573EC"/>
    <w:rsid w:val="00F57F8E"/>
    <w:rsid w:val="00F62D06"/>
    <w:rsid w:val="00F63EDC"/>
    <w:rsid w:val="00F64940"/>
    <w:rsid w:val="00F65845"/>
    <w:rsid w:val="00F66278"/>
    <w:rsid w:val="00F66D96"/>
    <w:rsid w:val="00F67273"/>
    <w:rsid w:val="00F70396"/>
    <w:rsid w:val="00F74C87"/>
    <w:rsid w:val="00F75F1E"/>
    <w:rsid w:val="00F77573"/>
    <w:rsid w:val="00F80660"/>
    <w:rsid w:val="00F80C60"/>
    <w:rsid w:val="00F81A31"/>
    <w:rsid w:val="00F82610"/>
    <w:rsid w:val="00F85B51"/>
    <w:rsid w:val="00F85C82"/>
    <w:rsid w:val="00F87529"/>
    <w:rsid w:val="00F90721"/>
    <w:rsid w:val="00F90E5D"/>
    <w:rsid w:val="00F9239E"/>
    <w:rsid w:val="00F945B0"/>
    <w:rsid w:val="00F94D5D"/>
    <w:rsid w:val="00F95109"/>
    <w:rsid w:val="00FA0B5B"/>
    <w:rsid w:val="00FA1C0D"/>
    <w:rsid w:val="00FA2674"/>
    <w:rsid w:val="00FA474C"/>
    <w:rsid w:val="00FA4F59"/>
    <w:rsid w:val="00FA6D58"/>
    <w:rsid w:val="00FA770D"/>
    <w:rsid w:val="00FA7AA5"/>
    <w:rsid w:val="00FB0E61"/>
    <w:rsid w:val="00FB187F"/>
    <w:rsid w:val="00FB221B"/>
    <w:rsid w:val="00FB3A94"/>
    <w:rsid w:val="00FB3B9B"/>
    <w:rsid w:val="00FB4430"/>
    <w:rsid w:val="00FB4C6F"/>
    <w:rsid w:val="00FB5475"/>
    <w:rsid w:val="00FB5F1D"/>
    <w:rsid w:val="00FB63E9"/>
    <w:rsid w:val="00FC0D47"/>
    <w:rsid w:val="00FC0ED1"/>
    <w:rsid w:val="00FC3191"/>
    <w:rsid w:val="00FC60B8"/>
    <w:rsid w:val="00FD17E9"/>
    <w:rsid w:val="00FD1BD5"/>
    <w:rsid w:val="00FD43CF"/>
    <w:rsid w:val="00FD4584"/>
    <w:rsid w:val="00FE1001"/>
    <w:rsid w:val="00FE168B"/>
    <w:rsid w:val="00FE234E"/>
    <w:rsid w:val="00FE2CB3"/>
    <w:rsid w:val="00FE3B7B"/>
    <w:rsid w:val="00FE546B"/>
    <w:rsid w:val="00FE54CE"/>
    <w:rsid w:val="00FE67B0"/>
    <w:rsid w:val="00FF1160"/>
    <w:rsid w:val="00FF3DF1"/>
    <w:rsid w:val="00FF424F"/>
    <w:rsid w:val="00FF5A6F"/>
    <w:rsid w:val="00FF7711"/>
  </w:rsids>
  <w:docVars>
    <w:docVar w:name="EN.InstantFormat" w:val="&lt;ENInstantFormat&gt;&lt;Enabled&gt;1&lt;/Enabled&gt;&lt;ScanUnformatted&gt;1&lt;/ScanUnformatted&gt;&lt;ScanChanges&gt;1&lt;/ScanChanges&gt;&lt;Suspended&gt;1&lt;/Suspended&gt;&lt;/ENInstantFormat&gt;"/>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DB518246-7292-4165-8650-17252899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da-DK" w:bidi="da-D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0"/>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0"/>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A70"/>
    <w:pPr>
      <w:spacing w:after="200" w:line="276" w:lineRule="auto"/>
    </w:pPr>
    <w:rPr>
      <w:rFonts w:ascii="Calibri" w:eastAsia="Times New Roman" w:hAnsi="Calibri" w:cs="Times New Roman"/>
    </w:rPr>
  </w:style>
  <w:style w:type="paragraph" w:styleId="Heading1">
    <w:name w:val="heading 1"/>
    <w:aliases w:val="ECDC AF Heading 1"/>
    <w:basedOn w:val="Normal"/>
    <w:next w:val="Normal"/>
    <w:link w:val="Heading1Char"/>
    <w:qFormat/>
    <w:rsid w:val="00DA3A70"/>
    <w:pPr>
      <w:keepNext/>
      <w:spacing w:after="0" w:line="240" w:lineRule="auto"/>
      <w:outlineLvl w:val="0"/>
    </w:pPr>
    <w:rPr>
      <w:rFonts w:ascii="Times New Roman" w:eastAsia="MS Mincho" w:hAnsi="Times New Roman"/>
      <w:b/>
      <w:sz w:val="24"/>
      <w:szCs w:val="24"/>
    </w:rPr>
  </w:style>
  <w:style w:type="paragraph" w:styleId="Heading2">
    <w:name w:val="heading 2"/>
    <w:aliases w:val="ECDC AF Heading 2"/>
    <w:basedOn w:val="Normal"/>
    <w:next w:val="Paragrafoelenco1"/>
    <w:link w:val="Heading2Char"/>
    <w:autoRedefine/>
    <w:uiPriority w:val="9"/>
    <w:qFormat/>
    <w:rsid w:val="00DA3A70"/>
    <w:pPr>
      <w:keepNext/>
      <w:keepLines/>
      <w:spacing w:before="240" w:after="240" w:line="240" w:lineRule="auto"/>
      <w:jc w:val="both"/>
      <w:outlineLvl w:val="1"/>
    </w:pPr>
    <w:rPr>
      <w:rFonts w:ascii="Tahoma" w:hAnsi="Tahoma"/>
      <w:b/>
      <w:bCs/>
      <w:i/>
      <w:color w:val="008000"/>
      <w:sz w:val="26"/>
      <w:szCs w:val="26"/>
    </w:rPr>
  </w:style>
  <w:style w:type="paragraph" w:styleId="Heading3">
    <w:name w:val="heading 3"/>
    <w:aliases w:val="ECDC AF Heading 3"/>
    <w:basedOn w:val="Normal"/>
    <w:next w:val="Normal"/>
    <w:link w:val="Heading3Char"/>
    <w:autoRedefine/>
    <w:uiPriority w:val="9"/>
    <w:qFormat/>
    <w:rsid w:val="00DA3A70"/>
    <w:pPr>
      <w:keepNext/>
      <w:keepLines/>
      <w:spacing w:before="240" w:after="240" w:line="240" w:lineRule="auto"/>
      <w:outlineLvl w:val="2"/>
    </w:pPr>
    <w:rPr>
      <w:rFonts w:ascii="Tahoma" w:hAnsi="Tahoma"/>
      <w:b/>
      <w:bCs/>
      <w:color w:val="1F497D"/>
      <w:szCs w:val="20"/>
    </w:rPr>
  </w:style>
  <w:style w:type="paragraph" w:styleId="Heading4">
    <w:name w:val="heading 4"/>
    <w:basedOn w:val="Normal"/>
    <w:next w:val="Normal"/>
    <w:link w:val="Heading4Char"/>
    <w:uiPriority w:val="9"/>
    <w:unhideWhenUsed/>
    <w:qFormat/>
    <w:rsid w:val="00EA1D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9380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DC AF Heading 1 Char"/>
    <w:link w:val="Heading1"/>
    <w:rsid w:val="00DA3A70"/>
    <w:rPr>
      <w:rFonts w:ascii="Times New Roman" w:eastAsia="MS Mincho" w:hAnsi="Times New Roman" w:cs="Times New Roman"/>
      <w:b/>
      <w:sz w:val="24"/>
      <w:szCs w:val="24"/>
      <w:lang w:eastAsia="da-DK"/>
    </w:rPr>
  </w:style>
  <w:style w:type="character" w:customStyle="1" w:styleId="Heading2Char">
    <w:name w:val="Heading 2 Char"/>
    <w:aliases w:val="ECDC AF Heading 2 Char"/>
    <w:link w:val="Heading2"/>
    <w:uiPriority w:val="9"/>
    <w:rsid w:val="00DA3A70"/>
    <w:rPr>
      <w:rFonts w:ascii="Tahoma" w:eastAsia="Times New Roman" w:hAnsi="Tahoma" w:cs="Times New Roman"/>
      <w:b/>
      <w:bCs/>
      <w:i/>
      <w:color w:val="008000"/>
      <w:sz w:val="26"/>
      <w:szCs w:val="26"/>
    </w:rPr>
  </w:style>
  <w:style w:type="character" w:customStyle="1" w:styleId="Heading3Char">
    <w:name w:val="Heading 3 Char"/>
    <w:aliases w:val="ECDC AF Heading 3 Char"/>
    <w:link w:val="Heading3"/>
    <w:uiPriority w:val="9"/>
    <w:rsid w:val="00DA3A70"/>
    <w:rPr>
      <w:rFonts w:ascii="Tahoma" w:eastAsia="Times New Roman" w:hAnsi="Tahoma" w:cs="Times New Roman"/>
      <w:b/>
      <w:bCs/>
      <w:color w:val="1F497D"/>
      <w:szCs w:val="20"/>
    </w:rPr>
  </w:style>
  <w:style w:type="paragraph" w:styleId="BalloonText">
    <w:name w:val="Balloon Text"/>
    <w:basedOn w:val="Normal"/>
    <w:link w:val="BalloonTextChar"/>
    <w:semiHidden/>
    <w:unhideWhenUsed/>
    <w:rsid w:val="00DA3A70"/>
    <w:pPr>
      <w:spacing w:after="0" w:line="240" w:lineRule="auto"/>
    </w:pPr>
    <w:rPr>
      <w:rFonts w:ascii="Tahoma" w:hAnsi="Tahoma"/>
      <w:sz w:val="16"/>
      <w:szCs w:val="16"/>
    </w:rPr>
  </w:style>
  <w:style w:type="character" w:customStyle="1" w:styleId="BalloonTextChar">
    <w:name w:val="Balloon Text Char"/>
    <w:link w:val="BalloonText"/>
    <w:semiHidden/>
    <w:rsid w:val="00DA3A70"/>
    <w:rPr>
      <w:rFonts w:ascii="Tahoma" w:eastAsia="Times New Roman" w:hAnsi="Tahoma" w:cs="Times New Roman"/>
      <w:sz w:val="16"/>
      <w:szCs w:val="16"/>
      <w:lang w:val="da-DK" w:eastAsia="da-DK"/>
    </w:rPr>
  </w:style>
  <w:style w:type="paragraph" w:customStyle="1" w:styleId="ListParagraph1">
    <w:name w:val="List Paragraph1"/>
    <w:basedOn w:val="Normal"/>
    <w:uiPriority w:val="34"/>
    <w:qFormat/>
    <w:rsid w:val="00DA3A70"/>
    <w:pPr>
      <w:ind w:left="720"/>
      <w:contextualSpacing/>
    </w:pPr>
  </w:style>
  <w:style w:type="character" w:styleId="Hyperlink">
    <w:name w:val="Hyperlink"/>
    <w:rsid w:val="00DA3A70"/>
    <w:rPr>
      <w:color w:val="0000FF"/>
      <w:u w:val="single"/>
    </w:rPr>
  </w:style>
  <w:style w:type="paragraph" w:styleId="CommentText">
    <w:name w:val="annotation text"/>
    <w:basedOn w:val="Normal"/>
    <w:link w:val="CommentTextChar1"/>
    <w:uiPriority w:val="99"/>
    <w:unhideWhenUsed/>
    <w:rsid w:val="00DA3A70"/>
    <w:pPr>
      <w:spacing w:line="240" w:lineRule="auto"/>
    </w:pPr>
    <w:rPr>
      <w:rFonts w:eastAsia="Calibri"/>
      <w:sz w:val="20"/>
      <w:szCs w:val="20"/>
    </w:rPr>
  </w:style>
  <w:style w:type="character" w:customStyle="1" w:styleId="CommentTextChar">
    <w:name w:val="Comment Text Char"/>
    <w:uiPriority w:val="99"/>
    <w:rsid w:val="00DA3A70"/>
    <w:rPr>
      <w:rFonts w:eastAsia="Times New Roman" w:cs="Times New Roman"/>
      <w:lang w:val="da-DK" w:eastAsia="da-DK"/>
    </w:rPr>
  </w:style>
  <w:style w:type="character" w:customStyle="1" w:styleId="CommentTextChar1">
    <w:name w:val="Comment Text Char1"/>
    <w:link w:val="CommentText"/>
    <w:uiPriority w:val="99"/>
    <w:rsid w:val="00DA3A70"/>
    <w:rPr>
      <w:rFonts w:ascii="Calibri" w:eastAsia="Calibri" w:hAnsi="Calibri" w:cs="Times New Roman"/>
      <w:sz w:val="20"/>
      <w:szCs w:val="20"/>
      <w:lang w:val="da-DK"/>
    </w:rPr>
  </w:style>
  <w:style w:type="paragraph" w:styleId="HTMLPreformatted">
    <w:name w:val="HTML Preformatted"/>
    <w:basedOn w:val="Normal"/>
    <w:link w:val="HTMLPreformattedChar"/>
    <w:uiPriority w:val="99"/>
    <w:semiHidden/>
    <w:unhideWhenUsed/>
    <w:rsid w:val="00DA3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semiHidden/>
    <w:rsid w:val="00DA3A70"/>
    <w:rPr>
      <w:rFonts w:ascii="Courier New" w:eastAsia="Times New Roman" w:hAnsi="Courier New" w:cs="Times New Roman"/>
      <w:sz w:val="20"/>
      <w:szCs w:val="20"/>
      <w:lang w:val="da-DK" w:eastAsia="da-DK"/>
    </w:rPr>
  </w:style>
  <w:style w:type="character" w:styleId="CommentReference">
    <w:name w:val="annotation reference"/>
    <w:uiPriority w:val="99"/>
    <w:semiHidden/>
    <w:unhideWhenUsed/>
    <w:rsid w:val="00DA3A70"/>
    <w:rPr>
      <w:sz w:val="16"/>
      <w:szCs w:val="16"/>
    </w:rPr>
  </w:style>
  <w:style w:type="paragraph" w:styleId="CommentSubject">
    <w:name w:val="annotation subject"/>
    <w:basedOn w:val="CommentText"/>
    <w:next w:val="CommentText"/>
    <w:link w:val="CommentSubjectChar"/>
    <w:uiPriority w:val="99"/>
    <w:semiHidden/>
    <w:unhideWhenUsed/>
    <w:rsid w:val="00DA3A70"/>
    <w:pPr>
      <w:spacing w:line="276" w:lineRule="auto"/>
    </w:pPr>
    <w:rPr>
      <w:b/>
      <w:bCs/>
    </w:rPr>
  </w:style>
  <w:style w:type="character" w:customStyle="1" w:styleId="CommentSubjectChar">
    <w:name w:val="Comment Subject Char"/>
    <w:link w:val="CommentSubject"/>
    <w:uiPriority w:val="99"/>
    <w:semiHidden/>
    <w:rsid w:val="00DA3A70"/>
    <w:rPr>
      <w:rFonts w:ascii="Calibri" w:eastAsia="Calibri" w:hAnsi="Calibri" w:cs="Times New Roman"/>
      <w:b/>
      <w:bCs/>
      <w:sz w:val="20"/>
      <w:szCs w:val="20"/>
      <w:lang w:val="da-DK"/>
    </w:rPr>
  </w:style>
  <w:style w:type="paragraph" w:styleId="Header">
    <w:name w:val="header"/>
    <w:basedOn w:val="Normal"/>
    <w:link w:val="HeaderChar"/>
    <w:uiPriority w:val="99"/>
    <w:unhideWhenUsed/>
    <w:rsid w:val="00DA3A70"/>
    <w:pPr>
      <w:tabs>
        <w:tab w:val="center" w:pos="4819"/>
        <w:tab w:val="right" w:pos="9638"/>
      </w:tabs>
    </w:pPr>
  </w:style>
  <w:style w:type="character" w:customStyle="1" w:styleId="HeaderChar">
    <w:name w:val="Header Char"/>
    <w:link w:val="Header"/>
    <w:uiPriority w:val="99"/>
    <w:rsid w:val="00DA3A70"/>
    <w:rPr>
      <w:rFonts w:ascii="Calibri" w:eastAsia="Times New Roman" w:hAnsi="Calibri" w:cs="Times New Roman"/>
      <w:lang w:val="da-DK" w:eastAsia="da-DK"/>
    </w:rPr>
  </w:style>
  <w:style w:type="paragraph" w:styleId="Footer">
    <w:name w:val="footer"/>
    <w:basedOn w:val="Normal"/>
    <w:link w:val="FooterChar"/>
    <w:uiPriority w:val="99"/>
    <w:unhideWhenUsed/>
    <w:rsid w:val="00DA3A70"/>
    <w:pPr>
      <w:tabs>
        <w:tab w:val="center" w:pos="4819"/>
        <w:tab w:val="right" w:pos="9638"/>
      </w:tabs>
    </w:pPr>
  </w:style>
  <w:style w:type="character" w:customStyle="1" w:styleId="FooterChar">
    <w:name w:val="Footer Char"/>
    <w:link w:val="Footer"/>
    <w:uiPriority w:val="99"/>
    <w:rsid w:val="00DA3A70"/>
    <w:rPr>
      <w:rFonts w:ascii="Calibri" w:eastAsia="Times New Roman" w:hAnsi="Calibri" w:cs="Times New Roman"/>
      <w:lang w:val="da-DK" w:eastAsia="da-DK"/>
    </w:rPr>
  </w:style>
  <w:style w:type="paragraph" w:styleId="FootnoteText">
    <w:name w:val="footnote text"/>
    <w:basedOn w:val="Normal"/>
    <w:link w:val="FootnoteTextChar"/>
    <w:unhideWhenUsed/>
    <w:rsid w:val="00DA3A70"/>
    <w:rPr>
      <w:sz w:val="20"/>
      <w:szCs w:val="20"/>
    </w:rPr>
  </w:style>
  <w:style w:type="character" w:customStyle="1" w:styleId="FootnoteTextChar">
    <w:name w:val="Footnote Text Char"/>
    <w:link w:val="FootnoteText"/>
    <w:rsid w:val="00DA3A70"/>
    <w:rPr>
      <w:rFonts w:ascii="Calibri" w:eastAsia="Times New Roman" w:hAnsi="Calibri" w:cs="Times New Roman"/>
      <w:sz w:val="20"/>
      <w:szCs w:val="20"/>
      <w:lang w:val="da-DK" w:eastAsia="da-DK"/>
    </w:rPr>
  </w:style>
  <w:style w:type="character" w:styleId="FootnoteReference">
    <w:name w:val="footnote reference"/>
    <w:unhideWhenUsed/>
    <w:rsid w:val="00DA3A70"/>
    <w:rPr>
      <w:vertAlign w:val="superscript"/>
    </w:rPr>
  </w:style>
  <w:style w:type="paragraph" w:styleId="PlainText">
    <w:name w:val="Plain Text"/>
    <w:basedOn w:val="Normal"/>
    <w:link w:val="PlainTextChar"/>
    <w:uiPriority w:val="99"/>
    <w:semiHidden/>
    <w:unhideWhenUsed/>
    <w:rsid w:val="00DA3A70"/>
    <w:pPr>
      <w:spacing w:after="0" w:line="240" w:lineRule="auto"/>
    </w:pPr>
    <w:rPr>
      <w:rFonts w:ascii="Consolas" w:eastAsia="Calibri" w:hAnsi="Consolas"/>
      <w:sz w:val="21"/>
      <w:szCs w:val="21"/>
    </w:rPr>
  </w:style>
  <w:style w:type="character" w:customStyle="1" w:styleId="PlainTextChar">
    <w:name w:val="Plain Text Char"/>
    <w:link w:val="PlainText"/>
    <w:uiPriority w:val="99"/>
    <w:semiHidden/>
    <w:rsid w:val="00DA3A70"/>
    <w:rPr>
      <w:rFonts w:ascii="Consolas" w:eastAsia="Calibri" w:hAnsi="Consolas" w:cs="Times New Roman"/>
      <w:sz w:val="21"/>
      <w:szCs w:val="21"/>
      <w:lang w:val="da-DK"/>
    </w:rPr>
  </w:style>
  <w:style w:type="paragraph" w:customStyle="1" w:styleId="Revision1">
    <w:name w:val="Revision1"/>
    <w:hidden/>
    <w:uiPriority w:val="99"/>
    <w:semiHidden/>
    <w:rsid w:val="00DA3A70"/>
    <w:pPr>
      <w:spacing w:after="0" w:line="240" w:lineRule="auto"/>
    </w:pPr>
    <w:rPr>
      <w:rFonts w:ascii="Calibri" w:eastAsia="Times New Roman" w:hAnsi="Calibri" w:cs="Times New Roman"/>
    </w:rPr>
  </w:style>
  <w:style w:type="character" w:styleId="Emphasis">
    <w:name w:val="Emphasis"/>
    <w:uiPriority w:val="20"/>
    <w:qFormat/>
    <w:rsid w:val="00DA3A70"/>
    <w:rPr>
      <w:i/>
      <w:iCs/>
    </w:rPr>
  </w:style>
  <w:style w:type="character" w:styleId="Strong">
    <w:name w:val="Strong"/>
    <w:uiPriority w:val="22"/>
    <w:qFormat/>
    <w:rsid w:val="00DA3A70"/>
    <w:rPr>
      <w:b/>
      <w:bCs/>
    </w:rPr>
  </w:style>
  <w:style w:type="character" w:customStyle="1" w:styleId="cit-sep3">
    <w:name w:val="cit-sep3"/>
    <w:basedOn w:val="DefaultParagraphFont"/>
    <w:rsid w:val="00DA3A70"/>
  </w:style>
  <w:style w:type="character" w:styleId="HTMLCite">
    <w:name w:val="HTML Cite"/>
    <w:uiPriority w:val="99"/>
    <w:semiHidden/>
    <w:unhideWhenUsed/>
    <w:rsid w:val="00DA3A70"/>
    <w:rPr>
      <w:i/>
      <w:iCs/>
    </w:rPr>
  </w:style>
  <w:style w:type="character" w:customStyle="1" w:styleId="cit-title3">
    <w:name w:val="cit-title3"/>
    <w:basedOn w:val="DefaultParagraphFont"/>
    <w:rsid w:val="00DA3A70"/>
  </w:style>
  <w:style w:type="character" w:customStyle="1" w:styleId="cit-print-date">
    <w:name w:val="cit-print-date"/>
    <w:basedOn w:val="DefaultParagraphFont"/>
    <w:rsid w:val="00DA3A70"/>
  </w:style>
  <w:style w:type="character" w:customStyle="1" w:styleId="cit-vol">
    <w:name w:val="cit-vol"/>
    <w:basedOn w:val="DefaultParagraphFont"/>
    <w:rsid w:val="00DA3A70"/>
  </w:style>
  <w:style w:type="character" w:customStyle="1" w:styleId="cit-first-page">
    <w:name w:val="cit-first-page"/>
    <w:basedOn w:val="DefaultParagraphFont"/>
    <w:rsid w:val="00DA3A70"/>
  </w:style>
  <w:style w:type="character" w:customStyle="1" w:styleId="cit-last-page">
    <w:name w:val="cit-last-page"/>
    <w:basedOn w:val="DefaultParagraphFont"/>
    <w:rsid w:val="00DA3A70"/>
  </w:style>
  <w:style w:type="character" w:customStyle="1" w:styleId="search-result-highlight1">
    <w:name w:val="search-result-highlight1"/>
    <w:rsid w:val="00DA3A70"/>
    <w:rPr>
      <w:b/>
      <w:bCs/>
      <w:color w:val="CC0000"/>
    </w:rPr>
  </w:style>
  <w:style w:type="character" w:customStyle="1" w:styleId="cit-auth2">
    <w:name w:val="cit-auth2"/>
    <w:basedOn w:val="DefaultParagraphFont"/>
    <w:rsid w:val="00DA3A70"/>
  </w:style>
  <w:style w:type="character" w:customStyle="1" w:styleId="cit-sep4">
    <w:name w:val="cit-sep4"/>
    <w:basedOn w:val="DefaultParagraphFont"/>
    <w:rsid w:val="00DA3A70"/>
  </w:style>
  <w:style w:type="character" w:customStyle="1" w:styleId="cit-title9">
    <w:name w:val="cit-title9"/>
    <w:basedOn w:val="DefaultParagraphFont"/>
    <w:rsid w:val="00DA3A70"/>
  </w:style>
  <w:style w:type="character" w:customStyle="1" w:styleId="cit-subtitle">
    <w:name w:val="cit-subtitle"/>
    <w:basedOn w:val="DefaultParagraphFont"/>
    <w:rsid w:val="00DA3A70"/>
  </w:style>
  <w:style w:type="character" w:customStyle="1" w:styleId="cit-vol2">
    <w:name w:val="cit-vol2"/>
    <w:basedOn w:val="DefaultParagraphFont"/>
    <w:rsid w:val="00DA3A70"/>
  </w:style>
  <w:style w:type="character" w:customStyle="1" w:styleId="cit-issue">
    <w:name w:val="cit-issue"/>
    <w:basedOn w:val="DefaultParagraphFont"/>
    <w:rsid w:val="00DA3A70"/>
  </w:style>
  <w:style w:type="character" w:customStyle="1" w:styleId="cit-last-page2">
    <w:name w:val="cit-last-page2"/>
    <w:basedOn w:val="DefaultParagraphFont"/>
    <w:rsid w:val="00DA3A70"/>
  </w:style>
  <w:style w:type="paragraph" w:customStyle="1" w:styleId="Pa4">
    <w:name w:val="Pa4"/>
    <w:basedOn w:val="Normal"/>
    <w:next w:val="Normal"/>
    <w:uiPriority w:val="99"/>
    <w:rsid w:val="00DA3A70"/>
    <w:pPr>
      <w:autoSpaceDE w:val="0"/>
      <w:autoSpaceDN w:val="0"/>
      <w:adjustRightInd w:val="0"/>
      <w:spacing w:after="0" w:line="201" w:lineRule="atLeast"/>
    </w:pPr>
    <w:rPr>
      <w:rFonts w:ascii="Minion Pro" w:eastAsia="MS Mincho" w:hAnsi="Minion Pro"/>
      <w:sz w:val="24"/>
      <w:szCs w:val="24"/>
    </w:rPr>
  </w:style>
  <w:style w:type="character" w:customStyle="1" w:styleId="ja50-ce-author1">
    <w:name w:val="ja50-ce-author1"/>
    <w:rsid w:val="00DA3A70"/>
    <w:rPr>
      <w:color w:val="808080"/>
      <w:sz w:val="23"/>
      <w:szCs w:val="23"/>
    </w:rPr>
  </w:style>
  <w:style w:type="character" w:customStyle="1" w:styleId="ja50-ce-title2">
    <w:name w:val="ja50-ce-title2"/>
    <w:rsid w:val="00DA3A70"/>
    <w:rPr>
      <w:b/>
      <w:bCs/>
      <w:color w:val="000000"/>
      <w:sz w:val="24"/>
      <w:szCs w:val="24"/>
    </w:rPr>
  </w:style>
  <w:style w:type="paragraph" w:customStyle="1" w:styleId="Elencoacolori-Colore11">
    <w:name w:val="Elenco a colori - Colore 11"/>
    <w:basedOn w:val="Normal"/>
    <w:uiPriority w:val="34"/>
    <w:qFormat/>
    <w:rsid w:val="00DA3A70"/>
    <w:pPr>
      <w:ind w:left="720"/>
      <w:contextualSpacing/>
    </w:pPr>
  </w:style>
  <w:style w:type="paragraph" w:customStyle="1" w:styleId="Elencoacolori-Colore12">
    <w:name w:val="Elenco a colori - Colore 12"/>
    <w:basedOn w:val="Normal"/>
    <w:qFormat/>
    <w:rsid w:val="00DA3A70"/>
    <w:pPr>
      <w:ind w:left="720"/>
      <w:contextualSpacing/>
    </w:pPr>
  </w:style>
  <w:style w:type="table" w:styleId="TableGrid">
    <w:name w:val="Table Grid"/>
    <w:basedOn w:val="TableNormal"/>
    <w:uiPriority w:val="39"/>
    <w:rsid w:val="00DA3A70"/>
    <w:pPr>
      <w:spacing w:after="200" w:line="276"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3">
    <w:name w:val="Medium Grid 3 Accent 3"/>
    <w:basedOn w:val="TableNormal"/>
    <w:uiPriority w:val="60"/>
    <w:rsid w:val="00DA3A70"/>
    <w:pPr>
      <w:spacing w:after="0" w:line="240" w:lineRule="auto"/>
    </w:pPr>
    <w:rPr>
      <w:rFonts w:ascii="Tahoma" w:eastAsia="Calibri" w:hAnsi="Tahoma"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TOCHeading">
    <w:name w:val="TOC Heading"/>
    <w:basedOn w:val="Heading1"/>
    <w:next w:val="Normal"/>
    <w:uiPriority w:val="39"/>
    <w:qFormat/>
    <w:rsid w:val="00DA3A70"/>
    <w:pPr>
      <w:keepLines/>
      <w:spacing w:before="240" w:after="600"/>
      <w:jc w:val="center"/>
      <w:outlineLvl w:val="9"/>
    </w:pPr>
    <w:rPr>
      <w:rFonts w:ascii="Tahoma" w:eastAsia="Times New Roman" w:hAnsi="Tahoma"/>
      <w:bCs/>
      <w:color w:val="008000"/>
      <w:sz w:val="28"/>
      <w:szCs w:val="28"/>
    </w:rPr>
  </w:style>
  <w:style w:type="paragraph" w:styleId="Title">
    <w:name w:val="Title"/>
    <w:aliases w:val="ECDC AF Title"/>
    <w:basedOn w:val="Normal"/>
    <w:next w:val="Normal"/>
    <w:link w:val="TitleChar"/>
    <w:autoRedefine/>
    <w:uiPriority w:val="10"/>
    <w:qFormat/>
    <w:rsid w:val="00DA3A70"/>
    <w:pPr>
      <w:spacing w:before="240" w:after="360" w:line="240" w:lineRule="auto"/>
      <w:jc w:val="center"/>
    </w:pPr>
    <w:rPr>
      <w:rFonts w:ascii="Tahoma" w:hAnsi="Tahoma"/>
      <w:b/>
      <w:spacing w:val="5"/>
      <w:kern w:val="28"/>
      <w:sz w:val="28"/>
      <w:szCs w:val="52"/>
    </w:rPr>
  </w:style>
  <w:style w:type="character" w:customStyle="1" w:styleId="TitleChar">
    <w:name w:val="Title Char"/>
    <w:aliases w:val="ECDC AF Title Char"/>
    <w:link w:val="Title"/>
    <w:uiPriority w:val="10"/>
    <w:rsid w:val="00DA3A70"/>
    <w:rPr>
      <w:rFonts w:ascii="Tahoma" w:eastAsia="Times New Roman" w:hAnsi="Tahoma" w:cs="Times New Roman"/>
      <w:b/>
      <w:spacing w:val="5"/>
      <w:kern w:val="28"/>
      <w:sz w:val="28"/>
      <w:szCs w:val="52"/>
    </w:rPr>
  </w:style>
  <w:style w:type="paragraph" w:customStyle="1" w:styleId="Paragrafoelenco1">
    <w:name w:val="Paragrafo elenco1"/>
    <w:aliases w:val="ECDC AF Paragraph"/>
    <w:basedOn w:val="Normal"/>
    <w:autoRedefine/>
    <w:uiPriority w:val="34"/>
    <w:qFormat/>
    <w:rsid w:val="00DA3A70"/>
    <w:pPr>
      <w:numPr>
        <w:numId w:val="7"/>
      </w:numPr>
      <w:tabs>
        <w:tab w:val="left" w:pos="567"/>
      </w:tabs>
      <w:spacing w:before="120" w:after="120" w:line="240" w:lineRule="auto"/>
      <w:ind w:left="0" w:firstLine="0"/>
      <w:jc w:val="both"/>
    </w:pPr>
    <w:rPr>
      <w:rFonts w:ascii="Tahoma" w:eastAsia="Calibri" w:hAnsi="Tahoma"/>
      <w:sz w:val="20"/>
      <w:szCs w:val="20"/>
    </w:rPr>
  </w:style>
  <w:style w:type="paragraph" w:styleId="TOC1">
    <w:name w:val="toc 1"/>
    <w:basedOn w:val="Normal"/>
    <w:next w:val="Normal"/>
    <w:autoRedefine/>
    <w:uiPriority w:val="39"/>
    <w:unhideWhenUsed/>
    <w:rsid w:val="00DA3A70"/>
    <w:pPr>
      <w:spacing w:before="120" w:after="100" w:line="240" w:lineRule="auto"/>
    </w:pPr>
    <w:rPr>
      <w:rFonts w:ascii="Tahoma" w:eastAsia="Calibri" w:hAnsi="Tahoma"/>
      <w:sz w:val="20"/>
      <w:szCs w:val="20"/>
    </w:rPr>
  </w:style>
  <w:style w:type="paragraph" w:styleId="TOC2">
    <w:name w:val="toc 2"/>
    <w:basedOn w:val="Normal"/>
    <w:next w:val="Normal"/>
    <w:autoRedefine/>
    <w:uiPriority w:val="39"/>
    <w:unhideWhenUsed/>
    <w:rsid w:val="00DA3A70"/>
    <w:pPr>
      <w:spacing w:before="120" w:after="100" w:line="240" w:lineRule="auto"/>
      <w:ind w:left="200"/>
    </w:pPr>
    <w:rPr>
      <w:rFonts w:ascii="Tahoma" w:eastAsia="Calibri" w:hAnsi="Tahoma"/>
      <w:sz w:val="20"/>
      <w:szCs w:val="20"/>
    </w:rPr>
  </w:style>
  <w:style w:type="paragraph" w:styleId="TOC3">
    <w:name w:val="toc 3"/>
    <w:basedOn w:val="Normal"/>
    <w:next w:val="Normal"/>
    <w:autoRedefine/>
    <w:uiPriority w:val="39"/>
    <w:unhideWhenUsed/>
    <w:rsid w:val="00DA3A70"/>
    <w:pPr>
      <w:spacing w:before="120" w:after="100" w:line="240" w:lineRule="auto"/>
      <w:ind w:left="400"/>
    </w:pPr>
    <w:rPr>
      <w:rFonts w:ascii="Tahoma" w:eastAsia="Calibri" w:hAnsi="Tahoma"/>
      <w:sz w:val="20"/>
      <w:szCs w:val="20"/>
    </w:rPr>
  </w:style>
  <w:style w:type="paragraph" w:customStyle="1" w:styleId="ColorfulShading-Accent11">
    <w:name w:val="Colorful Shading - Accent 11"/>
    <w:hidden/>
    <w:uiPriority w:val="99"/>
    <w:semiHidden/>
    <w:rsid w:val="00DA3A70"/>
    <w:pPr>
      <w:spacing w:after="0" w:line="240" w:lineRule="auto"/>
    </w:pPr>
    <w:rPr>
      <w:rFonts w:ascii="Calibri" w:eastAsia="Times New Roman" w:hAnsi="Calibri" w:cs="Times New Roman"/>
    </w:rPr>
  </w:style>
  <w:style w:type="paragraph" w:customStyle="1" w:styleId="ColorfulList-Accent11">
    <w:name w:val="Colorful List - Accent 11"/>
    <w:basedOn w:val="Normal"/>
    <w:uiPriority w:val="34"/>
    <w:qFormat/>
    <w:rsid w:val="00DA3A70"/>
    <w:pPr>
      <w:ind w:left="708"/>
    </w:pPr>
  </w:style>
  <w:style w:type="paragraph" w:styleId="NormalWeb">
    <w:name w:val="Normal (Web)"/>
    <w:basedOn w:val="Normal"/>
    <w:uiPriority w:val="99"/>
    <w:semiHidden/>
    <w:unhideWhenUsed/>
    <w:rsid w:val="00DA3A70"/>
    <w:rPr>
      <w:rFonts w:ascii="Times New Roman" w:hAnsi="Times New Roman"/>
      <w:sz w:val="24"/>
      <w:szCs w:val="24"/>
    </w:rPr>
  </w:style>
  <w:style w:type="paragraph" w:customStyle="1" w:styleId="EndNoteBibliographyTitle">
    <w:name w:val="EndNote Bibliography Title"/>
    <w:basedOn w:val="Normal"/>
    <w:link w:val="EndNoteBibliographyTitleChar"/>
    <w:rsid w:val="00DA3A70"/>
    <w:pPr>
      <w:spacing w:after="0"/>
      <w:jc w:val="center"/>
    </w:pPr>
    <w:rPr>
      <w:noProof/>
      <w:sz w:val="20"/>
    </w:rPr>
  </w:style>
  <w:style w:type="character" w:customStyle="1" w:styleId="EndNoteBibliographyTitleChar">
    <w:name w:val="EndNote Bibliography Title Char"/>
    <w:link w:val="EndNoteBibliographyTitle"/>
    <w:rsid w:val="00DA3A70"/>
    <w:rPr>
      <w:rFonts w:ascii="Calibri" w:eastAsia="Times New Roman" w:hAnsi="Calibri" w:cs="Times New Roman"/>
      <w:noProof/>
      <w:sz w:val="20"/>
      <w:lang w:val="da-DK" w:eastAsia="da-DK"/>
    </w:rPr>
  </w:style>
  <w:style w:type="paragraph" w:customStyle="1" w:styleId="EndNoteBibliography">
    <w:name w:val="EndNote Bibliography"/>
    <w:basedOn w:val="Normal"/>
    <w:link w:val="EndNoteBibliographyChar"/>
    <w:rsid w:val="00DA3A70"/>
    <w:pPr>
      <w:spacing w:line="240" w:lineRule="auto"/>
      <w:jc w:val="both"/>
    </w:pPr>
    <w:rPr>
      <w:noProof/>
      <w:sz w:val="20"/>
    </w:rPr>
  </w:style>
  <w:style w:type="character" w:customStyle="1" w:styleId="EndNoteBibliographyChar">
    <w:name w:val="EndNote Bibliography Char"/>
    <w:link w:val="EndNoteBibliography"/>
    <w:rsid w:val="00DA3A70"/>
    <w:rPr>
      <w:rFonts w:ascii="Calibri" w:eastAsia="Times New Roman" w:hAnsi="Calibri" w:cs="Times New Roman"/>
      <w:noProof/>
      <w:sz w:val="20"/>
      <w:lang w:val="da-DK" w:eastAsia="da-DK"/>
    </w:rPr>
  </w:style>
  <w:style w:type="character" w:styleId="FollowedHyperlink">
    <w:name w:val="FollowedHyperlink"/>
    <w:uiPriority w:val="99"/>
    <w:semiHidden/>
    <w:unhideWhenUsed/>
    <w:rsid w:val="00DA3A70"/>
    <w:rPr>
      <w:color w:val="954F72"/>
      <w:u w:val="single"/>
    </w:rPr>
  </w:style>
  <w:style w:type="paragraph" w:customStyle="1" w:styleId="MediumGrid21">
    <w:name w:val="Medium Grid 21"/>
    <w:uiPriority w:val="1"/>
    <w:qFormat/>
    <w:rsid w:val="00DA3A7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yperlink0">
    <w:name w:val="Hyperlink.0"/>
    <w:rsid w:val="00DA3A70"/>
  </w:style>
  <w:style w:type="character" w:customStyle="1" w:styleId="hide1">
    <w:name w:val="hide1"/>
    <w:rsid w:val="00DA3A70"/>
    <w:rPr>
      <w:vanish/>
      <w:webHidden w:val="0"/>
      <w:specVanish w:val="0"/>
    </w:rPr>
  </w:style>
  <w:style w:type="paragraph" w:customStyle="1" w:styleId="Default">
    <w:name w:val="Default"/>
    <w:rsid w:val="00DA3A7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ListParagraph">
    <w:name w:val="List Paragraph"/>
    <w:basedOn w:val="Normal"/>
    <w:uiPriority w:val="34"/>
    <w:qFormat/>
    <w:rsid w:val="00DA3A70"/>
    <w:pPr>
      <w:ind w:left="720"/>
    </w:pPr>
  </w:style>
  <w:style w:type="table" w:customStyle="1" w:styleId="GridTable4-Accent31">
    <w:name w:val="Grid Table 4 - Accent 31"/>
    <w:basedOn w:val="TableNormal"/>
    <w:next w:val="GridTable4-Accent32"/>
    <w:uiPriority w:val="49"/>
    <w:rsid w:val="00DA3A70"/>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2">
    <w:name w:val="Grid Table 4 - Accent 32"/>
    <w:basedOn w:val="TableNormal"/>
    <w:uiPriority w:val="49"/>
    <w:rsid w:val="00DA3A70"/>
    <w:pPr>
      <w:spacing w:after="0" w:line="240" w:lineRule="auto"/>
    </w:pPr>
    <w:rPr>
      <w:rFonts w:ascii="Calibri" w:eastAsia="Times New Roman" w:hAnsi="Calibri"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m2344583173576020509msolistparagraph">
    <w:name w:val="m_2344583173576020509msolistparagraph"/>
    <w:basedOn w:val="Normal"/>
    <w:rsid w:val="00DA3A70"/>
    <w:pPr>
      <w:spacing w:before="100" w:beforeAutospacing="1" w:after="100" w:afterAutospacing="1" w:line="240" w:lineRule="auto"/>
    </w:pPr>
    <w:rPr>
      <w:rFonts w:ascii="Times New Roman" w:eastAsia="Calibri" w:hAnsi="Times New Roman"/>
      <w:sz w:val="24"/>
      <w:szCs w:val="24"/>
    </w:rPr>
  </w:style>
  <w:style w:type="table" w:styleId="MediumShading2Accent4">
    <w:name w:val="Medium Shading 2 Accent 4"/>
    <w:basedOn w:val="TableNormal"/>
    <w:uiPriority w:val="60"/>
    <w:rsid w:val="00DA3A70"/>
    <w:pPr>
      <w:spacing w:after="0" w:line="240" w:lineRule="auto"/>
    </w:pPr>
    <w:rPr>
      <w:rFonts w:ascii="Tahoma" w:eastAsia="Calibri" w:hAnsi="Tahoma"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odyText">
    <w:name w:val="Body Text"/>
    <w:basedOn w:val="Normal"/>
    <w:link w:val="BodyTextChar"/>
    <w:uiPriority w:val="1"/>
    <w:qFormat/>
    <w:rsid w:val="00DA3A70"/>
    <w:pPr>
      <w:widowControl w:val="0"/>
      <w:spacing w:after="0" w:line="240" w:lineRule="auto"/>
    </w:pPr>
    <w:rPr>
      <w:rFonts w:eastAsia="Calibri" w:cs="Calibri"/>
    </w:rPr>
  </w:style>
  <w:style w:type="character" w:customStyle="1" w:styleId="BodyTextChar">
    <w:name w:val="Body Text Char"/>
    <w:basedOn w:val="DefaultParagraphFont"/>
    <w:link w:val="BodyText"/>
    <w:uiPriority w:val="1"/>
    <w:rsid w:val="00DA3A70"/>
    <w:rPr>
      <w:rFonts w:ascii="Calibri" w:eastAsia="Calibri" w:hAnsi="Calibri" w:cs="Calibri"/>
      <w:lang w:val="da-DK"/>
    </w:rPr>
  </w:style>
  <w:style w:type="character" w:customStyle="1" w:styleId="Heading4Char">
    <w:name w:val="Heading 4 Char"/>
    <w:basedOn w:val="DefaultParagraphFont"/>
    <w:link w:val="Heading4"/>
    <w:uiPriority w:val="9"/>
    <w:rsid w:val="00EA1DD2"/>
    <w:rPr>
      <w:rFonts w:asciiTheme="majorHAnsi" w:eastAsiaTheme="majorEastAsia" w:hAnsiTheme="majorHAnsi" w:cstheme="majorBidi"/>
      <w:i/>
      <w:iCs/>
      <w:color w:val="2E74B5" w:themeColor="accent1" w:themeShade="BF"/>
      <w:lang w:val="da-DK" w:eastAsia="da-DK"/>
    </w:rPr>
  </w:style>
  <w:style w:type="character" w:customStyle="1" w:styleId="Heading5Char">
    <w:name w:val="Heading 5 Char"/>
    <w:basedOn w:val="DefaultParagraphFont"/>
    <w:link w:val="Heading5"/>
    <w:uiPriority w:val="9"/>
    <w:rsid w:val="00E93802"/>
    <w:rPr>
      <w:rFonts w:asciiTheme="majorHAnsi" w:eastAsiaTheme="majorEastAsia" w:hAnsiTheme="majorHAnsi" w:cstheme="majorBidi"/>
      <w:color w:val="2E74B5" w:themeColor="accent1" w:themeShade="BF"/>
      <w:lang w:val="da-DK" w:eastAsia="da-DK"/>
    </w:rPr>
  </w:style>
  <w:style w:type="paragraph" w:customStyle="1" w:styleId="EC-Title-5">
    <w:name w:val="EC-Title-5"/>
    <w:next w:val="Normal"/>
    <w:link w:val="EC-Title-5CharChar"/>
    <w:qFormat/>
    <w:rsid w:val="00E93802"/>
    <w:pPr>
      <w:autoSpaceDE w:val="0"/>
      <w:autoSpaceDN w:val="0"/>
      <w:adjustRightInd w:val="0"/>
      <w:spacing w:before="240" w:after="120" w:line="241" w:lineRule="atLeast"/>
      <w:outlineLvl w:val="1"/>
    </w:pPr>
    <w:rPr>
      <w:rFonts w:ascii="Tahoma" w:eastAsia="Batang" w:hAnsi="Tahoma" w:cs="Tahoma"/>
      <w:b/>
      <w:bCs/>
      <w:color w:val="69AE23"/>
      <w:sz w:val="30"/>
      <w:szCs w:val="30"/>
    </w:rPr>
  </w:style>
  <w:style w:type="character" w:customStyle="1" w:styleId="EC-Title-5CharChar">
    <w:name w:val="EC-Title-5 Char Char"/>
    <w:basedOn w:val="DefaultParagraphFont"/>
    <w:link w:val="EC-Title-5"/>
    <w:rsid w:val="00E93802"/>
    <w:rPr>
      <w:rFonts w:ascii="Tahoma" w:eastAsia="Batang" w:hAnsi="Tahoma" w:cs="Tahoma"/>
      <w:b/>
      <w:bCs/>
      <w:color w:val="69AE23"/>
      <w:sz w:val="30"/>
      <w:szCs w:val="30"/>
    </w:rPr>
  </w:style>
  <w:style w:type="paragraph" w:customStyle="1" w:styleId="EC-Title-6">
    <w:name w:val="EC-Title-6"/>
    <w:next w:val="Normal"/>
    <w:link w:val="EC-Title-6CharChar"/>
    <w:qFormat/>
    <w:rsid w:val="00E93802"/>
    <w:pPr>
      <w:widowControl w:val="0"/>
      <w:spacing w:before="120" w:after="120" w:line="240" w:lineRule="auto"/>
      <w:outlineLvl w:val="2"/>
    </w:pPr>
    <w:rPr>
      <w:rFonts w:ascii="Tahoma" w:eastAsia="Batang" w:hAnsi="Tahoma" w:cs="Tahoma"/>
      <w:b/>
      <w:bCs/>
      <w:color w:val="69AE23"/>
      <w:sz w:val="26"/>
      <w:szCs w:val="26"/>
    </w:rPr>
  </w:style>
  <w:style w:type="character" w:customStyle="1" w:styleId="EC-Title-6CharChar">
    <w:name w:val="EC-Title-6 Char Char"/>
    <w:link w:val="EC-Title-6"/>
    <w:rsid w:val="00E93802"/>
    <w:rPr>
      <w:rFonts w:ascii="Tahoma" w:eastAsia="Batang" w:hAnsi="Tahoma" w:cs="Tahoma"/>
      <w:b/>
      <w:bCs/>
      <w:color w:val="69AE23"/>
      <w:sz w:val="26"/>
      <w:szCs w:val="26"/>
    </w:rPr>
  </w:style>
  <w:style w:type="paragraph" w:customStyle="1" w:styleId="EC-Title-7">
    <w:name w:val="EC-Title-7"/>
    <w:next w:val="Normal"/>
    <w:link w:val="EC-Title-7Char"/>
    <w:qFormat/>
    <w:rsid w:val="00083CEE"/>
    <w:pPr>
      <w:spacing w:before="120" w:after="0" w:line="240" w:lineRule="auto"/>
      <w:outlineLvl w:val="3"/>
    </w:pPr>
    <w:rPr>
      <w:rFonts w:ascii="Tahoma" w:eastAsia="Times New Roman" w:hAnsi="Tahoma" w:cs="Tahoma"/>
      <w:b/>
      <w:bCs/>
      <w:i/>
      <w:color w:val="69AE23"/>
    </w:rPr>
  </w:style>
  <w:style w:type="character" w:customStyle="1" w:styleId="EC-Title-7Char">
    <w:name w:val="EC-Title-7 Char"/>
    <w:basedOn w:val="DefaultParagraphFont"/>
    <w:link w:val="EC-Title-7"/>
    <w:rsid w:val="00083CEE"/>
    <w:rPr>
      <w:rFonts w:ascii="Tahoma" w:eastAsia="Times New Roman" w:hAnsi="Tahoma" w:cs="Tahoma"/>
      <w:b/>
      <w:bCs/>
      <w:i/>
      <w:color w:val="69AE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DD995-99B9-438D-ACB8-09BEB7221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5935</Words>
  <Characters>33831</Characters>
  <Application>Microsoft Office Word</Application>
  <DocSecurity>0</DocSecurity>
  <Lines>281</Lines>
  <Paragraphs>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CDT</Company>
  <LinksUpToDate>false</LinksUpToDate>
  <CharactersWithSpaces>39687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CDT</cp:lastModifiedBy>
  <cp:revision>3</cp:revision>
  <cp:lastPrinted>2018-05-24T11:29:00Z</cp:lastPrinted>
  <dcterms:created xsi:type="dcterms:W3CDTF">2018-07-23T11:45:00Z</dcterms:created>
  <dcterms:modified xsi:type="dcterms:W3CDTF">2018-07-23T11:45:00Z</dcterms:modified>
</cp:coreProperties>
</file>