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DA3A70" w:rsidRPr="000D0DB0" w:rsidP="000D0DB0">
      <w:pPr>
        <w:pStyle w:val="EC-Title-5"/>
        <w:rPr>
          <w:b w:val="0"/>
          <w:spacing w:val="-10"/>
          <w:sz w:val="24"/>
        </w:rPr>
      </w:pPr>
      <w:r>
        <w:t>Standardy Evropské unie pro péči o pacienty s tuberkulózou – aktualizace z roku 2017</w:t>
      </w:r>
    </w:p>
    <w:p w:rsidR="008745B1" w:rsidRPr="000D0DB0" w:rsidP="000D0DB0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Evropské středisko pro prevenci a kontrolu nemocí (ECDC) a Evropská společnost pro respirační onemocnění (ERS) vytvořily 21 standardů zaměřených na pacienty, podle nichž </w:t>
      </w:r>
      <w:r>
        <w:rPr>
          <w:rFonts w:ascii="Tahoma" w:hAnsi="Tahoma"/>
          <w:sz w:val="18"/>
        </w:rPr>
        <w:t>by se měla řídit práce klinických lékařů a pracovníků ve veřejném zdravotnictví, aby byla zajištěna optimální diagnostika, léčba a prevence tuberkulózy (TB) v Evropě. V roce 2017 byly aktualizovány Standardy Evropské unie pro péči o pacienty s tuberkulózou</w:t>
      </w:r>
      <w:r>
        <w:rPr>
          <w:rFonts w:ascii="Tahoma" w:hAnsi="Tahoma"/>
          <w:sz w:val="18"/>
        </w:rPr>
        <w:t xml:space="preserve"> (ESCT) s cílem zohlednit nejnovější technologický vývoj a mezinárodní doporučení pro diagnostiku, léčbu a prevenci TB.</w:t>
      </w:r>
    </w:p>
    <w:p w:rsidR="00E93802" w:rsidP="00C1463E">
      <w:pPr>
        <w:pStyle w:val="EC-Title-6"/>
        <w:ind w:right="-188"/>
      </w:pPr>
      <w:bookmarkStart w:id="0" w:name="_Toc512588780"/>
      <w:r>
        <w:t>Posun směrem k eliminaci TB v Evropské unii vyžaduje vyšší standardy</w:t>
      </w:r>
      <w:bookmarkEnd w:id="0"/>
    </w:p>
    <w:p w:rsidR="00083CEE" w:rsidRPr="005C16A7" w:rsidP="00083CEE">
      <w:pPr>
        <w:pStyle w:val="EC-Title-7"/>
      </w:pPr>
      <w:r>
        <w:t>Proč EU upravila standardy?</w:t>
      </w:r>
    </w:p>
    <w:p w:rsidR="008745B1" w:rsidRPr="000D0DB0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Mezinárodní standardy pro péči o pacien</w:t>
      </w:r>
      <w:r>
        <w:rPr>
          <w:rFonts w:ascii="Tahoma" w:hAnsi="Tahoma"/>
          <w:sz w:val="18"/>
        </w:rPr>
        <w:t>ty s tuberkulózou (ISTC) byly poprvé publikovány v roce 2006 a následně aktualizovány v letech 2009 a 2014. Standardy ISTC popisují široce akceptovanou úroveň péče o pacienty s TB, jsou ale zaměřené na podmínky charakterizované vysokou zátěží a nízkými pří</w:t>
      </w:r>
      <w:r>
        <w:rPr>
          <w:rFonts w:ascii="Tahoma" w:hAnsi="Tahoma"/>
          <w:sz w:val="18"/>
        </w:rPr>
        <w:t>jmy.</w:t>
      </w:r>
    </w:p>
    <w:p w:rsidR="008745B1" w:rsidRPr="000D0DB0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 EU/EHP jsou epidemiologické souvislosti a dostupnost finančních zdrojů jiné:</w:t>
      </w:r>
    </w:p>
    <w:p w:rsidR="00F03325" w:rsidRPr="000D0DB0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Zátěž je nízká/střední, ale heterogenní.</w:t>
      </w:r>
    </w:p>
    <w:p w:rsidR="008745B1" w:rsidRPr="000D0DB0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Existuje dlouhodobá tradice prevence a kontroly TB.</w:t>
      </w:r>
    </w:p>
    <w:p w:rsidR="008745B1" w:rsidRPr="000D0DB0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Zdroje jsou dostupné.</w:t>
      </w:r>
    </w:p>
    <w:p w:rsidR="008745B1" w:rsidRPr="000D0DB0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Je třeba zajistit optimální využití těchto zdrojů.</w:t>
      </w:r>
    </w:p>
    <w:p w:rsidR="008745B1" w:rsidRPr="000D0DB0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Služby</w:t>
      </w:r>
      <w:r>
        <w:rPr>
          <w:rFonts w:ascii="Tahoma" w:hAnsi="Tahoma"/>
          <w:sz w:val="18"/>
        </w:rPr>
        <w:t xml:space="preserve"> související s TB jsou součástí zdravotnického systému.</w:t>
      </w:r>
    </w:p>
    <w:p w:rsidR="008745B1" w:rsidRPr="000D0DB0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Každý pacient má právo na přístup k nejlepší možné péči.</w:t>
      </w:r>
    </w:p>
    <w:p w:rsidR="008745B1" w:rsidRPr="000D0DB0" w:rsidP="0028467E">
      <w:pPr>
        <w:pStyle w:val="EC-Title-6"/>
        <w:rPr>
          <w:sz w:val="30"/>
          <w:szCs w:val="30"/>
        </w:rPr>
      </w:pPr>
      <w:r>
        <w:rPr>
          <w:sz w:val="30"/>
        </w:rPr>
        <w:t>Standardy ESTC jsou orientované na pacienty, určené pro klinické lékaře a pracovníky ve veřejném zdravotnictví</w:t>
      </w:r>
    </w:p>
    <w:p w:rsidR="008745B1" w:rsidRPr="0028467E" w:rsidP="0028467E">
      <w:pPr>
        <w:pStyle w:val="EC-Title-7"/>
        <w:rPr>
          <w:rFonts w:eastAsia="Batang"/>
        </w:rPr>
      </w:pPr>
      <w:r>
        <w:t>Jak byly standardy ESTC vyvinuty</w:t>
      </w:r>
      <w:r>
        <w:t xml:space="preserve"> a aktualizovány?</w:t>
      </w:r>
    </w:p>
    <w:p w:rsidR="008745B1" w:rsidRPr="000D0DB0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 rámci společného úsilí se společnost ERS ujala vedoucí úlohy při přípravě a aktualizaci standardů souvisejících s klinickou praxí a středisko ECDC vytvořilo a aktualizovalo standardy související s veřejným zdravím. Vývoj a aktualizaci v</w:t>
      </w:r>
      <w:r>
        <w:rPr>
          <w:rFonts w:ascii="Tahoma" w:hAnsi="Tahoma"/>
          <w:sz w:val="18"/>
        </w:rPr>
        <w:t xml:space="preserve">edla pracovní skupina mezinárodních odborníků zastupujících různé specializace, organizace a zástupce pacientů s TB. Důkazy byly porovnány s daty, z nichž vycházejí publikované mezinárodní pokyny. Výbor pro přípravu textu vypracoval návrh dokumentu, který </w:t>
      </w:r>
      <w:r>
        <w:rPr>
          <w:rFonts w:ascii="Tahoma" w:hAnsi="Tahoma"/>
          <w:sz w:val="18"/>
        </w:rPr>
        <w:t xml:space="preserve">poté pracovní skupina zkontrolovala a schválila. Standardy ESCT byly vytvořeny a aktualizovány jako doplněk standardů ISCT a dalších stávajících pokynů. </w:t>
      </w:r>
    </w:p>
    <w:p w:rsidR="008745B1" w:rsidRPr="000D0DB0" w:rsidP="00C1463E">
      <w:pPr>
        <w:pStyle w:val="EC-Title-5"/>
        <w:spacing w:before="120"/>
        <w:ind w:right="-188"/>
        <w:rPr>
          <w:b w:val="0"/>
        </w:rPr>
      </w:pPr>
      <w:r>
        <w:t>Snadno použitelný zdroj pro zajištění optimální diagnostiky, léčby a prevence TB</w:t>
      </w:r>
    </w:p>
    <w:p w:rsidR="008745B1" w:rsidRPr="000D0DB0" w:rsidP="000D0DB0">
      <w:pPr>
        <w:pStyle w:val="EC-Title-6"/>
        <w:spacing w:after="0"/>
        <w:rPr>
          <w:b w:val="0"/>
        </w:rPr>
      </w:pPr>
      <w:r>
        <w:t xml:space="preserve">Důvody vytvoření </w:t>
      </w:r>
      <w:r>
        <w:t>standardů ESCT</w:t>
      </w:r>
    </w:p>
    <w:p w:rsidR="008745B1" w:rsidRPr="000D0DB0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Cílem Standardů Evropské unie pro péči o pacienty s tuberkulózou (ESTC) je překlenout stávající nedostatky ve vedení léčby případů TB v Evropské unii / Evropském hospodářském prostoru (EU/EHP). </w:t>
      </w:r>
    </w:p>
    <w:p w:rsidR="008745B1" w:rsidRPr="000D0DB0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Cílem standardů ESTC je poskytnout odborníkům </w:t>
      </w:r>
      <w:r>
        <w:rPr>
          <w:rFonts w:ascii="Tahoma" w:hAnsi="Tahoma"/>
          <w:sz w:val="18"/>
        </w:rPr>
        <w:t>na veřejné zdraví, klinickým lékařům a programům zdravotní péče strukturovaný soubor standardů založených na důkazech, které popisují minimální požadavky pro zajištění optimální péče, prevence a kontroly TB.</w:t>
      </w:r>
    </w:p>
    <w:p w:rsidR="008745B1" w:rsidRPr="000D0DB0" w:rsidP="000D0DB0">
      <w:pPr>
        <w:pStyle w:val="EC-Title-5"/>
        <w:spacing w:before="120"/>
        <w:rPr>
          <w:b w:val="0"/>
        </w:rPr>
      </w:pPr>
      <w:r>
        <w:t>Další informace</w:t>
      </w:r>
    </w:p>
    <w:p w:rsidR="008745B1" w:rsidRPr="000D0DB0" w:rsidP="000D0DB0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ECDC je agentura EU, jejímž posl</w:t>
      </w:r>
      <w:r>
        <w:rPr>
          <w:rFonts w:ascii="Tahoma" w:hAnsi="Tahoma"/>
          <w:sz w:val="18"/>
        </w:rPr>
        <w:t>áním je identifikovat a posuzovat hrozby, které představují infekční onemocnění pro lidské zdraví, a informovat o nich. Podporuje práci orgánů veřejného zdravotnictví v členských státech EU/EHP.</w:t>
      </w:r>
    </w:p>
    <w:p w:rsidR="008745B1" w:rsidRPr="000D0DB0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fldChar w:fldCharType="begin"/>
      </w:r>
      <w:r>
        <w:instrText xml:space="preserve"> HYPERLINK "http://www.ecdc.europa.eu/en/tuberculosis" </w:instrText>
      </w:r>
      <w:r>
        <w:fldChar w:fldCharType="separate"/>
      </w:r>
      <w:r w:rsidR="00BC4C80">
        <w:rPr>
          <w:rStyle w:val="Hyperlink"/>
          <w:rFonts w:ascii="Tahoma" w:hAnsi="Tahoma"/>
          <w:sz w:val="18"/>
        </w:rPr>
        <w:t>www.ecdc.europa.eu/en/tuberculosis</w:t>
      </w:r>
      <w:r>
        <w:fldChar w:fldCharType="end"/>
      </w:r>
    </w:p>
    <w:p w:rsidR="008745B1" w:rsidRPr="000D0DB0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ERS je přední odbornou organizací v této oblasti v Evropě. Má přes 30 000 členů ve více než 160 zemích. Cílem společnosti ERS je zmírňovat utrpení způsobované respiračními chorobami a podporovat zdraví plic prostřednictvím v</w:t>
      </w:r>
      <w:r>
        <w:rPr>
          <w:rFonts w:ascii="Tahoma" w:hAnsi="Tahoma"/>
          <w:sz w:val="18"/>
        </w:rPr>
        <w:t>ýzkumu, sdílení poznatků a edukace zdravotníků i veřejnosti.</w:t>
      </w:r>
    </w:p>
    <w:p w:rsidR="008745B1" w:rsidRPr="000D0DB0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fldChar w:fldCharType="begin"/>
      </w:r>
      <w:r>
        <w:instrText xml:space="preserve"> HYPERLINK "http://www.ersnet.org/" </w:instrText>
      </w:r>
      <w:r>
        <w:fldChar w:fldCharType="separate"/>
      </w:r>
      <w:r w:rsidR="00BC4C80">
        <w:rPr>
          <w:rStyle w:val="Hyperlink"/>
          <w:rFonts w:ascii="Tahoma" w:hAnsi="Tahoma"/>
          <w:sz w:val="18"/>
        </w:rPr>
        <w:t>www.ersnet.org</w:t>
      </w:r>
      <w:r>
        <w:fldChar w:fldCharType="end"/>
      </w:r>
    </w:p>
    <w:p w:rsidR="008745B1" w:rsidRPr="000D0DB0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Úplná aktualizace standardů ESCT byla publikována v časopise European Respiratory Journal (ERJ) v květnu 2018 (DOI: 10.1183/13993003.02678-20</w:t>
      </w:r>
      <w:r>
        <w:rPr>
          <w:rFonts w:ascii="Tahoma" w:hAnsi="Tahoma"/>
          <w:sz w:val="18"/>
        </w:rPr>
        <w:t>17)</w:t>
      </w:r>
    </w:p>
    <w:p w:rsidR="00792C6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CC0F38" w:rsidRPr="0028467E" w:rsidP="0028467E">
      <w:pPr>
        <w:pStyle w:val="EC-Title-5"/>
        <w:spacing w:after="240"/>
      </w:pPr>
      <w:r>
        <w:t>Standardy pro diagnostiku tuberkulózy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/>
          <w:b/>
          <w:sz w:val="24"/>
        </w:rPr>
        <w:t>Standard 1</w:t>
      </w:r>
    </w:p>
    <w:p w:rsidR="00DA3A70" w:rsidRPr="00093675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Všechny osoby</w:t>
      </w:r>
      <w:r w:rsidR="00A54BD5">
        <w:rPr>
          <w:rFonts w:ascii="Tahoma" w:hAnsi="Tahoma"/>
          <w:sz w:val="18"/>
        </w:rPr>
        <w:t xml:space="preserve">, které se dostaví k lékaři s projevy, příznaky, anamnézou nebo rizikovými faktory odpovídajícími tuberkulóze, je třeba vyšetřit </w:t>
      </w:r>
      <w:r w:rsidR="00A51C22">
        <w:rPr>
          <w:rFonts w:ascii="Tahoma" w:hAnsi="Tahoma"/>
          <w:sz w:val="18"/>
        </w:rPr>
        <w:t xml:space="preserve">na </w:t>
      </w:r>
      <w:r w:rsidR="00A54BD5">
        <w:rPr>
          <w:rFonts w:ascii="Tahoma" w:hAnsi="Tahoma"/>
          <w:sz w:val="18"/>
        </w:rPr>
        <w:t>přítomnost plicní/mimoplicní tuberkulózy.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/>
          <w:b/>
          <w:sz w:val="24"/>
        </w:rPr>
        <w:t>Standard 2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Ode všech pacientů (dospělých, dospívajících i dětí schopných vykašlat sputum) s podezřením na plicní tuberkulózu je třeba předat nejméně dva vzorky sputa na mikroskopické vyšetření a jeden na rychlé testování pro zjištění přítomnosti tuberkulóz</w:t>
      </w:r>
      <w:r>
        <w:rPr>
          <w:rFonts w:ascii="Tahoma" w:hAnsi="Tahoma"/>
          <w:sz w:val="18"/>
        </w:rPr>
        <w:t xml:space="preserve">y a lékové rezistence pomocí mezinárodně doporučeného (rychlého) molekulárního testu. Vzorek je třeba zaslat na kultivaci v tekutém médiu a v případě pozitivity i na kultivační vyšetření citlivosti na léčiva (DST) v laboratoři se zaručenou kvalitou. Pokud </w:t>
      </w:r>
      <w:r>
        <w:rPr>
          <w:rFonts w:ascii="Tahoma" w:hAnsi="Tahoma"/>
          <w:sz w:val="18"/>
        </w:rPr>
        <w:t>je to možné, je třeba získat alespoň jeden ranní vzorek. Lze využít i skiagram hrudníku.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/>
          <w:b/>
          <w:sz w:val="24"/>
        </w:rPr>
        <w:t>Standard 3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Ode všech pacientů (dospělých, dospívajících i dětí) s podezřením na mimoplicní tuberkulózu je třeba ze suspektních postižených lokalizací odebrat příslušné vzorky na mikrobiologické vyšetření (mikroskopické vyšetření, rychlé molekulární testy, kultivaci, </w:t>
      </w:r>
      <w:r>
        <w:rPr>
          <w:rFonts w:ascii="Tahoma" w:hAnsi="Tahoma"/>
          <w:sz w:val="18"/>
        </w:rPr>
        <w:t xml:space="preserve">identifikaci druhu, vyšetření DST pomocí rychlých molekulárních testů a kultivačních metod) a na histopatologické vyšetření v laboratořích se zaručenou kvalitou. </w:t>
      </w:r>
    </w:p>
    <w:p w:rsidR="00CC0F38" w:rsidRPr="0069416F" w:rsidP="00CC0F38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/>
          <w:b/>
          <w:sz w:val="24"/>
        </w:rPr>
        <w:t>Standard 4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Ode všech osob s podezřením na plicní tuberkulózu dle nálezu na skiagramu hrudníku</w:t>
      </w:r>
      <w:r>
        <w:rPr>
          <w:rFonts w:ascii="Tahoma" w:hAnsi="Tahoma"/>
          <w:sz w:val="18"/>
        </w:rPr>
        <w:t xml:space="preserve"> je třeba předat vzorky sputa na mikroskopické vyšetření, rychlé molekulární testy, kultivaci, identifikaci druhu a vyšetření DST pomocí rychlých molekulárních testů a kultivačních metod v laboratoři se zaručenou kvalitou.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5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Diagnóza kultivačně negativní plicní tuberkulózy by měla vycházet z následujících kritérií: všechny bakteriologické testy jsou negativní (včetně přímého vyšetření stěru sputa, kultivací a rychlých molekulárních testů), skiagram hrudníku odpovídá nálezu při</w:t>
      </w:r>
      <w:r>
        <w:rPr>
          <w:rFonts w:ascii="Tahoma" w:hAnsi="Tahoma"/>
          <w:sz w:val="18"/>
        </w:rPr>
        <w:t xml:space="preserve"> tuberkulóze a není dosaženo odpovědi na podaná širokospektrá antibiotika (pozn.: vzhledem k tomu, že fluorochinolony působí proti komplexu </w:t>
      </w:r>
      <w:r>
        <w:rPr>
          <w:rFonts w:ascii="Tahoma" w:hAnsi="Tahoma"/>
          <w:i/>
          <w:sz w:val="18"/>
        </w:rPr>
        <w:t>M. tuberculosis</w:t>
      </w:r>
      <w:r>
        <w:rPr>
          <w:rFonts w:ascii="Tahoma" w:hAnsi="Tahoma"/>
          <w:sz w:val="18"/>
        </w:rPr>
        <w:t xml:space="preserve"> a u osob s tuberkulózou mohou vést k přechodnému zlepšení stavu, je třeba se jejich podávání vyhnout</w:t>
      </w:r>
      <w:r>
        <w:rPr>
          <w:rFonts w:ascii="Tahoma" w:hAnsi="Tahoma"/>
          <w:sz w:val="18"/>
        </w:rPr>
        <w:t>). U osob se závažným onemocněním nebo se známou či předpokládanou infekcí virem lidské imunodeficience (HIV) nebo s jakýmkoliv jiným imunokompromitujícím stavem je třeba diagnostiku urychlit, a pokud k</w:t>
      </w:r>
      <w:bookmarkStart w:id="1" w:name="_GoBack"/>
      <w:bookmarkEnd w:id="1"/>
      <w:r>
        <w:rPr>
          <w:rFonts w:ascii="Tahoma" w:hAnsi="Tahoma"/>
          <w:sz w:val="18"/>
        </w:rPr>
        <w:t xml:space="preserve">linické důkazy silně svědčí pro tuberkulózu, je třeba </w:t>
      </w:r>
      <w:r>
        <w:rPr>
          <w:rFonts w:ascii="Tahoma" w:hAnsi="Tahoma"/>
          <w:sz w:val="18"/>
        </w:rPr>
        <w:t xml:space="preserve">zahájit léčbu antituberkulotiky. </w:t>
      </w:r>
    </w:p>
    <w:p w:rsidR="00E23086" w:rsidRPr="000D0DB0" w:rsidP="000D0DB0">
      <w:pPr>
        <w:pStyle w:val="EC-Title-6"/>
      </w:pPr>
      <w:r>
        <w:t>Specifické požadavky v EU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Aby byla zajištěna kvalitní diagnostika plicní i mimoplicní tuberkulózy, je třeba získat vhodné vzorky na bakteriologické vyšetření. Tam, kde je to vhodné, je třeba použít indukci sputa, bronchosk</w:t>
      </w:r>
      <w:r>
        <w:rPr>
          <w:rFonts w:ascii="Tahoma" w:hAnsi="Tahoma"/>
          <w:sz w:val="18"/>
        </w:rPr>
        <w:t>opii a bronchoalveolární laváž, výplach žaludku nebo aspirační biopsii tenkou jehlou [1]. Vzorky je třeba zpracovat pomocí dostupných diagnostických nástrojů [2] a doplnit o zobrazovací vyšetření (skiagrafii, ultrasonografii, výpočetní tomografii, magnetic</w:t>
      </w:r>
      <w:r>
        <w:rPr>
          <w:rFonts w:ascii="Tahoma" w:hAnsi="Tahoma"/>
          <w:sz w:val="18"/>
        </w:rPr>
        <w:t xml:space="preserve">kou rezonanci, pozitronovou emisní tomografii-výpočetní tomografii) a další nezbytná vyšetření provedená podle pokynů založených na důkazech [2–4]. 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U každého vzorku od pacientů s podezřením na plicní a mimoplicní tuberkulózou včetně vzorků odebraných při </w:t>
      </w:r>
      <w:r>
        <w:rPr>
          <w:rFonts w:ascii="Tahoma" w:hAnsi="Tahoma"/>
          <w:sz w:val="18"/>
        </w:rPr>
        <w:t>chirurgickém nebo jiném invazivním zákroku, které jsou obvykle odesílány na histologické vyšetření, je třeba provést rychlé molekulární testy [5], kultivaci a vyšetření DST doporučené WHO. Chirurgům je proto třeba doporučit, aby biologické vzorky uchovával</w:t>
      </w:r>
      <w:r>
        <w:rPr>
          <w:rFonts w:ascii="Tahoma" w:hAnsi="Tahoma"/>
          <w:sz w:val="18"/>
        </w:rPr>
        <w:t>i v normálním fyziologickém roztoku na mikrobiologická a molekulárně biologická vyšetření a ve formalinu na histopatologická vyšetření.</w:t>
      </w:r>
    </w:p>
    <w:p w:rsidR="00DA3A70" w:rsidRPr="000D0DB0" w:rsidP="008A39C9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/>
          <w:b/>
          <w:sz w:val="24"/>
        </w:rPr>
        <w:t>Standard 6</w:t>
      </w:r>
    </w:p>
    <w:p w:rsidR="00D830C5" w:rsidRPr="0028467E" w:rsidP="00C1463E">
      <w:pPr>
        <w:spacing w:after="120"/>
        <w:ind w:right="-188"/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/>
          <w:spacing w:val="-4"/>
          <w:sz w:val="18"/>
        </w:rPr>
        <w:t>U všech dětí s podezřením na nitrohrudní tuberkulózu (tj. tuberkulózu plic, pleury a mediastinálních či hilov</w:t>
      </w:r>
      <w:r>
        <w:rPr>
          <w:rFonts w:ascii="Tahoma" w:hAnsi="Tahoma"/>
          <w:spacing w:val="-4"/>
          <w:sz w:val="18"/>
        </w:rPr>
        <w:t>ých lymfatických uzlin) je třeba vyžádat bakteriologické potvrzení vyšetřením příslušných biologických vzorků (vykašlaného nebo indukovaného sputa, bronchiálního sekretu, pleurální tekutiny, výplachu žaludku nebo endoskopické biopsie pod ultrasonografickou</w:t>
      </w:r>
      <w:r>
        <w:rPr>
          <w:rFonts w:ascii="Tahoma" w:hAnsi="Tahoma"/>
          <w:spacing w:val="-4"/>
          <w:sz w:val="18"/>
        </w:rPr>
        <w:t xml:space="preserve"> kontrolou), a to pomocí mikroskopického vyšetření stěrů, rychlých molekulárních testů, identifikace druhu a vyšetření DST kultivačními metodami v laboratoři se zaručenou kvalitou [3, 5–9]. V případě negativního bakteriologického výsledku by diagnóza tuber</w:t>
      </w:r>
      <w:r>
        <w:rPr>
          <w:rFonts w:ascii="Tahoma" w:hAnsi="Tahoma"/>
          <w:spacing w:val="-4"/>
          <w:sz w:val="18"/>
        </w:rPr>
        <w:t xml:space="preserve">kulózy měla být založena na přítomnosti </w:t>
      </w:r>
      <w:r w:rsidR="0028626E">
        <w:rPr>
          <w:rFonts w:ascii="Tahoma" w:hAnsi="Tahoma"/>
          <w:spacing w:val="-4"/>
          <w:sz w:val="18"/>
        </w:rPr>
        <w:t xml:space="preserve">změn </w:t>
      </w:r>
      <w:r>
        <w:rPr>
          <w:rFonts w:ascii="Tahoma" w:hAnsi="Tahoma"/>
          <w:spacing w:val="-4"/>
          <w:sz w:val="18"/>
        </w:rPr>
        <w:t>odpovídajících tuberkulóze na skiagramu hrudníku nebo jiné zobrazovací metodě, proběhlém kontaktu s infekční osobou, důkazu o infekci tuberkulózou (pozitivním tuberkulinovém kožním testu (TST) anebo poz</w:t>
      </w:r>
      <w:r>
        <w:rPr>
          <w:rFonts w:ascii="Tahoma" w:hAnsi="Tahoma"/>
          <w:spacing w:val="-4"/>
          <w:sz w:val="18"/>
        </w:rPr>
        <w:t>itivním výsledku testu na uvolňování interferonu gama (IGRA)) [5, 10–13] anebo na klinickém nálezu naznačujícím tuberkulózu [3]. U dětí s podezřením na mimoplicní tuberkulózu je ze suspektní zasažené lokalizace třeba odebrat odpovídající vzorky na mikrosko</w:t>
      </w:r>
      <w:r>
        <w:rPr>
          <w:rFonts w:ascii="Tahoma" w:hAnsi="Tahoma"/>
          <w:spacing w:val="-4"/>
          <w:sz w:val="18"/>
        </w:rPr>
        <w:t xml:space="preserve">pické vyšetření, doporučené rychlé molekulární testy, identifikaci druhu, vyšetření DST kultivačními metodami a histopatologické vyšetření [5, 14, 15]. </w:t>
      </w:r>
    </w:p>
    <w:p w:rsidR="00D830C5" w:rsidRPr="005C16A7" w:rsidP="0028467E">
      <w:pPr>
        <w:pStyle w:val="EC-Title-5"/>
        <w:spacing w:before="120" w:after="240"/>
      </w:pPr>
      <w:r>
        <w:t>Standardy pro léčbu tuberkulózy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/>
          <w:b/>
          <w:sz w:val="24"/>
        </w:rPr>
        <w:t>Standard 7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Důležitou odpovědností každého lékaře, který léčí pacienta s</w:t>
      </w:r>
      <w:r>
        <w:rPr>
          <w:rFonts w:ascii="Tahoma" w:hAnsi="Tahoma"/>
          <w:sz w:val="18"/>
        </w:rPr>
        <w:t> tuberkulózou, je z hlediska veřejného zdraví zabránit přenosu infekce a rozvoji lékové rezistence. Aby tuto odpovědnost splnil, musí lékař ve spolupráci s orgány veřejného zdravotnictví: 1) předepsat vhodný režim (podle výsledků vyšetření DST u daného gen</w:t>
      </w:r>
      <w:r>
        <w:rPr>
          <w:rFonts w:ascii="Tahoma" w:hAnsi="Tahoma"/>
          <w:sz w:val="18"/>
        </w:rPr>
        <w:t>otypu anebo fenotypu), 2) vyšetřit kontakty, 3) posoudit a podporovat pacientovu adherenci k léčbě pomocí přístupu zaměřeného na pacienta ve spolupráci s rodinnými příslušníky, místními veřejnými anebo komunitními zdravotnickými službami a občanskými organ</w:t>
      </w:r>
      <w:r>
        <w:rPr>
          <w:rFonts w:ascii="Tahoma" w:hAnsi="Tahoma"/>
          <w:sz w:val="18"/>
        </w:rPr>
        <w:t xml:space="preserve">izacemi a 4) monitorovat výsledky léčby [2, 16, 17]. 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8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Všichni pacienti (včetně pacientů s průvodní infekcí HIV), kteří nebyli dříve léčeni a nemají lékovou rezistenci (dle vyšetření příslušnými testy), by měli užívat mezinárodně akceptovaný režim první linie léčby za použití léčiv se známou biologickou dostup</w:t>
      </w:r>
      <w:r>
        <w:rPr>
          <w:rFonts w:ascii="Tahoma" w:hAnsi="Tahoma"/>
          <w:sz w:val="18"/>
        </w:rPr>
        <w:t>ností. V úvodní fázi se po dobu 2 měsíců podává isoniazid (H), rifampicin (R), pyrazinamid (Z) a ethambutol (E). V pokračovací fázi se podává isoniazid a rifampicin po dobu 4 měsíců (2HRZE/4HR). Dávky podávaných antituberkulotik by měly odpovídat mezinárod</w:t>
      </w:r>
      <w:r>
        <w:rPr>
          <w:rFonts w:ascii="Tahoma" w:hAnsi="Tahoma"/>
          <w:sz w:val="18"/>
        </w:rPr>
        <w:t xml:space="preserve">ním doporučením. Pohodlnější formu podávání léčiv mohou nabídnout kombinace fixních dávek dvou (isoniazid a rifampicin), tří (isoniazid, rifampicin a pyrazinamid) a čtyř (isoniazid, rifampicin, pyrazinamid a ethambutol) léčiv. </w:t>
      </w:r>
    </w:p>
    <w:p w:rsidR="00DA3A70" w:rsidRPr="000D0DB0" w:rsidP="00037B0F">
      <w:pPr>
        <w:keepNext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/>
          <w:b/>
          <w:sz w:val="24"/>
        </w:rPr>
        <w:t>Standard 9</w:t>
      </w:r>
    </w:p>
    <w:p w:rsidR="00DA3A70" w:rsidRPr="000D0DB0" w:rsidP="0028467E">
      <w:pPr>
        <w:spacing w:after="120"/>
        <w:rPr>
          <w:rFonts w:ascii="Tahoma" w:hAnsi="Tahoma" w:cs="Tahoma"/>
          <w:szCs w:val="24"/>
        </w:rPr>
      </w:pPr>
      <w:r>
        <w:rPr>
          <w:rFonts w:ascii="Tahoma" w:hAnsi="Tahoma"/>
          <w:sz w:val="18"/>
        </w:rPr>
        <w:t xml:space="preserve">U všech pacientů </w:t>
      </w:r>
      <w:r>
        <w:rPr>
          <w:rFonts w:ascii="Tahoma" w:hAnsi="Tahoma"/>
          <w:sz w:val="18"/>
        </w:rPr>
        <w:t>je třeba uplatňovat přístup zaměřený na pacienta, který vychází z jeho potřeb a vzájemného respektu mezi pacientem a poskytovatelem péče.</w:t>
      </w:r>
    </w:p>
    <w:p w:rsidR="00DA3A70" w:rsidRPr="000D0DB0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</w:rPr>
        <w:t>Standard 10</w:t>
      </w:r>
    </w:p>
    <w:p w:rsidR="00DA3A70" w:rsidRPr="000D0DB0" w:rsidP="00C1463E">
      <w:pPr>
        <w:spacing w:after="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Odpověď na léčbu u pacientů s plicní tuberkulózou je třeba monitorovat minimálně mikroskopickým a kultivač</w:t>
      </w:r>
      <w:r>
        <w:rPr>
          <w:rFonts w:ascii="Tahoma" w:hAnsi="Tahoma"/>
          <w:sz w:val="18"/>
        </w:rPr>
        <w:t>ním vyšetřením kontrolních stěrů, a to v době dokončení úvodní fáze léčby (dva měsíce u tuberkulózy s citlivostí na léčiva). Pokud jsou stěr sputa anebo kultivace po dokončení úvodní fáze pozitivní, je třeba rychle provést molekulární testy lékové rezisten</w:t>
      </w:r>
      <w:r>
        <w:rPr>
          <w:rFonts w:ascii="Tahoma" w:hAnsi="Tahoma"/>
          <w:sz w:val="18"/>
        </w:rPr>
        <w:t xml:space="preserve">ce a další vyšetření DST. U pacientů s mimoplicní tuberkulózou a u dětí, které nejsou schopné vykašlat sputum, se objektivně hodnotí klinická odpověď na léčbu (hmotnost, zánětlivé markery a opakovaná zobrazovací vyšetření). </w:t>
      </w:r>
    </w:p>
    <w:p w:rsidR="003663F5" w:rsidRPr="0069416F" w:rsidP="003663F5">
      <w:pPr>
        <w:pStyle w:val="EC-Title-6"/>
      </w:pPr>
      <w:r>
        <w:t>Specifické požadavky v EU</w:t>
      </w:r>
    </w:p>
    <w:p w:rsidR="00DA3A70" w:rsidRPr="0028467E" w:rsidP="00C1463E">
      <w:pPr>
        <w:spacing w:after="120"/>
        <w:ind w:right="-188"/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>Léčbu</w:t>
      </w:r>
      <w:r>
        <w:rPr>
          <w:rFonts w:ascii="Tahoma" w:hAnsi="Tahoma"/>
          <w:spacing w:val="-2"/>
          <w:sz w:val="18"/>
        </w:rPr>
        <w:t xml:space="preserve"> je třeba monitorovat podle mezinárodních pokynů [2, 3, 6–8, 18–20]. V EU mají státy zdroje pro monitorování léčby každý měsíc. V případech multirezistentní tuberkulózy (MDR-TB) je třeba toto měsíční monitorování provádět pomocí odběru sputa a kultivace [2</w:t>
      </w:r>
      <w:r>
        <w:rPr>
          <w:rFonts w:ascii="Tahoma" w:hAnsi="Tahoma"/>
          <w:spacing w:val="-2"/>
          <w:sz w:val="18"/>
        </w:rPr>
        <w:t>1, 22].</w:t>
      </w:r>
    </w:p>
    <w:p w:rsidR="00DA3A70" w:rsidRPr="000D0DB0" w:rsidP="00BE259C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11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Je třeba posoudit pravděpodobnost lékové rezistence, a to na základě anamnézy nebo předchozí léčby, kontaktu s možným zdrojem tuberkulózy rezistentní vůči léčivům a prevalence lékové rezistence v komunitě, a to zvláště u pacientů bez ba</w:t>
      </w:r>
      <w:r>
        <w:rPr>
          <w:rFonts w:ascii="Tahoma" w:hAnsi="Tahoma"/>
          <w:sz w:val="18"/>
        </w:rPr>
        <w:t>kteriologického potvrzení nebo takových, u nichž nelze provést testování citlivosti na léčiva. U všech pacientů je třeba provést rychlé testy (testování rezistence genotypu vůči rifampicinu a isoniazidu a u pacientů s rezistencí vůči rifampicinu nebo s MDR</w:t>
      </w:r>
      <w:r>
        <w:rPr>
          <w:rFonts w:ascii="Tahoma" w:hAnsi="Tahoma"/>
          <w:sz w:val="18"/>
        </w:rPr>
        <w:t>-TB testování rezistence genotypu/fenotypu vůči léčivům druhé linie), jak je definováno ve standardech 2–4 a 8. Navíc by u všech pacientů s tuberkulózou mělo být ihned zahájeno poradenství a edukace s cílem minimalizovat potenciální přenos. Je třeba uplatn</w:t>
      </w:r>
      <w:r>
        <w:rPr>
          <w:rFonts w:ascii="Tahoma" w:hAnsi="Tahoma"/>
          <w:sz w:val="18"/>
        </w:rPr>
        <w:t>it vhodná doporučení pro kontrolu infekce v daných podmínkách, jak doporučuje standard ESTC číslo 20 pro veřejné zdraví.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 xml:space="preserve">Standard 12 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Pacienty, kteří mají nebo s vysokou pravděpodobností mají tuberkulózu vyvolanou mikroorganismy rezistentními vůči léčivům </w:t>
      </w:r>
      <w:r>
        <w:rPr>
          <w:rFonts w:ascii="Tahoma" w:hAnsi="Tahoma"/>
          <w:sz w:val="18"/>
        </w:rPr>
        <w:t>(zejména rezistentními vůči rifampicinu / multirezistentními / extrémně rezistentními vůči léčivům (XDR)), je třeba léčit individualizovanými režimy zahrnujícími antituberkulotika druhé linie a doplňková antituberkulotika. Vybraný režim by měl vycházet z p</w:t>
      </w:r>
      <w:r>
        <w:rPr>
          <w:rFonts w:ascii="Tahoma" w:hAnsi="Tahoma"/>
          <w:sz w:val="18"/>
        </w:rPr>
        <w:t>otvrzeného typu citlivosti na léčiva. Empirické režimy mohou vést k další rezistenci a nejsou doporučeny s výjimkou případů kultivačně negativní tuberkulózy.</w:t>
      </w:r>
    </w:p>
    <w:p w:rsidR="00083CEE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 závislosti na typu citlivosti na léčiva by se měla podávat léčba nejméně pěti účinnými antituber</w:t>
      </w:r>
      <w:r>
        <w:rPr>
          <w:rFonts w:ascii="Tahoma" w:hAnsi="Tahoma"/>
          <w:sz w:val="18"/>
        </w:rPr>
        <w:t xml:space="preserve">kulotiky po dobu minimálně 20 měsíců [5]. Pokud pacient splňuje kritéria pro standardní kratší režim u MDR-TB (9–11 měsíců), lze ho použít. </w:t>
      </w:r>
    </w:p>
    <w:p w:rsidR="00083CEE" w:rsidP="0028467E">
      <w:r>
        <w:br w:type="page"/>
      </w:r>
    </w:p>
    <w:p w:rsidR="00835340" w:rsidRPr="0069416F" w:rsidP="00835340">
      <w:pPr>
        <w:pStyle w:val="EC-Title-6"/>
      </w:pPr>
      <w:r>
        <w:t>Specifické požadavky v EU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Vzhledem k tomu, že léčba MDR/XDR-TB často představuje poslední naději, která by mohla </w:t>
      </w:r>
      <w:r>
        <w:rPr>
          <w:rFonts w:ascii="Tahoma" w:hAnsi="Tahoma"/>
          <w:sz w:val="18"/>
        </w:rPr>
        <w:t xml:space="preserve">zajistit vyléčení a přežití pacienta, je k zajištění adherence potřebná plná škála opatření zaměřených na pacienta včetně poradenství, sledování a podpory léčby a také psychosociální podpory [5, 23–25]. To je zvláště důležité proto, že tito pacienti často </w:t>
      </w:r>
      <w:r>
        <w:rPr>
          <w:rFonts w:ascii="Tahoma" w:hAnsi="Tahoma"/>
          <w:sz w:val="18"/>
        </w:rPr>
        <w:t>patří do sociálně a ekonomicky znevýhodněných skupin.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 léčbě MDR-TB by pacient neměl dostávat žádné léčivo s doloženou rezistencí (buď molekulárně, nebo vyšetřením DST u daného fenotypu). Proto je třeba vyšetření DST provést u léčiv druhé linie, aby se po</w:t>
      </w:r>
      <w:r>
        <w:rPr>
          <w:rFonts w:ascii="Tahoma" w:hAnsi="Tahoma"/>
          <w:sz w:val="18"/>
        </w:rPr>
        <w:t>tvrdil typ lékové rezistence a mohla být podle toho zvolena správná léčba.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 EU/EHP je vyšetření DST u ethambutolu považováno za spolehlivé, pokud je provedeno v laboratořích se zaručenou kvalitou [26]. Testování pyrazinamidu lze provést testováním genotyp</w:t>
      </w:r>
      <w:r>
        <w:rPr>
          <w:rFonts w:ascii="Tahoma" w:hAnsi="Tahoma"/>
          <w:sz w:val="18"/>
        </w:rPr>
        <w:t xml:space="preserve">u (zjišťováním mutace </w:t>
      </w:r>
      <w:r>
        <w:rPr>
          <w:rFonts w:ascii="Tahoma" w:hAnsi="Tahoma"/>
          <w:i/>
          <w:sz w:val="18"/>
        </w:rPr>
        <w:t>pncA</w:t>
      </w:r>
      <w:r>
        <w:rPr>
          <w:rFonts w:ascii="Tahoma" w:hAnsi="Tahoma"/>
          <w:sz w:val="18"/>
        </w:rPr>
        <w:t>) nebo fenotypu (tj. automatizované metody založené na růstu (v tekutém médiu)).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Individualizované režimy by během úvodní fáze měly zahrnovat nejméně pět účinných antituberkulotik včetně pyrazinamidu a čtyř základních antituberkulotik druhé generace. Léčiva je třeba vybrat následujícím způsobem: jedno léčivo zvolené ze skupiny A, jedno</w:t>
      </w:r>
      <w:r>
        <w:rPr>
          <w:rFonts w:ascii="Tahoma" w:hAnsi="Tahoma"/>
          <w:sz w:val="18"/>
        </w:rPr>
        <w:t xml:space="preserve"> ze skupiny B a nejméně dvě ze skupiny C (tabulka). Pokud nelze vybrat minimální počet pěti účinných antituberkulotik z léčiv zařazených do skupin A až C, lze do celkového počtu pěti přidat léčivo ze skupiny D2 a další léčiva ze skupiny D3. Pokud nelze pou</w:t>
      </w:r>
      <w:r>
        <w:rPr>
          <w:rFonts w:ascii="Tahoma" w:hAnsi="Tahoma"/>
          <w:sz w:val="18"/>
        </w:rPr>
        <w:t xml:space="preserve">žít pyrazinamid (např. z důvodu rezistence nebo toxicity), je možné k posílení režimu přidat další léčivo ze skupiny C nebo D. Celková doba trvání léčby se pohybuje od 20 do 24 měsíců, přičemž doporučená délka intenzivní fáze činí 8 měsíců [5]. 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  <w:highlight w:val="yellow"/>
        </w:rPr>
      </w:pPr>
      <w:r>
        <w:rPr>
          <w:rFonts w:ascii="Tahoma" w:hAnsi="Tahoma"/>
          <w:sz w:val="18"/>
        </w:rPr>
        <w:t>U pacientů</w:t>
      </w:r>
      <w:r>
        <w:rPr>
          <w:rFonts w:ascii="Tahoma" w:hAnsi="Tahoma"/>
          <w:sz w:val="18"/>
        </w:rPr>
        <w:t xml:space="preserve"> s tuberkulózou rezistentní vůči rifampicinu nebo pacientů s MDR-TB, kteří dosud neužívali léky druhé linie a u nichž byla vyloučena rezistence vůči fluorochinolonům a injekčním léčivům druhé linie nebo u nichž je tato rezistence považována za vysoce nepra</w:t>
      </w:r>
      <w:r>
        <w:rPr>
          <w:rFonts w:ascii="Tahoma" w:hAnsi="Tahoma"/>
          <w:sz w:val="18"/>
        </w:rPr>
        <w:t xml:space="preserve">vděpodobnou, lze namísto běžného individualizovaného režimu použít kratší 9–11měsíční režim léčby MDR-TB dle doporučení WHO [5, 25, 27]. </w:t>
      </w:r>
    </w:p>
    <w:p w:rsidR="00DA3A70" w:rsidRPr="009C03B7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U pacientů s XDR-TB nebo u pacientů s kmeny rezistentními vůči fluorochinolonům nebo injekčním léčivům druhé linie je </w:t>
      </w:r>
      <w:r>
        <w:rPr>
          <w:rFonts w:ascii="Tahoma" w:hAnsi="Tahoma"/>
          <w:sz w:val="18"/>
        </w:rPr>
        <w:t xml:space="preserve">potřebná léčba novými léčivy zahrnujícími bedaquilin a delamanid spolu s léčivy použitými v nové indikaci, jako je například linezolid a klofazimin, a léčivy druhé linie, na něž je kmen </w:t>
      </w:r>
      <w:r>
        <w:rPr>
          <w:rFonts w:ascii="Tahoma" w:hAnsi="Tahoma"/>
          <w:i/>
          <w:sz w:val="18"/>
        </w:rPr>
        <w:t>M. tuberculosis</w:t>
      </w:r>
      <w:r>
        <w:rPr>
          <w:rFonts w:ascii="Tahoma" w:hAnsi="Tahoma"/>
          <w:sz w:val="18"/>
        </w:rPr>
        <w:t xml:space="preserve"> pravděpodobně citlivý [28, 29]. U pacientů se závažným</w:t>
      </w:r>
      <w:r>
        <w:rPr>
          <w:rFonts w:ascii="Tahoma" w:hAnsi="Tahoma"/>
          <w:sz w:val="18"/>
        </w:rPr>
        <w:t>i nežádoucími účinky fluorochinolonů nebo injekčních léčiv druhé linie lze také zvážit nová léčiva nebo léčiva použitá v nové indikaci.</w:t>
      </w:r>
    </w:p>
    <w:p w:rsidR="00DA3A70" w:rsidRPr="0028467E" w:rsidP="000D0DB0">
      <w:pPr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>Následné nežádoucí účinky předepsaných léčiv druhé linie je třeba řešit podle mezinárodních doporučení, s cílem snížit p</w:t>
      </w:r>
      <w:r>
        <w:rPr>
          <w:rFonts w:ascii="Tahoma" w:hAnsi="Tahoma"/>
          <w:spacing w:val="-2"/>
          <w:sz w:val="18"/>
        </w:rPr>
        <w:t>ravděpodobnost ztráty účinného léčiva z důvodu těchto nežádoucích účinků [2].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Nežádoucí účinky, stejně jako rozhodnutí zahájit, upravit nebo přerušit režim podávaný ve druhé linii, by měl řešit tým odborníků (např. „konzilium pro TB“ nebo podobný orgán), n</w:t>
      </w:r>
      <w:r>
        <w:rPr>
          <w:rFonts w:ascii="Tahoma" w:hAnsi="Tahoma"/>
          <w:sz w:val="18"/>
        </w:rPr>
        <w:t>ikoliv jednotliví lékaři, aby se omezily chyby a rozdělila se zodpovědnost a aby mohli lékaři sdílet své zkušenosti a odborné znalosti [28, 30, 31]. Je třeba vyvinout veškerou snahu a zabránit rozvoji další lékové rezistence.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Organizace WHO navrhla, že kro</w:t>
      </w:r>
      <w:r>
        <w:rPr>
          <w:rFonts w:ascii="Tahoma" w:hAnsi="Tahoma"/>
          <w:sz w:val="18"/>
        </w:rPr>
        <w:t>mě farmakoterapie lze ve vybraných případech plicní tuberkulózy, např. v případě velkých dutin omezených na jeden lalok, použít chirurgickou léčbu [23]. V tomto směru je nezbytný další výzkum.</w:t>
      </w:r>
    </w:p>
    <w:p w:rsidR="00835340">
      <w:pPr>
        <w:spacing w:after="160" w:line="259" w:lineRule="auto"/>
        <w:rPr>
          <w:b/>
        </w:rPr>
      </w:pPr>
      <w:r>
        <w:br w:type="page"/>
      </w:r>
    </w:p>
    <w:p w:rsidR="00DA3A70" w:rsidRPr="008B3297" w:rsidP="0028467E">
      <w:pPr>
        <w:spacing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/>
          <w:b/>
          <w:sz w:val="18"/>
        </w:rPr>
        <w:t>Klasifikace antituberkulotik dle Světové zdravotnické organiz</w:t>
      </w:r>
      <w:r>
        <w:rPr>
          <w:rFonts w:ascii="Tahoma" w:hAnsi="Tahoma"/>
          <w:b/>
          <w:sz w:val="18"/>
        </w:rPr>
        <w:t>ace [23]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/>
      </w:tblPr>
      <w:tblGrid>
        <w:gridCol w:w="3031"/>
        <w:gridCol w:w="675"/>
        <w:gridCol w:w="2528"/>
        <w:gridCol w:w="2835"/>
      </w:tblGrid>
      <w:tr w:rsidTr="0028467E">
        <w:tblPrEx>
          <w:tblW w:w="9069" w:type="dxa"/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  <w:tblLook w:val="04A0"/>
        </w:tblPrEx>
        <w:tc>
          <w:tcPr>
            <w:tcW w:w="3031" w:type="dxa"/>
            <w:shd w:val="clear" w:color="auto" w:fill="69AF23"/>
          </w:tcPr>
          <w:p w:rsidR="00DA3A70" w:rsidRPr="0028467E" w:rsidP="0028467E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/>
                <w:b/>
                <w:color w:val="FFFFFF" w:themeColor="background1"/>
                <w:sz w:val="18"/>
              </w:rPr>
              <w:t>Skupina</w:t>
            </w:r>
          </w:p>
        </w:tc>
        <w:tc>
          <w:tcPr>
            <w:tcW w:w="3203" w:type="dxa"/>
            <w:gridSpan w:val="2"/>
            <w:shd w:val="clear" w:color="auto" w:fill="69AF23"/>
          </w:tcPr>
          <w:p w:rsidR="00DA3A70" w:rsidRPr="0028467E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/>
                <w:b/>
                <w:color w:val="FFFFFF" w:themeColor="background1"/>
                <w:sz w:val="18"/>
              </w:rPr>
              <w:t>Léčiva</w:t>
            </w:r>
          </w:p>
        </w:tc>
        <w:tc>
          <w:tcPr>
            <w:tcW w:w="2835" w:type="dxa"/>
            <w:shd w:val="clear" w:color="auto" w:fill="69AF23"/>
          </w:tcPr>
          <w:p w:rsidR="00DA3A70" w:rsidRPr="0028467E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/>
                <w:b/>
                <w:color w:val="FFFFFF" w:themeColor="background1"/>
                <w:sz w:val="18"/>
              </w:rPr>
              <w:t>Zkratka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D40AC5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Fluorochinolony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28467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Levofloxacin</w:t>
            </w:r>
          </w:p>
          <w:p w:rsidR="00DA3A70" w:rsidRPr="0028467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Moxifloxacin</w:t>
            </w:r>
          </w:p>
          <w:p w:rsidR="00DA3A70" w:rsidRPr="0028467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Gatifloxacin</w:t>
            </w:r>
          </w:p>
        </w:tc>
        <w:tc>
          <w:tcPr>
            <w:tcW w:w="2835" w:type="dxa"/>
            <w:shd w:val="clear" w:color="auto" w:fill="auto"/>
          </w:tcPr>
          <w:p w:rsidR="00DA3A70" w:rsidRPr="0028467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Lfx</w:t>
            </w:r>
          </w:p>
          <w:p w:rsidR="00DA3A70" w:rsidRPr="0028467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Mfx</w:t>
            </w:r>
          </w:p>
          <w:p w:rsidR="00DA3A70" w:rsidRPr="0028467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Gfx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28467E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Injekční léčiva druhé linie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28467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Amikacin</w:t>
            </w:r>
          </w:p>
          <w:p w:rsidR="00DA3A70" w:rsidRPr="0028467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Kapreomycin</w:t>
            </w:r>
          </w:p>
          <w:p w:rsidR="00DA3A70" w:rsidRPr="0028467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Kanamycin</w:t>
            </w:r>
          </w:p>
          <w:p w:rsidR="00DA3A70" w:rsidRPr="0028467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(Streptomycin)</w:t>
            </w:r>
          </w:p>
        </w:tc>
        <w:tc>
          <w:tcPr>
            <w:tcW w:w="2835" w:type="dxa"/>
            <w:shd w:val="clear" w:color="auto" w:fill="auto"/>
          </w:tcPr>
          <w:p w:rsidR="00DA3A70" w:rsidRPr="0028467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Am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Cm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Km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(S)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0D0DB0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Další základní léčiva druhé linie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Ethionamid/Prothionamid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Cykloserin/Terizidon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Linezolid</w:t>
            </w:r>
          </w:p>
          <w:p w:rsidR="00DA3A70" w:rsidRPr="000D0DB0" w:rsidP="00BD3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Klofazimin</w:t>
            </w:r>
          </w:p>
        </w:tc>
        <w:tc>
          <w:tcPr>
            <w:tcW w:w="283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Eto/Pto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Cs/Trd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Lzd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Cfz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 w:val="restart"/>
            <w:shd w:val="clear" w:color="auto" w:fill="auto"/>
          </w:tcPr>
          <w:p w:rsidR="00DA3A70" w:rsidRPr="000D0DB0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Přídatná léčiva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</w:rPr>
              <w:t>(nejsou součástí základního režimu u MDR-TB)</w:t>
            </w:r>
          </w:p>
        </w:tc>
        <w:tc>
          <w:tcPr>
            <w:tcW w:w="67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D1</w:t>
            </w:r>
          </w:p>
        </w:tc>
        <w:tc>
          <w:tcPr>
            <w:tcW w:w="2528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Pyrazinamid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Ethambutol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Vysoké dávky isoniazidu</w:t>
            </w:r>
          </w:p>
        </w:tc>
        <w:tc>
          <w:tcPr>
            <w:tcW w:w="283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Z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E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/>
                <w:sz w:val="18"/>
              </w:rPr>
              <w:t xml:space="preserve">H </w:t>
            </w:r>
            <w:r>
              <w:rPr>
                <w:rFonts w:ascii="Tahoma" w:hAnsi="Tahoma"/>
                <w:b/>
                <w:sz w:val="18"/>
                <w:vertAlign w:val="subscript"/>
              </w:rPr>
              <w:t>(vysoká dávka)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D2</w:t>
            </w:r>
          </w:p>
        </w:tc>
        <w:tc>
          <w:tcPr>
            <w:tcW w:w="2528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Bedaquilin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Delamamid</w:t>
            </w:r>
          </w:p>
        </w:tc>
        <w:tc>
          <w:tcPr>
            <w:tcW w:w="283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Bdq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Dlm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D3</w:t>
            </w:r>
          </w:p>
        </w:tc>
        <w:tc>
          <w:tcPr>
            <w:tcW w:w="2528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 xml:space="preserve">Kyselina </w:t>
            </w:r>
            <w:r>
              <w:rPr>
                <w:rFonts w:ascii="Tahoma" w:hAnsi="Tahoma"/>
                <w:sz w:val="18"/>
              </w:rPr>
              <w:t>p-aminosalicylová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Imipenem-cilastatin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Meropenem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Amoxicillin-klavulanát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(Thioacetazon)</w:t>
            </w:r>
          </w:p>
        </w:tc>
        <w:tc>
          <w:tcPr>
            <w:tcW w:w="2835" w:type="dxa"/>
            <w:shd w:val="clear" w:color="auto" w:fill="auto"/>
          </w:tcPr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PAS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Ipm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Mpm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Amx-Clv</w:t>
            </w:r>
          </w:p>
          <w:p w:rsidR="00DA3A70" w:rsidRPr="000D0DB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(T)</w:t>
            </w:r>
          </w:p>
        </w:tc>
      </w:tr>
    </w:tbl>
    <w:p w:rsidR="00DA3A70" w:rsidRPr="000D0DB0" w:rsidP="00DB51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Cs w:val="24"/>
        </w:rPr>
      </w:pP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13</w:t>
      </w:r>
    </w:p>
    <w:p w:rsidR="00DA3A7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U všech pacientů je třeba vést písemné nebo elektronické záznamy o všech podávaných léčivých přípravcích, o monitorování léčby (včetně bakteriologické odpovědi), nežádoucích účincích a výsledcích léčby. </w:t>
      </w:r>
    </w:p>
    <w:p w:rsidR="00835340" w:rsidRPr="000D0DB0" w:rsidP="000D0DB0">
      <w:pPr>
        <w:pStyle w:val="EC-Title-6"/>
        <w:rPr>
          <w:sz w:val="18"/>
          <w:szCs w:val="18"/>
        </w:rPr>
      </w:pPr>
      <w:r>
        <w:t>Specifické požadavky v EU</w:t>
      </w:r>
    </w:p>
    <w:p w:rsidR="00DA3A70" w:rsidRPr="000D0DB0" w:rsidP="00C1463E">
      <w:pPr>
        <w:widowControl w:val="0"/>
        <w:spacing w:after="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Při prvním kontaktu </w:t>
      </w:r>
      <w:r>
        <w:rPr>
          <w:rFonts w:ascii="Tahoma" w:hAnsi="Tahoma"/>
          <w:sz w:val="18"/>
        </w:rPr>
        <w:t>s každým pacientem je třeba odebrat úplnou klinickou a sociální anamnézu týkající se tuberkulózy a zařadit ji do zdravotní dokumentace. Měla by zahrnovat dostupné informace o předchozí diagnóze, léčbě (režimu, dávkách, době trvání, změnách v režimu atd.) a</w:t>
      </w:r>
      <w:r>
        <w:rPr>
          <w:rFonts w:ascii="Tahoma" w:hAnsi="Tahoma"/>
          <w:sz w:val="18"/>
        </w:rPr>
        <w:t> adherenci a také úplnou informaci o bakteriologickém vyšetření při určování diagnózy a během sledování (stěru sputa, kultivaci a identifikaci druhů, testování citlivosti na léčiva první a druhé linie). Tuto informaci je třeba zanést do dokumentace, kterou</w:t>
      </w:r>
      <w:r>
        <w:rPr>
          <w:rFonts w:ascii="Tahoma" w:hAnsi="Tahoma"/>
          <w:sz w:val="18"/>
        </w:rPr>
        <w:t xml:space="preserve"> dostane pacient (propouštěcí zprávy, výměnného listu nebo podobného dokumentu) s cílem podpořit kontinuitu péče, pokud se pacient přestěhuje / je předán jinému zdravotnickému pracovišti [32, 33].</w:t>
      </w:r>
    </w:p>
    <w:p w:rsidR="00D830C5" w:rsidRPr="00252ABC" w:rsidP="000D0DB0">
      <w:pPr>
        <w:pStyle w:val="EC-Title-5"/>
        <w:spacing w:before="120"/>
      </w:pPr>
      <w:r>
        <w:t xml:space="preserve">Standardy týkající se infekce HIV a průvodních chorob 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14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U všech pacientů s tuberkulózou nebo s podezřením na ni je třeba zajistit poradenství ohledně HIV a vyšetření na HIV. Vyšetření je zvlášť důležitou součástí rutinního vedení léčby u všech pacientů v oblastech s vysokou prevalencí infekce HIV v </w:t>
      </w:r>
      <w:r>
        <w:rPr>
          <w:rFonts w:ascii="Tahoma" w:hAnsi="Tahoma"/>
          <w:sz w:val="18"/>
        </w:rPr>
        <w:t>obecné populaci nebo u pacientů z vysoce rizikové populace nebo s příznaky anebo projevy stavů spojených s HIV. Z důvodu těsného propojení mezi tuberkulózou a infekcí HIV jsou doporučeny integrované přístupy k prevenci a léčbě obou infekcí [34].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1</w:t>
      </w:r>
      <w:r>
        <w:rPr>
          <w:rFonts w:ascii="Tahoma" w:hAnsi="Tahoma"/>
          <w:b/>
          <w:sz w:val="24"/>
          <w:shd w:val="clear" w:color="auto" w:fill="D9D9D9"/>
        </w:rPr>
        <w:t>5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Všechny pacienty s tuberkulózou a infekcí HIV je třeba pečlivě vyšetřit: u všech HIV pozitivních pacientů s tuberkulózou je doporučena antiretrovirová terapie. Léčba tuberkulózy by měla být zahájena okamžitě a antiretrovirová léčba předepsána co nejdříve</w:t>
      </w:r>
      <w:r>
        <w:rPr>
          <w:rFonts w:ascii="Tahoma" w:hAnsi="Tahoma"/>
          <w:sz w:val="18"/>
        </w:rPr>
        <w:t xml:space="preserve">. 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  <w:sz w:val="24"/>
          <w:szCs w:val="24"/>
          <w:shd w:val="clear" w:color="auto" w:fill="D9D9D9"/>
        </w:rPr>
      </w:pPr>
      <w:r>
        <w:rPr>
          <w:rFonts w:ascii="Tahoma" w:hAnsi="Tahoma"/>
          <w:b/>
          <w:sz w:val="24"/>
          <w:shd w:val="clear" w:color="auto" w:fill="D9D9D9"/>
        </w:rPr>
        <w:t>Standard 16</w:t>
      </w:r>
    </w:p>
    <w:p w:rsidR="00DA3A7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Osobám současně infikovaným virem HIV, které mají po pečlivém vyšetření pozitivní test (TST anebo IGRA) na suspektní latentní infekci bakterií </w:t>
      </w:r>
      <w:r>
        <w:rPr>
          <w:rFonts w:ascii="Tahoma" w:hAnsi="Tahoma"/>
          <w:i/>
          <w:sz w:val="18"/>
        </w:rPr>
        <w:t>M. tuberculosis</w:t>
      </w:r>
      <w:r>
        <w:rPr>
          <w:rFonts w:ascii="Tahoma" w:hAnsi="Tahoma"/>
          <w:sz w:val="18"/>
        </w:rPr>
        <w:t>, ale nemají aktivní tuberkulózu, je třeba nabídnout preventivní léčbu.</w:t>
      </w:r>
    </w:p>
    <w:p w:rsidR="00835340" w:rsidRPr="000D0DB0" w:rsidP="000D0DB0">
      <w:pPr>
        <w:pStyle w:val="EC-Title-6"/>
        <w:rPr>
          <w:sz w:val="18"/>
          <w:szCs w:val="18"/>
        </w:rPr>
      </w:pPr>
      <w:r>
        <w:t xml:space="preserve">Specifické </w:t>
      </w:r>
      <w:r>
        <w:t>požadavky v EU</w:t>
      </w:r>
    </w:p>
    <w:p w:rsidR="00DA3A70" w:rsidRPr="000D0DB0" w:rsidP="00C1463E">
      <w:pPr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Jelikož je známo, že současná infekce HIV zvyšuje u infikovaných jedinců pravděpodobnost rozvoje aktivní tuberkulózy, je u osob se séropozitivitou na HIV, které byly v kontaktu s indexovým případem nosiče kmenu MDR-TB, nejprve třeba posoudit</w:t>
      </w:r>
      <w:r>
        <w:rPr>
          <w:rFonts w:ascii="Tahoma" w:hAnsi="Tahoma"/>
          <w:sz w:val="18"/>
        </w:rPr>
        <w:t xml:space="preserve"> individuální riziko. U osob s doloženou latentní infekcí je třeba zajistit pravidelné klinické monitorování a sledování [35].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Při preventivní léčbě je třeba vzít v úvahu typ lékové rezistence u zdroje, počet lymfocytů CD4 a užívání antiretrovirové léčby. </w:t>
      </w:r>
      <w:r>
        <w:rPr>
          <w:rFonts w:ascii="Tahoma" w:hAnsi="Tahoma"/>
          <w:sz w:val="18"/>
        </w:rPr>
        <w:t>Preventivní léčba by měla spočívat v podávání isoniazidu po dobu 6 měsíců nebo isoniazidu po dobu 9 měsíců nebo 3měsíčního režimu týdenního podávání rifampicinu plus isoniazidu nebo podávání isoniazidu plus rifampicinu po dobu 3–4 měsíců nebo samotného rif</w:t>
      </w:r>
      <w:r>
        <w:rPr>
          <w:rFonts w:ascii="Tahoma" w:hAnsi="Tahoma"/>
          <w:sz w:val="18"/>
        </w:rPr>
        <w:t>ampicinu po dobu 3–4 měsíců [36, 37]. Režimy obsahující rifampicin a rifapentin je u osob s infekcí HIV léčených antiretrovirovou terapií třeba předepisovat s opatrností z důvodu potenciálních lékových interakcí [36, 38].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/>
          <w:b/>
          <w:sz w:val="24"/>
        </w:rPr>
        <w:t>Standard 17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Všichni poskytovatelé </w:t>
      </w:r>
      <w:r>
        <w:rPr>
          <w:rFonts w:ascii="Tahoma" w:hAnsi="Tahoma"/>
          <w:sz w:val="18"/>
        </w:rPr>
        <w:t>péče by měli pečlivě posoudit podmínky, které by mohly narušit odpověď na léčbu tuberkulózy nebo výsledek léčby. V době, kdy se připravuje plán vedení léčby u daného případu, by poskytovatel péče měl vyhledat dodatečné služby, které by u každého pacienta p</w:t>
      </w:r>
      <w:r>
        <w:rPr>
          <w:rFonts w:ascii="Tahoma" w:hAnsi="Tahoma"/>
          <w:sz w:val="18"/>
        </w:rPr>
        <w:t>odpořily optimální výsledek, a tyto služby začlenit do individuálního plánu péče. Tento plán by měl zahrnovat vyšetření dalších onemocnění a doporučení pacienta k jejich léčbě, přičemž je třeba věnovat zvláštní pozornost stavům, o nichž je známo, že ovlivň</w:t>
      </w:r>
      <w:r>
        <w:rPr>
          <w:rFonts w:ascii="Tahoma" w:hAnsi="Tahoma"/>
          <w:sz w:val="18"/>
        </w:rPr>
        <w:t>ují výsledek léčby, jako jsou například HIV, diabetes mellitus, zneužívání drog nebo alkoholu, kouření tabáku a další psychosociální problémy [39]. V nutných případech je třeba také zajistit služby jako předporodní péči nebo péči o novorozence.</w:t>
      </w:r>
    </w:p>
    <w:p w:rsidR="00835340" w:rsidP="000D0DB0">
      <w:pPr>
        <w:pStyle w:val="EC-Title-6"/>
      </w:pPr>
      <w:r>
        <w:t xml:space="preserve">Specifické </w:t>
      </w:r>
      <w:r>
        <w:t>požadavky v EU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Je třeba uplatnit celý balíček postupů popsaný v dokumentu WHO Prozatímní politika spolupráce u TB/HIV (Interim Policy on Collaborative TB/HIV), a to jak postupy uvedené zde, tak další zahrnuté v balíčku WHO [34].</w:t>
      </w:r>
    </w:p>
    <w:p w:rsidR="00DA3A70" w:rsidRPr="000D0DB0" w:rsidP="0028467E">
      <w:pPr>
        <w:pStyle w:val="EC-Title-5"/>
        <w:spacing w:before="120"/>
        <w:rPr>
          <w:b w:val="0"/>
          <w:sz w:val="24"/>
          <w:szCs w:val="24"/>
        </w:rPr>
      </w:pPr>
      <w:r>
        <w:t xml:space="preserve">Standardy pro veřejné </w:t>
      </w:r>
      <w:r>
        <w:t>zdraví a prevenci tuberkulózy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/>
          <w:b/>
          <w:sz w:val="24"/>
        </w:rPr>
        <w:t>Standard 18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Všichni poskytovatelé péče by u pacientů s tuberkulózou měli zajistit, aby osoby, které byly v těsném kontaktu s pacienty s aktivní a infekční tuberkulózou, byly vyšetřeny a léčeny v souladu s mezinárodními doporuč</w:t>
      </w:r>
      <w:r>
        <w:rPr>
          <w:rFonts w:ascii="Tahoma" w:hAnsi="Tahoma"/>
          <w:sz w:val="18"/>
        </w:rPr>
        <w:t>eními. Těsné kontakty představují členy domácnosti a rodiny a jedince s intenzivním a dlouhodobým kontaktem v podmínkách hromadného pobytu, jako jsou věznice, zařízení pro bezdomovce nebo migranty, a ve vnitřních prostorách, jako jsou školy či kanceláře.</w:t>
      </w:r>
    </w:p>
    <w:p w:rsidR="00DA3A7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R</w:t>
      </w:r>
      <w:r>
        <w:rPr>
          <w:rFonts w:ascii="Tahoma" w:hAnsi="Tahoma"/>
          <w:sz w:val="18"/>
        </w:rPr>
        <w:t>iziko přenosu tuberkulózy závisí na koncentraci bacilů tuberkulózy ve vzduchu, na proudění vzduchu, době trvání kontaktu a vnímavosti kontaktu k infekci. Stanovení priorit vyšetření kontaktů vychází z pravděpodobnosti, že kontakt: 1) má nediagnostikovanou,</w:t>
      </w:r>
      <w:r>
        <w:rPr>
          <w:rFonts w:ascii="Tahoma" w:hAnsi="Tahoma"/>
          <w:sz w:val="18"/>
        </w:rPr>
        <w:t xml:space="preserve"> a tedy neléčenou tuberkulózu, 2) je u něj vysoké riziko, že se nakazil od indexového případu, 3) je u něj vysoké riziko rozvoje tuberkulózy, pokud se nakazí, 4) je u něj riziko závažné tuberkulózy, pokud se rozvine onemocnění.</w:t>
      </w:r>
    </w:p>
    <w:p w:rsidR="00835340" w:rsidP="00835340">
      <w:pPr>
        <w:pStyle w:val="EC-Title-6"/>
      </w:pPr>
      <w:r>
        <w:t>Specifické požadavky v EU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Při posouzení, zda pravděpodobně došlo k přenosu, a posouzení potřeby zahájení sledování kontaktu je třeba pečlivě zvážit faktory rozhodující o přenosu tuberkulózy a určující vnímavost jedince [40]. 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Těsné kontakty u pacientů s MDR- a XDR-TB je třeba vyšet</w:t>
      </w:r>
      <w:r>
        <w:rPr>
          <w:rFonts w:ascii="Tahoma" w:hAnsi="Tahoma"/>
          <w:sz w:val="18"/>
        </w:rPr>
        <w:t>řit na latentní tuberkulózní infekci (LTBI) a tuberkulózu podle vnitrostátních pokynů. U kontaktů, u nichž bylo onemocnění tuberkulózou vyloučeno a u nichž byla diagnostikována LTBI, je třeba posoudit individuální riziko s cílem určit: 1) riziko, že u kont</w:t>
      </w:r>
      <w:r>
        <w:rPr>
          <w:rFonts w:ascii="Tahoma" w:hAnsi="Tahoma"/>
          <w:sz w:val="18"/>
        </w:rPr>
        <w:t>aktu dojde k progresi do onemocnění tuberkulózou, 2) typ citlivosti na léčiva u zdrojového případu a 3) riziko, že se u kontaktu objeví nežádoucí účinky, pokud bude zahájena léčba LTBI [36, 38]. Bez ohledu na klinické doporučení ohledně léčby LTBI je třeba</w:t>
      </w:r>
      <w:r>
        <w:rPr>
          <w:rFonts w:ascii="Tahoma" w:hAnsi="Tahoma"/>
          <w:sz w:val="18"/>
        </w:rPr>
        <w:t xml:space="preserve"> tyto kontakty pečlivě klinicky sledovat a poskytnout jim informace a zdravotní edukaci od zdravotníků se zkušenostmi s vedením léčby LTBI a onemocnění tuberkulózou [35, 41].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Při sledování kontaktu ze zranitelných a obtížně dostupných populací se doporučuj</w:t>
      </w:r>
      <w:r>
        <w:rPr>
          <w:rFonts w:ascii="Tahoma" w:hAnsi="Tahoma"/>
          <w:sz w:val="18"/>
        </w:rPr>
        <w:t>e zapojit místní a komunitní organizace (včetně komunitních zdravotníků, neklinických odborných pracovníků a ostatních pacientů). Tento přístup může přispět k úspěšné identifikaci potenciálních kontaktů [42, 43].</w:t>
      </w:r>
    </w:p>
    <w:p w:rsidR="0098145B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U pacientů s tuberkulózou ze skupin migrant</w:t>
      </w:r>
      <w:r>
        <w:rPr>
          <w:rFonts w:ascii="Tahoma" w:hAnsi="Tahoma"/>
          <w:sz w:val="18"/>
        </w:rPr>
        <w:t>ů nebo migrujících populací by kliničtí lékaři a vedoucí vnitrostátních programů měli spolupracovat s příslušnými zdravotnickými orgány zemí, kde pacient pobývá anebo odkud pochází, aby byla zajištěna náležitá kontinuální péče a vyšetření případných kontak</w:t>
      </w:r>
      <w:r>
        <w:rPr>
          <w:rFonts w:ascii="Tahoma" w:hAnsi="Tahoma"/>
          <w:sz w:val="18"/>
        </w:rPr>
        <w:t xml:space="preserve">tů [44]. </w:t>
      </w:r>
    </w:p>
    <w:p w:rsidR="0098145B" w:rsidP="000D0DB0">
      <w:r>
        <w:br w:type="page"/>
      </w:r>
    </w:p>
    <w:p w:rsidR="00DA3A70" w:rsidRPr="000D0DB0" w:rsidP="00604B0D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19</w:t>
      </w:r>
    </w:p>
    <w:p w:rsidR="00DA3A7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Přítomnost latentní infekce tuberkulózou je třeba vyšetřit u kontaktů pacienta infikovaného tuberkulózou, osob s infekcí HIV, pacientů zahajujících léčbu inhibitory tumor nekrotizujícího faktoru (TNF), pacientů podstupujících dialýz</w:t>
      </w:r>
      <w:r>
        <w:rPr>
          <w:rFonts w:ascii="Tahoma" w:hAnsi="Tahoma"/>
          <w:sz w:val="18"/>
        </w:rPr>
        <w:t>u, pacientů připravovaných na transplantaci orgánů nebo hematologickou transplantaci a u pacientů se silikózou. Při zjištění latentní infekce tuberkulózou je u nich třeba pečlivě vyšetřit přítomnost aktivní tuberkulózy. Pokud je aktivní tuberkulóza vylouče</w:t>
      </w:r>
      <w:r>
        <w:rPr>
          <w:rFonts w:ascii="Tahoma" w:hAnsi="Tahoma"/>
          <w:sz w:val="18"/>
        </w:rPr>
        <w:t>na, je třeba jim nabídnout preventivní léčbu s využitím režimu doporučeného WHO.</w:t>
      </w:r>
    </w:p>
    <w:p w:rsidR="00DA3A70" w:rsidRPr="000D0DB0" w:rsidP="000D0DB0">
      <w:pPr>
        <w:pStyle w:val="EC-Title-6"/>
        <w:rPr>
          <w:b w:val="0"/>
          <w:sz w:val="24"/>
          <w:szCs w:val="24"/>
        </w:rPr>
      </w:pPr>
      <w:r>
        <w:rPr>
          <w:sz w:val="24"/>
        </w:rPr>
        <w:t>Specifické požadavky v EU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Když je diagnostikován a oznámen indexový případ infekce, kliničtí lékaři by při uplatňování náležitých postupů sledování kontaktů měli spolupracovat</w:t>
      </w:r>
      <w:r>
        <w:rPr>
          <w:rFonts w:ascii="Tahoma" w:hAnsi="Tahoma"/>
          <w:sz w:val="18"/>
        </w:rPr>
        <w:t xml:space="preserve"> s orgány veřejného zdravotnictví a postupovat podle vnitrostátních a mezinárodních doporučení ve zvětšujících se kruzích [40, 41, 45, 46]. Podobně je třeba zahájit hledání zdroje i vyšetření kontaktů, pokud byla zjištěna infekce tuberkulózou u dítěte (jak</w:t>
      </w:r>
      <w:r>
        <w:rPr>
          <w:rFonts w:ascii="Tahoma" w:hAnsi="Tahoma"/>
          <w:sz w:val="18"/>
        </w:rPr>
        <w:t xml:space="preserve">ékoliv lokalizace) a nebyl zjištěn zdroj [41, 47]. </w:t>
      </w:r>
    </w:p>
    <w:p w:rsidR="00DA3A70" w:rsidRPr="000D0DB0" w:rsidP="00C1463E">
      <w:pPr>
        <w:spacing w:after="120"/>
        <w:ind w:right="-188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Jedince podstupující léčbu anti-TNF-α je třeba považovat za vysoce rizikové kontakty. Podle standardu ESTC číslo 16 by u jedinců s infekcí HIV nebo s jinými průvodními chorobami, u nichž je pomocí testů T</w:t>
      </w:r>
      <w:r>
        <w:rPr>
          <w:rFonts w:ascii="Tahoma" w:hAnsi="Tahoma"/>
          <w:sz w:val="18"/>
        </w:rPr>
        <w:t>ST anebo IGRA zjištěna infekce tuberkulózou a vyloučena aktivní tuberkulóza, měla být neprodleně zahájena léčba latentní infekce [10, 36, 38, 40, 48, 49].</w:t>
      </w:r>
    </w:p>
    <w:p w:rsidR="00DA3A70" w:rsidRPr="000D0DB0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20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Každé zdravotnické zařízení pečující o pacienty, kteří mají infekční tuberkulózu nebo pod</w:t>
      </w:r>
      <w:r>
        <w:rPr>
          <w:rFonts w:ascii="Tahoma" w:hAnsi="Tahoma"/>
          <w:sz w:val="18"/>
        </w:rPr>
        <w:t xml:space="preserve">ezření na ni, by mělo vytvořit a uplatňovat vhodný plán kontroly infekce tuberkulózou. </w:t>
      </w:r>
    </w:p>
    <w:p w:rsidR="0098145B" w:rsidRPr="0069416F" w:rsidP="0098145B">
      <w:pPr>
        <w:pStyle w:val="EC-Title-6"/>
        <w:rPr>
          <w:sz w:val="24"/>
          <w:szCs w:val="24"/>
        </w:rPr>
      </w:pPr>
      <w:r>
        <w:rPr>
          <w:sz w:val="24"/>
        </w:rPr>
        <w:t>Specifické požadavky v EU</w:t>
      </w:r>
    </w:p>
    <w:p w:rsidR="00DA3A70" w:rsidRPr="0028467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 xml:space="preserve">U pacientů, kteří upřednostňují domácí léčbu, by měla být k dispozici komunitní léčba podpořená domácími opatřeními na kontrolu infekce [5, </w:t>
      </w:r>
      <w:r>
        <w:rPr>
          <w:rFonts w:ascii="Tahoma" w:hAnsi="Tahoma"/>
          <w:spacing w:val="-2"/>
          <w:sz w:val="18"/>
        </w:rPr>
        <w:t>24].</w:t>
      </w:r>
    </w:p>
    <w:p w:rsidR="00DA3A70" w:rsidRPr="0028467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 xml:space="preserve">Pokud je potřebná hospitalizace, kliničtí lékaři by měli zajistit, aby všichni nově přijatí pacienti s podezřením na infekční tuberkulózu byli až do potvrzení nebo vyloučení diagnózy v respirační izolaci [2]. </w:t>
      </w:r>
    </w:p>
    <w:p w:rsidR="00DA3A70" w:rsidRPr="0028467E" w:rsidP="00C1463E">
      <w:pPr>
        <w:spacing w:after="120"/>
        <w:ind w:right="-188"/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>S cílem prevence přenosu bacilů tuberkuló</w:t>
      </w:r>
      <w:r>
        <w:rPr>
          <w:rFonts w:ascii="Tahoma" w:hAnsi="Tahoma"/>
          <w:spacing w:val="-2"/>
          <w:sz w:val="18"/>
        </w:rPr>
        <w:t xml:space="preserve">zy na jiné pacienty, personál anebo návštěvníky by pacienti se stěrem pozitivním na tuberkulózu měli být v ideálním případě izolovaní ve vhodných pokojích, dokud nedosáhnou bakteriologické konverze (negativního mikroskopického vyšetření sputa). Izolace by </w:t>
      </w:r>
      <w:r>
        <w:rPr>
          <w:rFonts w:ascii="Tahoma" w:hAnsi="Tahoma"/>
          <w:spacing w:val="-2"/>
          <w:sz w:val="18"/>
        </w:rPr>
        <w:t xml:space="preserve">měla být zajištěna v pokojích s podtlakovým větráním. </w:t>
      </w:r>
    </w:p>
    <w:p w:rsidR="00DA3A70" w:rsidRPr="0028467E" w:rsidP="00C1463E">
      <w:pPr>
        <w:spacing w:after="120"/>
        <w:ind w:right="-188"/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>Příslušný plán kontroly infekce, který řídí pověřená osoba, by měl zahrnovat následující čtyři složky: manažerské činnosti, administrativní kontroly, environmentální kontroly a zásahy pro osobní ochran</w:t>
      </w:r>
      <w:r>
        <w:rPr>
          <w:rFonts w:ascii="Tahoma" w:hAnsi="Tahoma"/>
          <w:spacing w:val="-2"/>
          <w:sz w:val="18"/>
        </w:rPr>
        <w:t>u [5, 50]. Ve všech zdravotnických zařízeních je třeba uplatňovat příslušná administrativní opatření na kontrolu infekce tuberkulózou a také příslušná opatření respirační ochrany (zahrnující používání respirátorů po ověření jejich správné velikosti u perso</w:t>
      </w:r>
      <w:r>
        <w:rPr>
          <w:rFonts w:ascii="Tahoma" w:hAnsi="Tahoma"/>
          <w:spacing w:val="-2"/>
          <w:sz w:val="18"/>
        </w:rPr>
        <w:t>nálu a nošení chirurgické masky u infikovaných pacientů). Do plánu kontroly infekce je třeba také zahrnout odpovídající vyškolení personálu o kontrole infekce a standardizovanou zdravotní edukaci pacientů o etiketě při kašlání s využitím validovaných nástr</w:t>
      </w:r>
      <w:r>
        <w:rPr>
          <w:rFonts w:ascii="Tahoma" w:hAnsi="Tahoma"/>
          <w:spacing w:val="-2"/>
          <w:sz w:val="18"/>
        </w:rPr>
        <w:t>ojů. Zapojeny by měly být také komise pro kontrolu infekce, které se zabývají vzduchem přenosnými chorobami a zahrnují odborníky na kontrolu infekcí [5, 50–52].</w:t>
      </w:r>
    </w:p>
    <w:p w:rsidR="00DA3A70" w:rsidRPr="000D0DB0" w:rsidP="00496312">
      <w:pPr>
        <w:shd w:val="clear" w:color="auto" w:fill="E7E6E6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/>
          <w:b/>
          <w:sz w:val="24"/>
          <w:shd w:val="clear" w:color="auto" w:fill="D9D9D9"/>
        </w:rPr>
        <w:t>Standard 21</w:t>
      </w:r>
    </w:p>
    <w:p w:rsidR="00DA3A70" w:rsidRPr="000D0DB0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Všichni poskytovatelé musejí místním orgánům veřejného zdravotnictví hlásit nové případy i případy opakované léčby tuberkulózy a výsledky jejich léčby v souladu s platnými právními požadavky a politikou. </w:t>
      </w:r>
    </w:p>
    <w:p w:rsidR="0098145B" w:rsidRPr="0069416F" w:rsidP="0098145B">
      <w:pPr>
        <w:pStyle w:val="EC-Title-6"/>
        <w:rPr>
          <w:sz w:val="24"/>
          <w:szCs w:val="24"/>
        </w:rPr>
      </w:pPr>
      <w:r>
        <w:rPr>
          <w:sz w:val="24"/>
        </w:rPr>
        <w:t>Specifické požadavky v EU</w:t>
      </w:r>
    </w:p>
    <w:p w:rsidR="00DA3A70" w:rsidRPr="0028467E" w:rsidP="00C1463E">
      <w:pPr>
        <w:ind w:right="-188"/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>Kliničtí lékaři by měli v</w:t>
      </w:r>
      <w:r>
        <w:rPr>
          <w:rFonts w:ascii="Tahoma" w:hAnsi="Tahoma"/>
          <w:spacing w:val="-2"/>
          <w:sz w:val="18"/>
        </w:rPr>
        <w:t> pravidelných časových intervalech (např. čtvrtletně) hodnotit výsledky léčby na svém klinickém pracovišti [18, 53]. Výsledky léčby je třeba hlásit místním orgánům veřejného zdravotnictví v souladu s platnými právními požadavky a politikou a současně je vy</w:t>
      </w:r>
      <w:r>
        <w:rPr>
          <w:rFonts w:ascii="Tahoma" w:hAnsi="Tahoma"/>
          <w:spacing w:val="-2"/>
          <w:sz w:val="18"/>
        </w:rPr>
        <w:t>užívat jako monitorovací a hodnotící nástroj s cílem zlepšit kvalitu vedení léčby pacientů.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Informace o výsledcích léčby by také měly být pravidelně zasílány z oddělení veřejného zdravotnictví zpět poskytovatelům zdravotní péče, aby bylo možné koordinované</w:t>
      </w:r>
      <w:r>
        <w:rPr>
          <w:rFonts w:ascii="Tahoma" w:hAnsi="Tahoma"/>
          <w:spacing w:val="-2"/>
          <w:sz w:val="18"/>
        </w:rPr>
        <w:t xml:space="preserve"> hodnocení výsledků. Informace o konečném výsledku léčby pacientů by měly být dostupné klinickému pracovišti, kde byla léčba zahájena, i když byl pacient převeden jinam. Zdravotníky, kteří mají na starosti hlášení výsledků léčby orgánům veřejného zdravotni</w:t>
      </w:r>
      <w:r>
        <w:rPr>
          <w:rFonts w:ascii="Tahoma" w:hAnsi="Tahoma"/>
          <w:spacing w:val="-2"/>
          <w:sz w:val="18"/>
        </w:rPr>
        <w:t>ctví a kteří provádějí čtvrtletní hodnocení případů, o které se klinické pracoviště stará, je třeba náležitě vyškolit. Tato zásada platí také pro pacienty s tuberkulózou, kteří se stěhují přes hranice EU [54–57].</w:t>
      </w:r>
    </w:p>
    <w:p w:rsidR="00E9311A" w:rsidP="0028467E">
      <w:pPr>
        <w:rPr>
          <w:rFonts w:ascii="Tahoma" w:eastAsia="Batang" w:hAnsi="Tahoma" w:cs="Tahoma"/>
          <w:color w:val="69AE23"/>
          <w:sz w:val="30"/>
          <w:szCs w:val="30"/>
        </w:rPr>
      </w:pPr>
      <w:r>
        <w:br w:type="page"/>
      </w:r>
    </w:p>
    <w:p w:rsidR="00CC0F38" w:rsidP="0028467E">
      <w:pPr>
        <w:pStyle w:val="EC-Title-5"/>
        <w:spacing w:before="120"/>
      </w:pPr>
      <w:r>
        <w:t>Odkazy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1.</w:t>
      </w:r>
      <w:r w:rsidRPr="00C1463E">
        <w:tab/>
      </w:r>
      <w:r w:rsidRPr="00C1463E">
        <w:rPr>
          <w:rFonts w:ascii="Tahoma" w:hAnsi="Tahoma"/>
          <w:sz w:val="16"/>
        </w:rPr>
        <w:t>Schoch OD, Rieder P, Tueller C,</w:t>
      </w:r>
      <w:r w:rsidRPr="00C1463E">
        <w:rPr>
          <w:rFonts w:ascii="Tahoma" w:hAnsi="Tahoma"/>
          <w:sz w:val="16"/>
        </w:rPr>
        <w:t xml:space="preserve"> Altpeter E, Zellweger JP, Rieder HL, et al. Diagnostic yield of sputum, induced sputum, and bronchoscopy after radiologic tuberculosis screening. Am J Respir Crit Care Med. 2007;175(1):80-86.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2.</w:t>
      </w:r>
      <w:r w:rsidRPr="00C1463E">
        <w:tab/>
      </w:r>
      <w:r w:rsidRPr="00C1463E">
        <w:rPr>
          <w:rFonts w:ascii="Tahoma" w:hAnsi="Tahoma"/>
          <w:sz w:val="16"/>
        </w:rPr>
        <w:t>TB CARE I. International Standards for Tuberculosis Care. 3r</w:t>
      </w:r>
      <w:r w:rsidRPr="00C1463E">
        <w:rPr>
          <w:rFonts w:ascii="Tahoma" w:hAnsi="Tahoma"/>
          <w:sz w:val="16"/>
        </w:rPr>
        <w:t>d ed. The Hague: TB CARE; 2014.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3.</w:t>
      </w:r>
      <w:r w:rsidRPr="00C1463E">
        <w:tab/>
      </w:r>
      <w:r w:rsidRPr="00C1463E">
        <w:rPr>
          <w:rFonts w:ascii="Tahoma" w:hAnsi="Tahoma"/>
          <w:sz w:val="16"/>
        </w:rPr>
        <w:t>Lewinsohn DM, Leonard MK, LoBue PA, Cohn DL, Daley CL, Desmond E, et al. Official American Thoracic Society/Infectious Diseases Society of America/Centers for Disease Control and Prevention Clinical Practice Guidelines: D</w:t>
      </w:r>
      <w:r w:rsidRPr="00C1463E">
        <w:rPr>
          <w:rFonts w:ascii="Tahoma" w:hAnsi="Tahoma"/>
          <w:sz w:val="16"/>
        </w:rPr>
        <w:t>iagnosis of Tuberculosis in Adults and Children. Clin Infect Dis. 2017;64(2):e1-e33.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4.</w:t>
      </w:r>
      <w:r w:rsidRPr="00C1463E">
        <w:tab/>
      </w:r>
      <w:r w:rsidRPr="00C1463E">
        <w:rPr>
          <w:rFonts w:ascii="Tahoma" w:hAnsi="Tahoma"/>
          <w:sz w:val="16"/>
        </w:rPr>
        <w:t>European Centre for Disease Prevention and Control. Use of interferon-gamma release assays in support of TB diagnosis. Stockholm: ECDC; 2011.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5.</w:t>
      </w:r>
      <w:r w:rsidRPr="00C1463E">
        <w:tab/>
      </w:r>
      <w:r w:rsidRPr="00C1463E">
        <w:rPr>
          <w:rFonts w:ascii="Tahoma" w:hAnsi="Tahoma"/>
          <w:sz w:val="16"/>
        </w:rPr>
        <w:t xml:space="preserve">World Health </w:t>
      </w:r>
      <w:r w:rsidRPr="00C1463E">
        <w:rPr>
          <w:rFonts w:ascii="Tahoma" w:hAnsi="Tahoma"/>
          <w:sz w:val="16"/>
        </w:rPr>
        <w:t>Organization. Compendium of WHO guidelines and associated standards: ensuring optimum delivery of the cascade of care for patients with tuberculosis. Geneva: World Health Organization; 2017.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6.</w:t>
      </w:r>
      <w:r w:rsidRPr="00C1463E">
        <w:tab/>
      </w:r>
      <w:r w:rsidRPr="00C1463E">
        <w:rPr>
          <w:rFonts w:ascii="Tahoma" w:hAnsi="Tahoma"/>
          <w:sz w:val="16"/>
        </w:rPr>
        <w:t>Drobniewski FA, Hoffner S, Rusch-Gerdes S, Skenders G, Thomsen</w:t>
      </w:r>
      <w:r w:rsidRPr="00C1463E">
        <w:rPr>
          <w:rFonts w:ascii="Tahoma" w:hAnsi="Tahoma"/>
          <w:sz w:val="16"/>
        </w:rPr>
        <w:t xml:space="preserve"> V. Recommended standards for modern tuberculosis laboratory services in Europe. Eur Respir J. 2006;28(5):903-909.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7.</w:t>
      </w:r>
      <w:r w:rsidRPr="00C1463E">
        <w:tab/>
      </w:r>
      <w:r w:rsidRPr="00C1463E">
        <w:rPr>
          <w:rFonts w:ascii="Tahoma" w:hAnsi="Tahoma"/>
          <w:sz w:val="16"/>
        </w:rPr>
        <w:t>World Health Organization Regional Office for Europe. Algorithm for laboratory diagnosis and treatment-monitoring of pulmonary tuberculosi</w:t>
      </w:r>
      <w:r w:rsidRPr="00C1463E">
        <w:rPr>
          <w:rFonts w:ascii="Tahoma" w:hAnsi="Tahoma"/>
          <w:sz w:val="16"/>
        </w:rPr>
        <w:t xml:space="preserve">s and drug-resistant tuberculosis using state-of-the-art rapid molecular diagnostic technologies. Expert opinion of the European Tuberculosis Laboratory Initiative core group members for the WHO European Region. Copenhagen: WHO Regional Office for Europe; </w:t>
      </w:r>
      <w:r w:rsidRPr="00C1463E">
        <w:rPr>
          <w:rFonts w:ascii="Tahoma" w:hAnsi="Tahoma"/>
          <w:sz w:val="16"/>
        </w:rPr>
        <w:t>2017.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8.</w:t>
      </w:r>
      <w:r w:rsidRPr="00C1463E">
        <w:tab/>
      </w:r>
      <w:r w:rsidRPr="00C1463E">
        <w:rPr>
          <w:rFonts w:ascii="Tahoma" w:hAnsi="Tahoma"/>
          <w:sz w:val="16"/>
        </w:rPr>
        <w:t>European Centre for Disease Prevention and Control. Handbook on TB laboratory diagnostic methods for the European Union. Stockholm: ECDC; 2016.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9.</w:t>
      </w:r>
      <w:r w:rsidRPr="00C1463E">
        <w:tab/>
      </w:r>
      <w:r w:rsidRPr="00C1463E">
        <w:rPr>
          <w:rFonts w:ascii="Tahoma" w:hAnsi="Tahoma"/>
          <w:sz w:val="16"/>
        </w:rPr>
        <w:t>Sotgiu G, Tiberi S, D'Ambrosio L, Centis R, Zumla A, Migliori GB. WHO recommendations on shorter tre</w:t>
      </w:r>
      <w:r w:rsidRPr="00C1463E">
        <w:rPr>
          <w:rFonts w:ascii="Tahoma" w:hAnsi="Tahoma"/>
          <w:sz w:val="16"/>
        </w:rPr>
        <w:t>atment of multidrug-resistant tuberculosis. Lancet. 2016;387(10037):2486-2487.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10.</w:t>
      </w:r>
      <w:r w:rsidRPr="00C1463E">
        <w:tab/>
      </w:r>
      <w:r w:rsidRPr="00C1463E">
        <w:rPr>
          <w:rFonts w:ascii="Tahoma" w:hAnsi="Tahoma"/>
          <w:sz w:val="16"/>
        </w:rPr>
        <w:t xml:space="preserve">Diel R, Goletti D, Ferrara G, Bothamley G, Cirillo D, Kampmann B, et al. Interferon-gamma release assays for the diagnosis of latent Mycobacterium tuberculosis infection: a </w:t>
      </w:r>
      <w:r w:rsidRPr="00C1463E">
        <w:rPr>
          <w:rFonts w:ascii="Tahoma" w:hAnsi="Tahoma"/>
          <w:sz w:val="16"/>
        </w:rPr>
        <w:t>systematic review and meta-analysis. Eur Respir J. 2011;37(1):88-99.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11.</w:t>
      </w:r>
      <w:r w:rsidRPr="00C1463E">
        <w:tab/>
      </w:r>
      <w:r w:rsidRPr="00C1463E">
        <w:rPr>
          <w:rFonts w:ascii="Tahoma" w:hAnsi="Tahoma"/>
          <w:sz w:val="16"/>
        </w:rPr>
        <w:t>Sester M, Sotgiu G, Lange C, Giehl C, Girardi E, Migliori GB, et al. Interferon-gamma release assays for the diagnosis of active tuberculosis: a systematic review and meta-analysis. E</w:t>
      </w:r>
      <w:r w:rsidRPr="00C1463E">
        <w:rPr>
          <w:rFonts w:ascii="Tahoma" w:hAnsi="Tahoma"/>
          <w:sz w:val="16"/>
        </w:rPr>
        <w:t>ur Respir J. 2011;37(1):100-111.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12.</w:t>
      </w:r>
      <w:r w:rsidRPr="00C1463E">
        <w:tab/>
      </w:r>
      <w:r w:rsidRPr="00C1463E">
        <w:rPr>
          <w:rFonts w:ascii="Tahoma" w:hAnsi="Tahoma"/>
          <w:sz w:val="16"/>
        </w:rPr>
        <w:t>Petruccioli E, Scriba TJ, Petrone L, Hatherill M, Cirillo DM, Joosten SA, et al. Correlates of tuberculosis risk: predictive biomarkers for progression to active tuberculosis. Eur Respir J. 2016;48(6):1751-1763.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13.</w:t>
      </w:r>
      <w:r w:rsidRPr="00C1463E">
        <w:tab/>
      </w:r>
      <w:r w:rsidRPr="00C1463E">
        <w:rPr>
          <w:rFonts w:ascii="Tahoma" w:hAnsi="Tahoma"/>
          <w:sz w:val="16"/>
        </w:rPr>
        <w:t>Gol</w:t>
      </w:r>
      <w:r w:rsidRPr="00C1463E">
        <w:rPr>
          <w:rFonts w:ascii="Tahoma" w:hAnsi="Tahoma"/>
          <w:sz w:val="16"/>
        </w:rPr>
        <w:t>etti D, Petruccioli E, Joosten SA, Ottenhoff TH. Tuberculosis Biomarkers: From Diagnosis to Protection. Infectious disease reports. 2016;8(2):6568.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14.</w:t>
      </w:r>
      <w:r w:rsidRPr="00C1463E">
        <w:tab/>
      </w:r>
      <w:r w:rsidRPr="00C1463E">
        <w:rPr>
          <w:rFonts w:ascii="Tahoma" w:hAnsi="Tahoma"/>
          <w:sz w:val="16"/>
        </w:rPr>
        <w:t>Seddon JA, Furin JJ, Gale M, Del Castillo Barrientos H, Hurtado RM, Amanullah F, et al. Caring for child</w:t>
      </w:r>
      <w:r w:rsidRPr="00C1463E">
        <w:rPr>
          <w:rFonts w:ascii="Tahoma" w:hAnsi="Tahoma"/>
          <w:sz w:val="16"/>
        </w:rPr>
        <w:t>ren with drug-resistant tuberculosis: practice-based recommendations. Am J Respir Crit Care Med. 2012;186(10):953-964.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15.</w:t>
      </w:r>
      <w:r w:rsidRPr="00C1463E">
        <w:tab/>
      </w:r>
      <w:r w:rsidRPr="00C1463E">
        <w:rPr>
          <w:rFonts w:ascii="Tahoma" w:hAnsi="Tahoma"/>
          <w:sz w:val="16"/>
        </w:rPr>
        <w:t>World Health Organization. Guidance for national tuberculosis programmes on the management of tuberculosis in children. Second ed. Ge</w:t>
      </w:r>
      <w:r w:rsidRPr="00C1463E">
        <w:rPr>
          <w:rFonts w:ascii="Tahoma" w:hAnsi="Tahoma"/>
          <w:sz w:val="16"/>
        </w:rPr>
        <w:t>neva: World Health Organization; 2014.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16.</w:t>
      </w:r>
      <w:r w:rsidRPr="00C1463E">
        <w:tab/>
      </w:r>
      <w:r w:rsidRPr="00C1463E">
        <w:rPr>
          <w:rFonts w:ascii="Tahoma" w:hAnsi="Tahoma"/>
          <w:sz w:val="16"/>
        </w:rPr>
        <w:t xml:space="preserve">World Health Organization. Report of a WHO consultation on strengthening the active engagement of civil society organizations in the global TB prevention, care and control efforts. Geneva: World Health </w:t>
      </w:r>
      <w:r w:rsidRPr="00C1463E">
        <w:rPr>
          <w:rFonts w:ascii="Tahoma" w:hAnsi="Tahoma"/>
          <w:sz w:val="16"/>
        </w:rPr>
        <w:t>Organization; 2010. Report No.: WHO/HTM/TB/2010.15.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17.</w:t>
      </w:r>
      <w:r w:rsidRPr="00C1463E">
        <w:tab/>
      </w:r>
      <w:r w:rsidRPr="00C1463E">
        <w:rPr>
          <w:rFonts w:ascii="Tahoma" w:hAnsi="Tahoma"/>
          <w:sz w:val="16"/>
        </w:rPr>
        <w:t>Patients’ Charter for Tuberculosis Care: World Care Council; 2006.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18.</w:t>
      </w:r>
      <w:r w:rsidRPr="00C1463E">
        <w:tab/>
      </w:r>
      <w:r w:rsidRPr="00C1463E">
        <w:rPr>
          <w:rFonts w:ascii="Tahoma" w:hAnsi="Tahoma"/>
          <w:sz w:val="16"/>
        </w:rPr>
        <w:t>World Health Organization. Definitions and reporting framework for tuberculosis – 2013 revision. Geneva: Word Health Organization</w:t>
      </w:r>
      <w:r w:rsidRPr="00C1463E">
        <w:rPr>
          <w:rFonts w:ascii="Tahoma" w:hAnsi="Tahoma"/>
          <w:sz w:val="16"/>
        </w:rPr>
        <w:t>; 2013.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19.</w:t>
      </w:r>
      <w:r w:rsidRPr="00C1463E">
        <w:tab/>
      </w:r>
      <w:r w:rsidRPr="00C1463E">
        <w:rPr>
          <w:rFonts w:ascii="Tahoma" w:hAnsi="Tahoma"/>
          <w:sz w:val="16"/>
        </w:rPr>
        <w:t>Nahid P, Dorman SE, Alipanah N, Barry PM, Brozek JL, Cattamanchi A, et al. Official American Thoracic Society/Centers for Disease Control and Prevention/Infectious Diseases Society of America Clinical Practice Guidelines: Treatment of Drug-Susc</w:t>
      </w:r>
      <w:r w:rsidRPr="00C1463E">
        <w:rPr>
          <w:rFonts w:ascii="Tahoma" w:hAnsi="Tahoma"/>
          <w:sz w:val="16"/>
        </w:rPr>
        <w:t>eptible Tuberculosis. Clin Infect Dis. 2016;63(7):e147-e195.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20.</w:t>
      </w:r>
      <w:r w:rsidRPr="00C1463E">
        <w:tab/>
      </w:r>
      <w:r w:rsidRPr="00C1463E">
        <w:rPr>
          <w:rFonts w:ascii="Tahoma" w:hAnsi="Tahoma"/>
          <w:sz w:val="16"/>
        </w:rPr>
        <w:t>Sotgiu G, Nahid P, Loddenkemper R, Abubakar I, Miravitlles M, Migliori GB. The ERS-endorsed official ATS/CDC/IDSA clinical practice guidelines on treatment of drug-susceptible tuberculosis. E</w:t>
      </w:r>
      <w:r w:rsidRPr="00C1463E">
        <w:rPr>
          <w:rFonts w:ascii="Tahoma" w:hAnsi="Tahoma"/>
          <w:sz w:val="16"/>
        </w:rPr>
        <w:t>ur Respir J. 2016;48(4):963-971.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21.</w:t>
      </w:r>
      <w:r w:rsidRPr="00C1463E">
        <w:tab/>
      </w:r>
      <w:r w:rsidRPr="00C1463E">
        <w:rPr>
          <w:rFonts w:ascii="Tahoma" w:hAnsi="Tahoma"/>
          <w:sz w:val="16"/>
        </w:rPr>
        <w:t>Falzon D, Jaramillo E, Schunemann HJ, Arentz M, Bauer M, Bayona J, et al. WHO guidelines for the programmatic management of drug-resistant tuberculosis: 2011 update. Eur Respir J. 2011;38(3):516-528.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22.</w:t>
      </w:r>
      <w:r w:rsidRPr="00C1463E">
        <w:tab/>
      </w:r>
      <w:r w:rsidRPr="00C1463E">
        <w:rPr>
          <w:rFonts w:ascii="Tahoma" w:hAnsi="Tahoma"/>
          <w:sz w:val="16"/>
        </w:rPr>
        <w:t>Mitnick CD, Whi</w:t>
      </w:r>
      <w:r w:rsidRPr="00C1463E">
        <w:rPr>
          <w:rFonts w:ascii="Tahoma" w:hAnsi="Tahoma"/>
          <w:sz w:val="16"/>
        </w:rPr>
        <w:t>te RA, Lu C, Rodriguez CA, Bayona J, Becerra MC, et al. on behalf of the Collaborative Group for Analysis of Bacteriology Data in MDRTBT. Multidrug-resistant tuberculosis treatment failure detection depends on monitoring interval and microbiological method</w:t>
      </w:r>
      <w:r w:rsidRPr="00C1463E">
        <w:rPr>
          <w:rFonts w:ascii="Tahoma" w:hAnsi="Tahoma"/>
          <w:sz w:val="16"/>
        </w:rPr>
        <w:t>. Eur Respir J. 2016;48(4):1160-1170.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23.</w:t>
      </w:r>
      <w:r w:rsidRPr="00C1463E">
        <w:tab/>
      </w:r>
      <w:r w:rsidRPr="00C1463E">
        <w:rPr>
          <w:rFonts w:ascii="Tahoma" w:hAnsi="Tahoma"/>
          <w:sz w:val="16"/>
        </w:rPr>
        <w:t>World Health Organization. WHO treatment guidelines for drug-resistant tuberculosis: 2016 update. Geneva: World Health Organization; 2016.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24.</w:t>
      </w:r>
      <w:r w:rsidRPr="00C1463E">
        <w:tab/>
      </w:r>
      <w:r w:rsidRPr="00C1463E">
        <w:rPr>
          <w:rFonts w:ascii="Tahoma" w:hAnsi="Tahoma"/>
          <w:sz w:val="16"/>
        </w:rPr>
        <w:t>World Health Organization. Guidelines for treatment of drug-susceptible</w:t>
      </w:r>
      <w:r w:rsidRPr="00C1463E">
        <w:rPr>
          <w:rFonts w:ascii="Tahoma" w:hAnsi="Tahoma"/>
          <w:sz w:val="16"/>
        </w:rPr>
        <w:t xml:space="preserve"> tuberculosis and patient care, 2017 update. Geneva: World Health Organization; 2017.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25.</w:t>
      </w:r>
      <w:r w:rsidRPr="00C1463E">
        <w:tab/>
      </w:r>
      <w:r w:rsidRPr="00C1463E">
        <w:rPr>
          <w:rFonts w:ascii="Tahoma" w:hAnsi="Tahoma"/>
          <w:sz w:val="16"/>
        </w:rPr>
        <w:t>Falzon D, Schunemann HJ, Harausz E, Gonzalez-Angulo L, Lienhardt C, Jaramillo E, et al. World Health Organization treatment guidelines for drug-resistant tuberculosis</w:t>
      </w:r>
      <w:r w:rsidRPr="00C1463E">
        <w:rPr>
          <w:rFonts w:ascii="Tahoma" w:hAnsi="Tahoma"/>
          <w:sz w:val="16"/>
        </w:rPr>
        <w:t>, 2016 update. Eur Respir J. 2017;49(3).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26.</w:t>
      </w:r>
      <w:r w:rsidRPr="00C1463E">
        <w:tab/>
      </w:r>
      <w:r w:rsidRPr="00C1463E">
        <w:rPr>
          <w:rFonts w:ascii="Tahoma" w:hAnsi="Tahoma"/>
          <w:sz w:val="16"/>
        </w:rPr>
        <w:t>van der Werf MJ, Kodmon C, Dara M, Catchpole M. Shorter regimens for multidrug-resistant tuberculosis should also be applicable in Europe. Eur Respir J 2017;49(6).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27.</w:t>
      </w:r>
      <w:r w:rsidRPr="00C1463E">
        <w:tab/>
      </w:r>
      <w:r w:rsidRPr="00C1463E">
        <w:rPr>
          <w:rFonts w:ascii="Tahoma" w:hAnsi="Tahoma"/>
          <w:sz w:val="16"/>
        </w:rPr>
        <w:t xml:space="preserve">Caminero JA, Piubello A, Scardigli A, </w:t>
      </w:r>
      <w:r w:rsidRPr="00C1463E">
        <w:rPr>
          <w:rFonts w:ascii="Tahoma" w:hAnsi="Tahoma"/>
          <w:sz w:val="16"/>
        </w:rPr>
        <w:t>Migliori GB. Proposal for a standardised treatment regimen to manage pre- and extensively drug-resistant tuberculosis cases. Eur Respir J. 2017;50(1).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28.</w:t>
      </w:r>
      <w:r w:rsidRPr="00C1463E">
        <w:tab/>
      </w:r>
      <w:r w:rsidRPr="00C1463E">
        <w:rPr>
          <w:rFonts w:ascii="Tahoma" w:hAnsi="Tahoma"/>
          <w:sz w:val="16"/>
        </w:rPr>
        <w:t>Esposito S, D'Ambrosio L, Tadolini M, Schaaf HS, Caminero Luna J, Marais B, et al. ERS/WHO Tuberculos</w:t>
      </w:r>
      <w:r w:rsidRPr="00C1463E">
        <w:rPr>
          <w:rFonts w:ascii="Tahoma" w:hAnsi="Tahoma"/>
          <w:sz w:val="16"/>
        </w:rPr>
        <w:t>is Consilium assistance with extensively drug-resistant tuberculosis management in a child: case study of compassionate delamanid use. Eur Respir J. 2014;44(3):811-815.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29.</w:t>
      </w:r>
      <w:r w:rsidRPr="00C1463E">
        <w:tab/>
      </w:r>
      <w:r w:rsidRPr="00C1463E">
        <w:rPr>
          <w:rFonts w:ascii="Tahoma" w:hAnsi="Tahoma"/>
          <w:sz w:val="16"/>
        </w:rPr>
        <w:t>Borisov SE, Dheda K, Enwerem M, Romero Leyet R, D'Ambrosio L, Centis R, et al. Effe</w:t>
      </w:r>
      <w:r w:rsidRPr="00C1463E">
        <w:rPr>
          <w:rFonts w:ascii="Tahoma" w:hAnsi="Tahoma"/>
          <w:sz w:val="16"/>
        </w:rPr>
        <w:t>ctiveness and safety of bedaquiline-containing regimens in the treatment of MDR- and XDR-TB: a multicentre study. Eur Respir J. 2017;49(5).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30.</w:t>
      </w:r>
      <w:r w:rsidRPr="00C1463E">
        <w:tab/>
      </w:r>
      <w:r w:rsidRPr="00C1463E">
        <w:rPr>
          <w:rFonts w:ascii="Tahoma" w:hAnsi="Tahoma"/>
          <w:sz w:val="16"/>
        </w:rPr>
        <w:t>Blasi F, Dara M, van der Werf MJ, Migliori GB. Supporting TB clinicians managing difficult cases: the ERS/WHO Co</w:t>
      </w:r>
      <w:r w:rsidRPr="00C1463E">
        <w:rPr>
          <w:rFonts w:ascii="Tahoma" w:hAnsi="Tahoma"/>
          <w:sz w:val="16"/>
        </w:rPr>
        <w:t>nsilium. Eur Respir J. 2013;41(3):491-494.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31.</w:t>
      </w:r>
      <w:r w:rsidRPr="00C1463E">
        <w:tab/>
      </w:r>
      <w:r w:rsidRPr="00C1463E">
        <w:rPr>
          <w:rFonts w:ascii="Tahoma" w:hAnsi="Tahoma"/>
          <w:sz w:val="16"/>
        </w:rPr>
        <w:t>Tadolini M, Garcia-Prats AJ, D'Ambrosio L, Hewison C, Centis R, Schaaf HS, et al. Compassionate use of new drugs in children and adolescents with multidrug-resistant and extensively drug-resistant tuberculosis</w:t>
      </w:r>
      <w:r w:rsidRPr="00C1463E">
        <w:rPr>
          <w:rFonts w:ascii="Tahoma" w:hAnsi="Tahoma"/>
          <w:sz w:val="16"/>
        </w:rPr>
        <w:t>: early experiences and challenges. Eur Respir J. 2016;48(3):938-943.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32.</w:t>
      </w:r>
      <w:r w:rsidRPr="00C1463E">
        <w:tab/>
      </w:r>
      <w:r w:rsidRPr="00C1463E">
        <w:rPr>
          <w:rFonts w:ascii="Tahoma" w:hAnsi="Tahoma"/>
          <w:sz w:val="16"/>
        </w:rPr>
        <w:t xml:space="preserve">Lange C, Abubakar I, Alffenaar JW, Bothamley G, Caminero JA, Carvalho AC, et al. Management of patients with multidrug-resistant/extensively drug-resistant tuberculosis in Europe: a </w:t>
      </w:r>
      <w:r w:rsidRPr="00C1463E">
        <w:rPr>
          <w:rFonts w:ascii="Tahoma" w:hAnsi="Tahoma"/>
          <w:sz w:val="16"/>
        </w:rPr>
        <w:t>TBNET consensus statement. Eur Respir J. 2014;44(1):23-63.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33.</w:t>
      </w:r>
      <w:r w:rsidRPr="00C1463E">
        <w:tab/>
      </w:r>
      <w:r w:rsidRPr="00C1463E">
        <w:rPr>
          <w:rFonts w:ascii="Tahoma" w:hAnsi="Tahoma"/>
          <w:sz w:val="16"/>
        </w:rPr>
        <w:t>Caminero JA. Management of multidrug-resistant tuberculosis and patients in retreatment. Eur Respir J. 2005;25(5):928-936.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34.</w:t>
      </w:r>
      <w:r w:rsidRPr="00C1463E">
        <w:tab/>
      </w:r>
      <w:r w:rsidRPr="00C1463E">
        <w:rPr>
          <w:rFonts w:ascii="Tahoma" w:hAnsi="Tahoma"/>
          <w:sz w:val="16"/>
        </w:rPr>
        <w:t>World Health Organization. WHO policy on collaborative TB/HIV acti</w:t>
      </w:r>
      <w:r w:rsidRPr="00C1463E">
        <w:rPr>
          <w:rFonts w:ascii="Tahoma" w:hAnsi="Tahoma"/>
          <w:sz w:val="16"/>
        </w:rPr>
        <w:t>vities: guidelines for national programmes and other stakeholders. Geneva: World Health Organization; 2012.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35.</w:t>
      </w:r>
      <w:r w:rsidRPr="00C1463E">
        <w:tab/>
      </w:r>
      <w:r w:rsidRPr="00C1463E">
        <w:rPr>
          <w:rFonts w:ascii="Tahoma" w:hAnsi="Tahoma"/>
          <w:sz w:val="16"/>
        </w:rPr>
        <w:t>European Centre for Disease Prevention and Control. Management of contacts of MDRTB and XDR TB patients. Stockholm: ECDC; 2012.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36.</w:t>
      </w:r>
      <w:r w:rsidRPr="00C1463E">
        <w:tab/>
      </w:r>
      <w:r w:rsidRPr="00C1463E">
        <w:rPr>
          <w:rFonts w:ascii="Tahoma" w:hAnsi="Tahoma"/>
          <w:sz w:val="16"/>
        </w:rPr>
        <w:t>World Health</w:t>
      </w:r>
      <w:r w:rsidRPr="00C1463E">
        <w:rPr>
          <w:rFonts w:ascii="Tahoma" w:hAnsi="Tahoma"/>
          <w:sz w:val="16"/>
        </w:rPr>
        <w:t xml:space="preserve"> Organization. Guidelines on the management of latent tuberculosis infection. 2015.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37.</w:t>
      </w:r>
      <w:r w:rsidRPr="00C1463E">
        <w:tab/>
      </w:r>
      <w:r w:rsidRPr="00C1463E">
        <w:rPr>
          <w:rFonts w:ascii="Tahoma" w:hAnsi="Tahoma"/>
          <w:sz w:val="16"/>
        </w:rPr>
        <w:t>Zenner D, Beer N, Harris RJ, Lipman MC, Stagg HR, van der Werf MJ. Treatment of Latent Tuberculosis Infection: An Updated Network Meta-analysis. Ann Intern Med. 2017;16</w:t>
      </w:r>
      <w:r w:rsidRPr="00C1463E">
        <w:rPr>
          <w:rFonts w:ascii="Tahoma" w:hAnsi="Tahoma"/>
          <w:sz w:val="16"/>
        </w:rPr>
        <w:t>7(4):248-255.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38.</w:t>
      </w:r>
      <w:r w:rsidRPr="00C1463E">
        <w:tab/>
      </w:r>
      <w:r w:rsidRPr="00C1463E">
        <w:rPr>
          <w:rFonts w:ascii="Tahoma" w:hAnsi="Tahoma"/>
          <w:sz w:val="16"/>
        </w:rPr>
        <w:t>Getahun H, Matteelli A, Abubakar I, Aziz MA, Baddeley A, Barreira D, et al. Management of latent Mycobacterium tuberculosis infection: WHO guidelines for low tuberculosis burden countries. Eur Respir J. 2015;46(6):1563-1576.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39.</w:t>
      </w:r>
      <w:r w:rsidRPr="00C1463E">
        <w:tab/>
      </w:r>
      <w:r w:rsidRPr="00C1463E">
        <w:rPr>
          <w:rFonts w:ascii="Tahoma" w:hAnsi="Tahoma"/>
          <w:sz w:val="16"/>
        </w:rPr>
        <w:t xml:space="preserve">Creswell </w:t>
      </w:r>
      <w:r w:rsidRPr="00C1463E">
        <w:rPr>
          <w:rFonts w:ascii="Tahoma" w:hAnsi="Tahoma"/>
          <w:sz w:val="16"/>
        </w:rPr>
        <w:t>J, Raviglione M, Ottmani S, Migliori GB, Uplekar M, Blanc L, et al. Tuberculosis and noncommunicable diseases: neglected links and missed opportunities. Eur Respir J. 2011;37(5):1269-1282.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40.</w:t>
      </w:r>
      <w:r w:rsidRPr="00C1463E">
        <w:tab/>
      </w:r>
      <w:r w:rsidRPr="00C1463E">
        <w:rPr>
          <w:rFonts w:ascii="Tahoma" w:hAnsi="Tahoma"/>
          <w:sz w:val="16"/>
        </w:rPr>
        <w:t>Erkens CG, Kamphorst M, Abubakar I, Bothamley GH, Chemtob D, Ha</w:t>
      </w:r>
      <w:r w:rsidRPr="00C1463E">
        <w:rPr>
          <w:rFonts w:ascii="Tahoma" w:hAnsi="Tahoma"/>
          <w:sz w:val="16"/>
        </w:rPr>
        <w:t>as W, et al. Tuberculosis contact investigation in low prevalence countries: a European consensus. Eur Respir J. 2010;36(4):925-949.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41.</w:t>
      </w:r>
      <w:r w:rsidRPr="00C1463E">
        <w:tab/>
      </w:r>
      <w:r w:rsidRPr="00C1463E">
        <w:rPr>
          <w:rFonts w:ascii="Tahoma" w:hAnsi="Tahoma"/>
          <w:sz w:val="16"/>
        </w:rPr>
        <w:t>Luzzati R, Migliori G, Zignol M, Cirillo D, Maschi M, Tominz R, et al. Children under 5 years are at risk for tuberculo</w:t>
      </w:r>
      <w:r w:rsidRPr="00C1463E">
        <w:rPr>
          <w:rFonts w:ascii="Tahoma" w:hAnsi="Tahoma"/>
          <w:sz w:val="16"/>
        </w:rPr>
        <w:t>sis after occasional contact with highly contagious patients: an out-patient outbreak from a smear positive health care worker. Eur Respir J. 2017;In press.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42.</w:t>
      </w:r>
      <w:r w:rsidRPr="00C1463E">
        <w:tab/>
      </w:r>
      <w:r w:rsidRPr="00C1463E">
        <w:rPr>
          <w:rFonts w:ascii="Tahoma" w:hAnsi="Tahoma"/>
          <w:sz w:val="16"/>
        </w:rPr>
        <w:t>European Centre for Disease Prevention and Control. Guidance on tuberculosis control in vulnera</w:t>
      </w:r>
      <w:r w:rsidRPr="00C1463E">
        <w:rPr>
          <w:rFonts w:ascii="Tahoma" w:hAnsi="Tahoma"/>
          <w:sz w:val="16"/>
        </w:rPr>
        <w:t>ble and hard-to-reach populations. Stockholm: ECDC; 2016.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43.</w:t>
      </w:r>
      <w:r w:rsidRPr="00C1463E">
        <w:tab/>
      </w:r>
      <w:r w:rsidRPr="00C1463E">
        <w:rPr>
          <w:rFonts w:ascii="Tahoma" w:hAnsi="Tahoma"/>
          <w:sz w:val="16"/>
        </w:rPr>
        <w:t>National Instititute for Health and Care Excellence. Tuberculosis (NG33). London: NICE; 2016.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44.</w:t>
      </w:r>
      <w:r w:rsidRPr="00C1463E">
        <w:tab/>
      </w:r>
      <w:r w:rsidRPr="00C1463E">
        <w:rPr>
          <w:rFonts w:ascii="Tahoma" w:hAnsi="Tahoma"/>
          <w:sz w:val="16"/>
        </w:rPr>
        <w:t xml:space="preserve">Dara M, de Colombani P, Petrova-Benedict R, Centis R, Zellweger JP, Sandgren A, et al. Wolfheze </w:t>
      </w:r>
      <w:r w:rsidRPr="00C1463E">
        <w:rPr>
          <w:rFonts w:ascii="Tahoma" w:hAnsi="Tahoma"/>
          <w:sz w:val="16"/>
        </w:rPr>
        <w:t>Transborder Migration Task F. Minimum package for cross-border TB control and care in the WHO European region: a Wolfheze consensus statement. Eur Respir J. 2012;40(5):1081-1090.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45.</w:t>
      </w:r>
      <w:r w:rsidRPr="00C1463E">
        <w:tab/>
      </w:r>
      <w:r w:rsidRPr="00C1463E">
        <w:rPr>
          <w:rFonts w:ascii="Tahoma" w:hAnsi="Tahoma"/>
          <w:sz w:val="16"/>
        </w:rPr>
        <w:t xml:space="preserve">Leung CC, Rieder HL, Lange C, Yew WW. Treatment of latent infection with </w:t>
      </w:r>
      <w:r w:rsidRPr="00C1463E">
        <w:rPr>
          <w:rFonts w:ascii="Tahoma" w:hAnsi="Tahoma"/>
          <w:sz w:val="16"/>
        </w:rPr>
        <w:t>Mycobacterium tuberculosis: update 2010. Eur Respir J. 2011;37(3):690-711.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46.</w:t>
      </w:r>
      <w:r w:rsidRPr="00C1463E">
        <w:tab/>
      </w:r>
      <w:r w:rsidRPr="00C1463E">
        <w:rPr>
          <w:rFonts w:ascii="Tahoma" w:hAnsi="Tahoma"/>
          <w:sz w:val="16"/>
        </w:rPr>
        <w:t>Woldehanna S, Volmink J. Treatment of latent tuberculosis infection in HIV infected persons. The Cochrane database of systematic reviews. 2004(1):Cd000171.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47.</w:t>
      </w:r>
      <w:r w:rsidRPr="00C1463E">
        <w:tab/>
      </w:r>
      <w:r w:rsidRPr="00C1463E">
        <w:rPr>
          <w:rFonts w:ascii="Tahoma" w:hAnsi="Tahoma"/>
          <w:sz w:val="16"/>
        </w:rPr>
        <w:t>European Centre f</w:t>
      </w:r>
      <w:r w:rsidRPr="00C1463E">
        <w:rPr>
          <w:rFonts w:ascii="Tahoma" w:hAnsi="Tahoma"/>
          <w:sz w:val="16"/>
        </w:rPr>
        <w:t>or Disease Prevention and Control. Investigation and control of tuberculosis incidents affecting children in congregate settings. Stockholm: ECDC; 2013.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48.</w:t>
      </w:r>
      <w:r w:rsidRPr="00C1463E">
        <w:tab/>
      </w:r>
      <w:r w:rsidRPr="00C1463E">
        <w:rPr>
          <w:rFonts w:ascii="Tahoma" w:hAnsi="Tahoma"/>
          <w:sz w:val="16"/>
        </w:rPr>
        <w:t>Mack U, Migliori GB, Sester M, Rieder HL, Ehlers S, Goletti D, et al. Tbnet. LTBI: latent tuberculo</w:t>
      </w:r>
      <w:r w:rsidRPr="00C1463E">
        <w:rPr>
          <w:rFonts w:ascii="Tahoma" w:hAnsi="Tahoma"/>
          <w:sz w:val="16"/>
        </w:rPr>
        <w:t>sis infection or lasting immune responses to M. tuberculosis? A TBNET consensus statement. Eur Respir J. 2009;33(5):956-973.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49.</w:t>
      </w:r>
      <w:r w:rsidRPr="00C1463E">
        <w:tab/>
      </w:r>
      <w:r w:rsidRPr="00C1463E">
        <w:rPr>
          <w:rFonts w:ascii="Tahoma" w:hAnsi="Tahoma"/>
          <w:sz w:val="16"/>
        </w:rPr>
        <w:t>Lange C, Rieder HL. Intention to test is intention to treat. Am J Respir Crit Care Med. 2011;183(1):3-4.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50.</w:t>
      </w:r>
      <w:r w:rsidRPr="00C1463E">
        <w:tab/>
      </w:r>
      <w:r w:rsidRPr="00C1463E">
        <w:rPr>
          <w:rFonts w:ascii="Tahoma" w:hAnsi="Tahoma"/>
          <w:sz w:val="16"/>
        </w:rPr>
        <w:t xml:space="preserve">World Health </w:t>
      </w:r>
      <w:r w:rsidRPr="00C1463E">
        <w:rPr>
          <w:rFonts w:ascii="Tahoma" w:hAnsi="Tahoma"/>
          <w:sz w:val="16"/>
        </w:rPr>
        <w:t>Organization. WHO policy on TB infection control in health - care facilities, congregate settings and households. Geneva: World Health Organization; 2009.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51.</w:t>
      </w:r>
      <w:r w:rsidRPr="00C1463E">
        <w:tab/>
      </w:r>
      <w:r w:rsidRPr="00C1463E">
        <w:rPr>
          <w:rFonts w:ascii="Tahoma" w:hAnsi="Tahoma"/>
          <w:sz w:val="16"/>
        </w:rPr>
        <w:t>Sotgiu G, D'Ambrosio L, Centis R, Bothamley G, Cirillo DM, De Lorenzo S, et al. TB and M/XDR-TB i</w:t>
      </w:r>
      <w:r w:rsidRPr="00C1463E">
        <w:rPr>
          <w:rFonts w:ascii="Tahoma" w:hAnsi="Tahoma"/>
          <w:sz w:val="16"/>
        </w:rPr>
        <w:t>nfection control in European TB reference centres: the Achilles' heel? Eur Respir J. 2011;38(5):1221-1223.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52.</w:t>
      </w:r>
      <w:r w:rsidRPr="00C1463E">
        <w:tab/>
      </w:r>
      <w:r w:rsidRPr="00C1463E">
        <w:rPr>
          <w:rFonts w:ascii="Tahoma" w:hAnsi="Tahoma"/>
          <w:sz w:val="16"/>
        </w:rPr>
        <w:t>Matteelli A, Centis R, D'Ambrosio L, Sotgiu G, Tadolini M, Pontali E, et al. WHO strategies for the programmatic management of drug-resistant tub</w:t>
      </w:r>
      <w:r w:rsidRPr="00C1463E">
        <w:rPr>
          <w:rFonts w:ascii="Tahoma" w:hAnsi="Tahoma"/>
          <w:sz w:val="16"/>
        </w:rPr>
        <w:t>erculosis. Expert Rev Respir Med. 2016;10(9):991-1002.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53.</w:t>
      </w:r>
      <w:r w:rsidRPr="00C1463E">
        <w:tab/>
      </w:r>
      <w:r w:rsidRPr="00C1463E">
        <w:rPr>
          <w:rFonts w:ascii="Tahoma" w:hAnsi="Tahoma"/>
          <w:sz w:val="16"/>
        </w:rPr>
        <w:t>Laserson KF, Thorpe LE, Leimane V, Weyer K, Mitnick CD, Riekstina V, et al. Speaking the same language: treatment outcome definitions for multidrug-resistant tuberculosis. Int J Tuberc Lung Dis. 20</w:t>
      </w:r>
      <w:r w:rsidRPr="00C1463E">
        <w:rPr>
          <w:rFonts w:ascii="Tahoma" w:hAnsi="Tahoma"/>
          <w:sz w:val="16"/>
        </w:rPr>
        <w:t>05;9(6):640-645.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54.</w:t>
      </w:r>
      <w:r w:rsidRPr="00C1463E">
        <w:tab/>
      </w:r>
      <w:r w:rsidRPr="00C1463E">
        <w:rPr>
          <w:rFonts w:ascii="Tahoma" w:hAnsi="Tahoma"/>
          <w:sz w:val="16"/>
        </w:rPr>
        <w:t>European Centre for Disease Prevention and Control, World Health Organization. Regional Office for Europe. Tuberculosis surveillance and monitoring in Europe: 2017. Stockholm: ECDC; 2017. Available from: http://dx.doi.org/10.2900/2767.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55.</w:t>
      </w:r>
      <w:r w:rsidRPr="00C1463E">
        <w:tab/>
      </w:r>
      <w:r w:rsidRPr="00C1463E">
        <w:rPr>
          <w:rFonts w:ascii="Tahoma" w:hAnsi="Tahoma"/>
          <w:sz w:val="16"/>
        </w:rPr>
        <w:t>Mor Z, Migliori GB, Althomsons SP, Loddenkemper R, Trnka L, Iademarco MF. Comparison of tuberculosis surveillance systems in low-incidence industrialised countries. Eur Respir J. 2008;32(6):1616-1624.</w:t>
      </w:r>
    </w:p>
    <w:p w:rsidR="00DA3A70" w:rsidRPr="00C1463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1463E">
        <w:rPr>
          <w:rFonts w:ascii="Tahoma" w:hAnsi="Tahoma"/>
          <w:sz w:val="16"/>
        </w:rPr>
        <w:t>56.</w:t>
      </w:r>
      <w:r w:rsidRPr="00C1463E">
        <w:tab/>
      </w:r>
      <w:r w:rsidRPr="00C1463E">
        <w:rPr>
          <w:rFonts w:ascii="Tahoma" w:hAnsi="Tahoma"/>
          <w:sz w:val="16"/>
        </w:rPr>
        <w:t xml:space="preserve">Uplekar M, Atre S, Wells WA, Weil D, Lopez R, </w:t>
      </w:r>
      <w:r w:rsidRPr="00C1463E">
        <w:rPr>
          <w:rFonts w:ascii="Tahoma" w:hAnsi="Tahoma"/>
          <w:sz w:val="16"/>
        </w:rPr>
        <w:t>Migliori G, et al. Mandatory tuberculosis case notification in high tuberculosis-incidence countries: policy and practices. Eur Respir J. 2016(48):1571-1581.</w:t>
      </w:r>
    </w:p>
    <w:p w:rsidR="008B2FFB" w:rsidRPr="00C1463E" w:rsidP="0028467E">
      <w:pPr>
        <w:pStyle w:val="EndNoteBibliography"/>
        <w:ind w:left="426" w:hanging="426"/>
        <w:jc w:val="left"/>
      </w:pPr>
      <w:r w:rsidRPr="00C1463E">
        <w:rPr>
          <w:rFonts w:ascii="Tahoma" w:hAnsi="Tahoma"/>
          <w:sz w:val="16"/>
        </w:rPr>
        <w:t>57.</w:t>
      </w:r>
      <w:r w:rsidRPr="00C1463E">
        <w:tab/>
      </w:r>
      <w:r w:rsidRPr="00C1463E">
        <w:rPr>
          <w:rFonts w:ascii="Tahoma" w:hAnsi="Tahoma"/>
          <w:sz w:val="16"/>
        </w:rPr>
        <w:t>Heldal E, Kuyvenhoven JV, Wares F, Migliori GB, Ditiu L, Fernandez de la Hoz K, et al. Diagnos</w:t>
      </w:r>
      <w:r w:rsidRPr="00C1463E">
        <w:rPr>
          <w:rFonts w:ascii="Tahoma" w:hAnsi="Tahoma"/>
          <w:sz w:val="16"/>
        </w:rPr>
        <w:t>is and treatment of tuberculosis in undocumented migrants in low- or intermediate-incidence countries. Int J Tuberc Lung Dis. 2008;12(8):878-888.</w:t>
      </w:r>
    </w:p>
    <w:sectPr w:rsidSect="000D0DB0">
      <w:footerReference w:type="default" r:id="rId5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C94" w:rsidRPr="00847A9F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974C94" w:rsidRPr="00847A9F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- </w:t>
    </w:r>
    <w:r w:rsidRPr="00847A9F">
      <w:rPr>
        <w:rFonts w:ascii="Arial" w:hAnsi="Arial" w:cs="Arial"/>
        <w:sz w:val="20"/>
        <w:szCs w:val="20"/>
      </w:rPr>
      <w:fldChar w:fldCharType="begin"/>
    </w:r>
    <w:r w:rsidRPr="00847A9F">
      <w:rPr>
        <w:rFonts w:ascii="Arial" w:hAnsi="Arial" w:cs="Arial"/>
        <w:sz w:val="20"/>
        <w:szCs w:val="20"/>
      </w:rPr>
      <w:instrText xml:space="preserve"> PAGE   \* MERGEFORMAT </w:instrText>
    </w:r>
    <w:r w:rsidRPr="00847A9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7A9F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C0C01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9E6C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9EEE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2D86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70AA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0443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2082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8666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F407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E4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75C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155751"/>
    <w:multiLevelType w:val="hybridMultilevel"/>
    <w:tmpl w:val="B3A8BCD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55784F"/>
    <w:multiLevelType w:val="hybridMultilevel"/>
    <w:tmpl w:val="81F29F4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5302E4"/>
    <w:multiLevelType w:val="hybridMultilevel"/>
    <w:tmpl w:val="40FA02F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A1D1C"/>
    <w:multiLevelType w:val="hybridMultilevel"/>
    <w:tmpl w:val="D9367C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F70A20"/>
    <w:multiLevelType w:val="hybridMultilevel"/>
    <w:tmpl w:val="3AD68A9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180650"/>
    <w:multiLevelType w:val="hybridMultilevel"/>
    <w:tmpl w:val="C2165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441C"/>
    <w:multiLevelType w:val="hybridMultilevel"/>
    <w:tmpl w:val="6BCC0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A11B89"/>
    <w:multiLevelType w:val="hybridMultilevel"/>
    <w:tmpl w:val="ECD6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53C81"/>
    <w:multiLevelType w:val="hybridMultilevel"/>
    <w:tmpl w:val="B4BC1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C051EA"/>
    <w:multiLevelType w:val="hybridMultilevel"/>
    <w:tmpl w:val="709CAB6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43C67"/>
    <w:multiLevelType w:val="hybridMultilevel"/>
    <w:tmpl w:val="B9D8218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A277D"/>
    <w:multiLevelType w:val="hybridMultilevel"/>
    <w:tmpl w:val="58A2B9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C1440"/>
    <w:multiLevelType w:val="hybridMultilevel"/>
    <w:tmpl w:val="43F80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55F88"/>
    <w:multiLevelType w:val="hybridMultilevel"/>
    <w:tmpl w:val="74DA41A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7577DC4"/>
    <w:multiLevelType w:val="hybridMultilevel"/>
    <w:tmpl w:val="6DC476D2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B5821"/>
    <w:multiLevelType w:val="hybridMultilevel"/>
    <w:tmpl w:val="F00CB6B6"/>
    <w:lvl w:ilvl="0">
      <w:start w:val="1"/>
      <w:numFmt w:val="decimal"/>
      <w:pStyle w:val="Paragrafoelenco1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aps w:val="0"/>
        <w:color w:val="auto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85BAD"/>
    <w:multiLevelType w:val="hybridMultilevel"/>
    <w:tmpl w:val="902A218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7867A3"/>
    <w:multiLevelType w:val="hybridMultilevel"/>
    <w:tmpl w:val="F15E2EA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4432E"/>
    <w:multiLevelType w:val="hybridMultilevel"/>
    <w:tmpl w:val="8A7EA14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F7A9A"/>
    <w:multiLevelType w:val="hybridMultilevel"/>
    <w:tmpl w:val="83FCF3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564D6"/>
    <w:multiLevelType w:val="hybridMultilevel"/>
    <w:tmpl w:val="D26AC7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5"/>
  </w:num>
  <w:num w:numId="4">
    <w:abstractNumId w:val="20"/>
  </w:num>
  <w:num w:numId="5">
    <w:abstractNumId w:val="12"/>
  </w:num>
  <w:num w:numId="6">
    <w:abstractNumId w:val="11"/>
  </w:num>
  <w:num w:numId="7">
    <w:abstractNumId w:val="2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9"/>
  </w:num>
  <w:num w:numId="19">
    <w:abstractNumId w:val="24"/>
  </w:num>
  <w:num w:numId="20">
    <w:abstractNumId w:val="19"/>
  </w:num>
  <w:num w:numId="21">
    <w:abstractNumId w:val="22"/>
  </w:num>
  <w:num w:numId="22">
    <w:abstractNumId w:val="30"/>
  </w:num>
  <w:num w:numId="23">
    <w:abstractNumId w:val="25"/>
  </w:num>
  <w:num w:numId="24">
    <w:abstractNumId w:val="0"/>
  </w:num>
  <w:num w:numId="25">
    <w:abstractNumId w:val="14"/>
  </w:num>
  <w:num w:numId="26">
    <w:abstractNumId w:val="18"/>
  </w:num>
  <w:num w:numId="27">
    <w:abstractNumId w:val="17"/>
  </w:num>
  <w:num w:numId="28">
    <w:abstractNumId w:val="27"/>
  </w:num>
  <w:num w:numId="29">
    <w:abstractNumId w:val="23"/>
  </w:num>
  <w:num w:numId="30">
    <w:abstractNumId w:val="13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70"/>
    <w:rsid w:val="00000350"/>
    <w:rsid w:val="000026F4"/>
    <w:rsid w:val="00002EF3"/>
    <w:rsid w:val="000034CF"/>
    <w:rsid w:val="000071D2"/>
    <w:rsid w:val="000124B6"/>
    <w:rsid w:val="00012ADD"/>
    <w:rsid w:val="00014162"/>
    <w:rsid w:val="0001487C"/>
    <w:rsid w:val="00024F83"/>
    <w:rsid w:val="00026A77"/>
    <w:rsid w:val="000279A6"/>
    <w:rsid w:val="00032C1C"/>
    <w:rsid w:val="0003464B"/>
    <w:rsid w:val="000347EA"/>
    <w:rsid w:val="00037B0F"/>
    <w:rsid w:val="00041534"/>
    <w:rsid w:val="0004182E"/>
    <w:rsid w:val="00042858"/>
    <w:rsid w:val="000466F2"/>
    <w:rsid w:val="000479A2"/>
    <w:rsid w:val="00052E50"/>
    <w:rsid w:val="00053CE8"/>
    <w:rsid w:val="00054BA2"/>
    <w:rsid w:val="00055EC2"/>
    <w:rsid w:val="00056E42"/>
    <w:rsid w:val="000606C7"/>
    <w:rsid w:val="000634B3"/>
    <w:rsid w:val="00067414"/>
    <w:rsid w:val="0007118B"/>
    <w:rsid w:val="00071A2E"/>
    <w:rsid w:val="00071CA9"/>
    <w:rsid w:val="000726E4"/>
    <w:rsid w:val="00073EA2"/>
    <w:rsid w:val="000740EA"/>
    <w:rsid w:val="000753CB"/>
    <w:rsid w:val="00083CEE"/>
    <w:rsid w:val="000840C5"/>
    <w:rsid w:val="000872D3"/>
    <w:rsid w:val="00090759"/>
    <w:rsid w:val="00091034"/>
    <w:rsid w:val="00093100"/>
    <w:rsid w:val="00093675"/>
    <w:rsid w:val="00094E61"/>
    <w:rsid w:val="000953B5"/>
    <w:rsid w:val="00097EA7"/>
    <w:rsid w:val="000A2B79"/>
    <w:rsid w:val="000A2B9B"/>
    <w:rsid w:val="000A3A87"/>
    <w:rsid w:val="000A3E29"/>
    <w:rsid w:val="000A3F03"/>
    <w:rsid w:val="000A40BC"/>
    <w:rsid w:val="000A60C4"/>
    <w:rsid w:val="000A7B26"/>
    <w:rsid w:val="000B0623"/>
    <w:rsid w:val="000B0CFE"/>
    <w:rsid w:val="000B0D43"/>
    <w:rsid w:val="000B2922"/>
    <w:rsid w:val="000B7864"/>
    <w:rsid w:val="000C1461"/>
    <w:rsid w:val="000C2136"/>
    <w:rsid w:val="000C21E9"/>
    <w:rsid w:val="000C28F4"/>
    <w:rsid w:val="000C3973"/>
    <w:rsid w:val="000C46C9"/>
    <w:rsid w:val="000C4F54"/>
    <w:rsid w:val="000C5921"/>
    <w:rsid w:val="000C5E86"/>
    <w:rsid w:val="000C672A"/>
    <w:rsid w:val="000C6EA1"/>
    <w:rsid w:val="000D0DB0"/>
    <w:rsid w:val="000D1274"/>
    <w:rsid w:val="000D1427"/>
    <w:rsid w:val="000D1B85"/>
    <w:rsid w:val="000D3A2D"/>
    <w:rsid w:val="000D5670"/>
    <w:rsid w:val="000E1278"/>
    <w:rsid w:val="000F23C9"/>
    <w:rsid w:val="000F2946"/>
    <w:rsid w:val="000F2C5B"/>
    <w:rsid w:val="000F4226"/>
    <w:rsid w:val="000F5AA3"/>
    <w:rsid w:val="000F5F9C"/>
    <w:rsid w:val="000F76CA"/>
    <w:rsid w:val="001035A5"/>
    <w:rsid w:val="00110B63"/>
    <w:rsid w:val="00121291"/>
    <w:rsid w:val="00125B6D"/>
    <w:rsid w:val="00126616"/>
    <w:rsid w:val="001269EE"/>
    <w:rsid w:val="001304C7"/>
    <w:rsid w:val="00136802"/>
    <w:rsid w:val="00136E20"/>
    <w:rsid w:val="00136ED6"/>
    <w:rsid w:val="0014061E"/>
    <w:rsid w:val="0014258F"/>
    <w:rsid w:val="00143D62"/>
    <w:rsid w:val="001449C6"/>
    <w:rsid w:val="00146FC2"/>
    <w:rsid w:val="0015365C"/>
    <w:rsid w:val="0015455B"/>
    <w:rsid w:val="00155B28"/>
    <w:rsid w:val="00162F60"/>
    <w:rsid w:val="0016337C"/>
    <w:rsid w:val="00163959"/>
    <w:rsid w:val="00166790"/>
    <w:rsid w:val="00170B6E"/>
    <w:rsid w:val="00171A18"/>
    <w:rsid w:val="00172D5C"/>
    <w:rsid w:val="001730CE"/>
    <w:rsid w:val="001736AD"/>
    <w:rsid w:val="00173820"/>
    <w:rsid w:val="0017517E"/>
    <w:rsid w:val="001752D3"/>
    <w:rsid w:val="00176AC3"/>
    <w:rsid w:val="001771D6"/>
    <w:rsid w:val="001855AB"/>
    <w:rsid w:val="00185AFB"/>
    <w:rsid w:val="00192273"/>
    <w:rsid w:val="00192B0D"/>
    <w:rsid w:val="00193DC5"/>
    <w:rsid w:val="001959C6"/>
    <w:rsid w:val="00196487"/>
    <w:rsid w:val="001A3531"/>
    <w:rsid w:val="001A4728"/>
    <w:rsid w:val="001A4CCF"/>
    <w:rsid w:val="001A5261"/>
    <w:rsid w:val="001B1BA1"/>
    <w:rsid w:val="001B5D93"/>
    <w:rsid w:val="001B6412"/>
    <w:rsid w:val="001B68DA"/>
    <w:rsid w:val="001C393A"/>
    <w:rsid w:val="001C5792"/>
    <w:rsid w:val="001C5873"/>
    <w:rsid w:val="001C6951"/>
    <w:rsid w:val="001C779B"/>
    <w:rsid w:val="001C77C5"/>
    <w:rsid w:val="001D233F"/>
    <w:rsid w:val="001D3415"/>
    <w:rsid w:val="001D515B"/>
    <w:rsid w:val="001D536F"/>
    <w:rsid w:val="001D70E6"/>
    <w:rsid w:val="001E19FE"/>
    <w:rsid w:val="001E20E9"/>
    <w:rsid w:val="001E2F2E"/>
    <w:rsid w:val="001E4CEB"/>
    <w:rsid w:val="001E6775"/>
    <w:rsid w:val="001F10C9"/>
    <w:rsid w:val="001F47EF"/>
    <w:rsid w:val="001F5C22"/>
    <w:rsid w:val="001F6F3E"/>
    <w:rsid w:val="002059D7"/>
    <w:rsid w:val="002076D3"/>
    <w:rsid w:val="0021121E"/>
    <w:rsid w:val="00211980"/>
    <w:rsid w:val="00213427"/>
    <w:rsid w:val="00217017"/>
    <w:rsid w:val="00222311"/>
    <w:rsid w:val="002227A7"/>
    <w:rsid w:val="002250CC"/>
    <w:rsid w:val="0023067B"/>
    <w:rsid w:val="00230B5C"/>
    <w:rsid w:val="0023121D"/>
    <w:rsid w:val="00232D78"/>
    <w:rsid w:val="00232E0C"/>
    <w:rsid w:val="00234417"/>
    <w:rsid w:val="00236007"/>
    <w:rsid w:val="002362B5"/>
    <w:rsid w:val="002377D4"/>
    <w:rsid w:val="00237A50"/>
    <w:rsid w:val="00240F94"/>
    <w:rsid w:val="00242164"/>
    <w:rsid w:val="002425A4"/>
    <w:rsid w:val="00243203"/>
    <w:rsid w:val="00243FFC"/>
    <w:rsid w:val="002444B5"/>
    <w:rsid w:val="00250D1C"/>
    <w:rsid w:val="00251222"/>
    <w:rsid w:val="00251710"/>
    <w:rsid w:val="00251911"/>
    <w:rsid w:val="00251953"/>
    <w:rsid w:val="00251BE7"/>
    <w:rsid w:val="00252ABC"/>
    <w:rsid w:val="00254EDF"/>
    <w:rsid w:val="00256D28"/>
    <w:rsid w:val="00257944"/>
    <w:rsid w:val="00264E5E"/>
    <w:rsid w:val="00267443"/>
    <w:rsid w:val="002701E1"/>
    <w:rsid w:val="0027030B"/>
    <w:rsid w:val="0027045A"/>
    <w:rsid w:val="00270D45"/>
    <w:rsid w:val="00274D20"/>
    <w:rsid w:val="0027624E"/>
    <w:rsid w:val="0027775B"/>
    <w:rsid w:val="00283609"/>
    <w:rsid w:val="0028467E"/>
    <w:rsid w:val="0028626E"/>
    <w:rsid w:val="00287121"/>
    <w:rsid w:val="0029231A"/>
    <w:rsid w:val="002939B8"/>
    <w:rsid w:val="0029556C"/>
    <w:rsid w:val="002961B5"/>
    <w:rsid w:val="00297557"/>
    <w:rsid w:val="0029793E"/>
    <w:rsid w:val="002A11F0"/>
    <w:rsid w:val="002A533F"/>
    <w:rsid w:val="002A5D0B"/>
    <w:rsid w:val="002B346A"/>
    <w:rsid w:val="002B4136"/>
    <w:rsid w:val="002B6751"/>
    <w:rsid w:val="002C278C"/>
    <w:rsid w:val="002C2A75"/>
    <w:rsid w:val="002C5489"/>
    <w:rsid w:val="002C5A7D"/>
    <w:rsid w:val="002C5F15"/>
    <w:rsid w:val="002D0D81"/>
    <w:rsid w:val="002D130E"/>
    <w:rsid w:val="002D2934"/>
    <w:rsid w:val="002D4BDD"/>
    <w:rsid w:val="002D6B2B"/>
    <w:rsid w:val="002E0B13"/>
    <w:rsid w:val="002E4529"/>
    <w:rsid w:val="002E47FD"/>
    <w:rsid w:val="002E5F96"/>
    <w:rsid w:val="002E69D3"/>
    <w:rsid w:val="002E714E"/>
    <w:rsid w:val="002F2A5A"/>
    <w:rsid w:val="002F3F70"/>
    <w:rsid w:val="002F45F2"/>
    <w:rsid w:val="002F4926"/>
    <w:rsid w:val="002F49F5"/>
    <w:rsid w:val="002F623E"/>
    <w:rsid w:val="002F6F3E"/>
    <w:rsid w:val="003003DA"/>
    <w:rsid w:val="003073B3"/>
    <w:rsid w:val="00313CA4"/>
    <w:rsid w:val="00314886"/>
    <w:rsid w:val="00314A47"/>
    <w:rsid w:val="00320170"/>
    <w:rsid w:val="00322570"/>
    <w:rsid w:val="00322F85"/>
    <w:rsid w:val="003247C6"/>
    <w:rsid w:val="00325CF7"/>
    <w:rsid w:val="00327791"/>
    <w:rsid w:val="00327D7E"/>
    <w:rsid w:val="0033246A"/>
    <w:rsid w:val="00332575"/>
    <w:rsid w:val="0033381B"/>
    <w:rsid w:val="00334B37"/>
    <w:rsid w:val="00340B09"/>
    <w:rsid w:val="003450AE"/>
    <w:rsid w:val="00352241"/>
    <w:rsid w:val="00352431"/>
    <w:rsid w:val="00353103"/>
    <w:rsid w:val="0035545C"/>
    <w:rsid w:val="003562DF"/>
    <w:rsid w:val="003571C8"/>
    <w:rsid w:val="00360484"/>
    <w:rsid w:val="00360784"/>
    <w:rsid w:val="00360A97"/>
    <w:rsid w:val="00363A61"/>
    <w:rsid w:val="00363B8A"/>
    <w:rsid w:val="00363C6B"/>
    <w:rsid w:val="00363D85"/>
    <w:rsid w:val="00364A59"/>
    <w:rsid w:val="003663F5"/>
    <w:rsid w:val="00366496"/>
    <w:rsid w:val="00370A99"/>
    <w:rsid w:val="00371D7A"/>
    <w:rsid w:val="00372ACE"/>
    <w:rsid w:val="0037414E"/>
    <w:rsid w:val="003751DE"/>
    <w:rsid w:val="003771C2"/>
    <w:rsid w:val="00377D0B"/>
    <w:rsid w:val="00380057"/>
    <w:rsid w:val="00381656"/>
    <w:rsid w:val="00382546"/>
    <w:rsid w:val="003830D8"/>
    <w:rsid w:val="00387647"/>
    <w:rsid w:val="00391B04"/>
    <w:rsid w:val="00392E2D"/>
    <w:rsid w:val="00394E0D"/>
    <w:rsid w:val="00396373"/>
    <w:rsid w:val="00396855"/>
    <w:rsid w:val="00397D0C"/>
    <w:rsid w:val="003A4098"/>
    <w:rsid w:val="003A4444"/>
    <w:rsid w:val="003B02DC"/>
    <w:rsid w:val="003B07C8"/>
    <w:rsid w:val="003B106F"/>
    <w:rsid w:val="003B431F"/>
    <w:rsid w:val="003C0153"/>
    <w:rsid w:val="003C06B1"/>
    <w:rsid w:val="003C0936"/>
    <w:rsid w:val="003C0B22"/>
    <w:rsid w:val="003C18EB"/>
    <w:rsid w:val="003C3ACF"/>
    <w:rsid w:val="003C40FE"/>
    <w:rsid w:val="003C545A"/>
    <w:rsid w:val="003C75A7"/>
    <w:rsid w:val="003D04FB"/>
    <w:rsid w:val="003D0D61"/>
    <w:rsid w:val="003D3F58"/>
    <w:rsid w:val="003E2A85"/>
    <w:rsid w:val="003E4C55"/>
    <w:rsid w:val="003E5976"/>
    <w:rsid w:val="003E5F1C"/>
    <w:rsid w:val="003E66D6"/>
    <w:rsid w:val="003E69A1"/>
    <w:rsid w:val="003E76A2"/>
    <w:rsid w:val="003E7DFF"/>
    <w:rsid w:val="003F0B0C"/>
    <w:rsid w:val="003F1CE8"/>
    <w:rsid w:val="003F5EEE"/>
    <w:rsid w:val="004025D9"/>
    <w:rsid w:val="00402E1D"/>
    <w:rsid w:val="00403259"/>
    <w:rsid w:val="00406F24"/>
    <w:rsid w:val="004076FC"/>
    <w:rsid w:val="00410A6B"/>
    <w:rsid w:val="00410EF0"/>
    <w:rsid w:val="00411296"/>
    <w:rsid w:val="004141A8"/>
    <w:rsid w:val="0041589D"/>
    <w:rsid w:val="00415CD3"/>
    <w:rsid w:val="0041632C"/>
    <w:rsid w:val="004222D7"/>
    <w:rsid w:val="004238D6"/>
    <w:rsid w:val="004246F1"/>
    <w:rsid w:val="00424941"/>
    <w:rsid w:val="00425C05"/>
    <w:rsid w:val="00427F35"/>
    <w:rsid w:val="00431534"/>
    <w:rsid w:val="0043285B"/>
    <w:rsid w:val="00434411"/>
    <w:rsid w:val="00437D86"/>
    <w:rsid w:val="0044267B"/>
    <w:rsid w:val="004446C0"/>
    <w:rsid w:val="00446C50"/>
    <w:rsid w:val="0044763D"/>
    <w:rsid w:val="00450C22"/>
    <w:rsid w:val="0045142D"/>
    <w:rsid w:val="00452236"/>
    <w:rsid w:val="0046235A"/>
    <w:rsid w:val="00463005"/>
    <w:rsid w:val="004646B1"/>
    <w:rsid w:val="004647E8"/>
    <w:rsid w:val="004658A8"/>
    <w:rsid w:val="004739EF"/>
    <w:rsid w:val="0047445E"/>
    <w:rsid w:val="00477D39"/>
    <w:rsid w:val="00481C51"/>
    <w:rsid w:val="00481EB6"/>
    <w:rsid w:val="004827ED"/>
    <w:rsid w:val="00482B66"/>
    <w:rsid w:val="004839B6"/>
    <w:rsid w:val="0048487E"/>
    <w:rsid w:val="00484D43"/>
    <w:rsid w:val="0048703C"/>
    <w:rsid w:val="00491664"/>
    <w:rsid w:val="00491EF4"/>
    <w:rsid w:val="00492ED6"/>
    <w:rsid w:val="00494D55"/>
    <w:rsid w:val="004956D4"/>
    <w:rsid w:val="004957EF"/>
    <w:rsid w:val="00495E27"/>
    <w:rsid w:val="00496312"/>
    <w:rsid w:val="00497B7C"/>
    <w:rsid w:val="004A0599"/>
    <w:rsid w:val="004A2C44"/>
    <w:rsid w:val="004A2D43"/>
    <w:rsid w:val="004A39B1"/>
    <w:rsid w:val="004B1F0B"/>
    <w:rsid w:val="004B1FDD"/>
    <w:rsid w:val="004B4AA2"/>
    <w:rsid w:val="004B4EB0"/>
    <w:rsid w:val="004B5890"/>
    <w:rsid w:val="004B69FD"/>
    <w:rsid w:val="004B6FC5"/>
    <w:rsid w:val="004C18C1"/>
    <w:rsid w:val="004C1C75"/>
    <w:rsid w:val="004C28FB"/>
    <w:rsid w:val="004C3DD6"/>
    <w:rsid w:val="004C4531"/>
    <w:rsid w:val="004D2373"/>
    <w:rsid w:val="004D36BF"/>
    <w:rsid w:val="004D3907"/>
    <w:rsid w:val="004D4F8D"/>
    <w:rsid w:val="004D55B3"/>
    <w:rsid w:val="004D6F34"/>
    <w:rsid w:val="004D724D"/>
    <w:rsid w:val="004E0655"/>
    <w:rsid w:val="004E08F4"/>
    <w:rsid w:val="004E1242"/>
    <w:rsid w:val="004E36AA"/>
    <w:rsid w:val="004E72AD"/>
    <w:rsid w:val="004E7878"/>
    <w:rsid w:val="004F1574"/>
    <w:rsid w:val="004F1FA2"/>
    <w:rsid w:val="004F2590"/>
    <w:rsid w:val="004F2FA7"/>
    <w:rsid w:val="004F344C"/>
    <w:rsid w:val="004F5376"/>
    <w:rsid w:val="004F618E"/>
    <w:rsid w:val="004F7210"/>
    <w:rsid w:val="004F7661"/>
    <w:rsid w:val="00507351"/>
    <w:rsid w:val="00507844"/>
    <w:rsid w:val="00510CF2"/>
    <w:rsid w:val="00510F35"/>
    <w:rsid w:val="00511A12"/>
    <w:rsid w:val="00514487"/>
    <w:rsid w:val="00515792"/>
    <w:rsid w:val="00517228"/>
    <w:rsid w:val="00521D21"/>
    <w:rsid w:val="00524376"/>
    <w:rsid w:val="005257F9"/>
    <w:rsid w:val="00525E02"/>
    <w:rsid w:val="005267C9"/>
    <w:rsid w:val="00526D61"/>
    <w:rsid w:val="00530616"/>
    <w:rsid w:val="00532606"/>
    <w:rsid w:val="00533CE4"/>
    <w:rsid w:val="0053661F"/>
    <w:rsid w:val="00536FB6"/>
    <w:rsid w:val="0054062F"/>
    <w:rsid w:val="00543015"/>
    <w:rsid w:val="00546107"/>
    <w:rsid w:val="00546BCD"/>
    <w:rsid w:val="005503FE"/>
    <w:rsid w:val="00550A13"/>
    <w:rsid w:val="00552208"/>
    <w:rsid w:val="00552593"/>
    <w:rsid w:val="00555543"/>
    <w:rsid w:val="0055593C"/>
    <w:rsid w:val="0055733C"/>
    <w:rsid w:val="005619F1"/>
    <w:rsid w:val="00563401"/>
    <w:rsid w:val="00563F8F"/>
    <w:rsid w:val="00564730"/>
    <w:rsid w:val="00571926"/>
    <w:rsid w:val="005731B7"/>
    <w:rsid w:val="005739A7"/>
    <w:rsid w:val="0057481C"/>
    <w:rsid w:val="00577395"/>
    <w:rsid w:val="0058068E"/>
    <w:rsid w:val="00583785"/>
    <w:rsid w:val="005849B0"/>
    <w:rsid w:val="00586908"/>
    <w:rsid w:val="00587A44"/>
    <w:rsid w:val="00592DCC"/>
    <w:rsid w:val="00593AC8"/>
    <w:rsid w:val="00593C5A"/>
    <w:rsid w:val="00595BCD"/>
    <w:rsid w:val="005A045B"/>
    <w:rsid w:val="005A06E9"/>
    <w:rsid w:val="005A08DD"/>
    <w:rsid w:val="005A0DF5"/>
    <w:rsid w:val="005A29FD"/>
    <w:rsid w:val="005A57F3"/>
    <w:rsid w:val="005A714F"/>
    <w:rsid w:val="005B0D9E"/>
    <w:rsid w:val="005B2A34"/>
    <w:rsid w:val="005B2BDD"/>
    <w:rsid w:val="005B361F"/>
    <w:rsid w:val="005C0D3B"/>
    <w:rsid w:val="005C16A7"/>
    <w:rsid w:val="005C2159"/>
    <w:rsid w:val="005C26AD"/>
    <w:rsid w:val="005C564F"/>
    <w:rsid w:val="005C62D9"/>
    <w:rsid w:val="005C6765"/>
    <w:rsid w:val="005C7523"/>
    <w:rsid w:val="005D1D2E"/>
    <w:rsid w:val="005D2955"/>
    <w:rsid w:val="005D52C6"/>
    <w:rsid w:val="005D600A"/>
    <w:rsid w:val="005D7F2E"/>
    <w:rsid w:val="005E673D"/>
    <w:rsid w:val="005F0264"/>
    <w:rsid w:val="005F0BA4"/>
    <w:rsid w:val="005F3B1D"/>
    <w:rsid w:val="005F7187"/>
    <w:rsid w:val="005F7C8B"/>
    <w:rsid w:val="00601169"/>
    <w:rsid w:val="00601545"/>
    <w:rsid w:val="00602E21"/>
    <w:rsid w:val="00604B0D"/>
    <w:rsid w:val="00607054"/>
    <w:rsid w:val="00607AE7"/>
    <w:rsid w:val="00611252"/>
    <w:rsid w:val="0061345F"/>
    <w:rsid w:val="006167B1"/>
    <w:rsid w:val="00617F98"/>
    <w:rsid w:val="00627127"/>
    <w:rsid w:val="006314E3"/>
    <w:rsid w:val="00632004"/>
    <w:rsid w:val="006348B6"/>
    <w:rsid w:val="00640C2F"/>
    <w:rsid w:val="00641E23"/>
    <w:rsid w:val="00644B49"/>
    <w:rsid w:val="00652197"/>
    <w:rsid w:val="00654620"/>
    <w:rsid w:val="006553B5"/>
    <w:rsid w:val="00656283"/>
    <w:rsid w:val="0065761A"/>
    <w:rsid w:val="006631F0"/>
    <w:rsid w:val="00663E32"/>
    <w:rsid w:val="00664E84"/>
    <w:rsid w:val="00664FB0"/>
    <w:rsid w:val="00665A11"/>
    <w:rsid w:val="00665BF3"/>
    <w:rsid w:val="00667584"/>
    <w:rsid w:val="00667CB2"/>
    <w:rsid w:val="00672326"/>
    <w:rsid w:val="0067307F"/>
    <w:rsid w:val="00673E0F"/>
    <w:rsid w:val="00675E72"/>
    <w:rsid w:val="00676223"/>
    <w:rsid w:val="00676A69"/>
    <w:rsid w:val="00676D5D"/>
    <w:rsid w:val="00680ED8"/>
    <w:rsid w:val="006920D1"/>
    <w:rsid w:val="0069291B"/>
    <w:rsid w:val="006933C9"/>
    <w:rsid w:val="0069416F"/>
    <w:rsid w:val="00695293"/>
    <w:rsid w:val="00696357"/>
    <w:rsid w:val="00696485"/>
    <w:rsid w:val="00696D47"/>
    <w:rsid w:val="006A6423"/>
    <w:rsid w:val="006A6F25"/>
    <w:rsid w:val="006A7047"/>
    <w:rsid w:val="006B0DBA"/>
    <w:rsid w:val="006B0F4C"/>
    <w:rsid w:val="006B249E"/>
    <w:rsid w:val="006B3571"/>
    <w:rsid w:val="006B4C9A"/>
    <w:rsid w:val="006B50B6"/>
    <w:rsid w:val="006B520C"/>
    <w:rsid w:val="006B58F2"/>
    <w:rsid w:val="006C1882"/>
    <w:rsid w:val="006C1FAD"/>
    <w:rsid w:val="006C2B1A"/>
    <w:rsid w:val="006C2BDC"/>
    <w:rsid w:val="006C38C1"/>
    <w:rsid w:val="006C3D4F"/>
    <w:rsid w:val="006C3DFF"/>
    <w:rsid w:val="006C40D1"/>
    <w:rsid w:val="006C4A0E"/>
    <w:rsid w:val="006C5383"/>
    <w:rsid w:val="006C5A10"/>
    <w:rsid w:val="006C5DBB"/>
    <w:rsid w:val="006C7512"/>
    <w:rsid w:val="006D08E4"/>
    <w:rsid w:val="006D0C4D"/>
    <w:rsid w:val="006D2DF6"/>
    <w:rsid w:val="006D31DF"/>
    <w:rsid w:val="006D41FD"/>
    <w:rsid w:val="006D44DF"/>
    <w:rsid w:val="006D5205"/>
    <w:rsid w:val="006D7F79"/>
    <w:rsid w:val="006E0574"/>
    <w:rsid w:val="006E24D4"/>
    <w:rsid w:val="006E2A63"/>
    <w:rsid w:val="006E4834"/>
    <w:rsid w:val="006E5773"/>
    <w:rsid w:val="006E58D6"/>
    <w:rsid w:val="006E74A2"/>
    <w:rsid w:val="006E7CB1"/>
    <w:rsid w:val="006F3340"/>
    <w:rsid w:val="006F6381"/>
    <w:rsid w:val="006F7186"/>
    <w:rsid w:val="006F7CE6"/>
    <w:rsid w:val="0070136A"/>
    <w:rsid w:val="00703112"/>
    <w:rsid w:val="007062DA"/>
    <w:rsid w:val="00707676"/>
    <w:rsid w:val="00710388"/>
    <w:rsid w:val="007174B8"/>
    <w:rsid w:val="00717C8B"/>
    <w:rsid w:val="00720FE4"/>
    <w:rsid w:val="0072270C"/>
    <w:rsid w:val="007231CD"/>
    <w:rsid w:val="0072496D"/>
    <w:rsid w:val="00727553"/>
    <w:rsid w:val="0073144A"/>
    <w:rsid w:val="0073150F"/>
    <w:rsid w:val="0073288F"/>
    <w:rsid w:val="00732DAC"/>
    <w:rsid w:val="00735157"/>
    <w:rsid w:val="00737730"/>
    <w:rsid w:val="0074004A"/>
    <w:rsid w:val="0074309E"/>
    <w:rsid w:val="00743643"/>
    <w:rsid w:val="00743DD5"/>
    <w:rsid w:val="00745E86"/>
    <w:rsid w:val="00746BB9"/>
    <w:rsid w:val="00750858"/>
    <w:rsid w:val="00751A70"/>
    <w:rsid w:val="007529D3"/>
    <w:rsid w:val="0075326E"/>
    <w:rsid w:val="0075422C"/>
    <w:rsid w:val="007542ED"/>
    <w:rsid w:val="00754629"/>
    <w:rsid w:val="007579EF"/>
    <w:rsid w:val="00760DA0"/>
    <w:rsid w:val="0076186B"/>
    <w:rsid w:val="00763F72"/>
    <w:rsid w:val="007646A2"/>
    <w:rsid w:val="0076561E"/>
    <w:rsid w:val="00772B5A"/>
    <w:rsid w:val="00775C7E"/>
    <w:rsid w:val="00777A8A"/>
    <w:rsid w:val="00781944"/>
    <w:rsid w:val="00781A3D"/>
    <w:rsid w:val="00785886"/>
    <w:rsid w:val="00785BB3"/>
    <w:rsid w:val="00785BC6"/>
    <w:rsid w:val="007863DB"/>
    <w:rsid w:val="007874B0"/>
    <w:rsid w:val="00787F0F"/>
    <w:rsid w:val="007917B2"/>
    <w:rsid w:val="00792037"/>
    <w:rsid w:val="007925C3"/>
    <w:rsid w:val="00792C6D"/>
    <w:rsid w:val="00792D92"/>
    <w:rsid w:val="007965F5"/>
    <w:rsid w:val="007A2CA0"/>
    <w:rsid w:val="007A4BFB"/>
    <w:rsid w:val="007A5A67"/>
    <w:rsid w:val="007A684B"/>
    <w:rsid w:val="007A6A97"/>
    <w:rsid w:val="007A7103"/>
    <w:rsid w:val="007A7392"/>
    <w:rsid w:val="007A7AAD"/>
    <w:rsid w:val="007B0370"/>
    <w:rsid w:val="007B1A06"/>
    <w:rsid w:val="007B23B1"/>
    <w:rsid w:val="007B437C"/>
    <w:rsid w:val="007B57C5"/>
    <w:rsid w:val="007B5F88"/>
    <w:rsid w:val="007C4A53"/>
    <w:rsid w:val="007C5582"/>
    <w:rsid w:val="007C5935"/>
    <w:rsid w:val="007C69B5"/>
    <w:rsid w:val="007C6E10"/>
    <w:rsid w:val="007D278F"/>
    <w:rsid w:val="007D44A8"/>
    <w:rsid w:val="007D59EB"/>
    <w:rsid w:val="007D6F72"/>
    <w:rsid w:val="007D76FC"/>
    <w:rsid w:val="007E1A15"/>
    <w:rsid w:val="007E296E"/>
    <w:rsid w:val="007E3481"/>
    <w:rsid w:val="007E4364"/>
    <w:rsid w:val="007E447B"/>
    <w:rsid w:val="007E7600"/>
    <w:rsid w:val="007F0D85"/>
    <w:rsid w:val="007F27F1"/>
    <w:rsid w:val="008071EA"/>
    <w:rsid w:val="00807369"/>
    <w:rsid w:val="00807EF2"/>
    <w:rsid w:val="008104F9"/>
    <w:rsid w:val="00810EF4"/>
    <w:rsid w:val="00811D92"/>
    <w:rsid w:val="00811E0D"/>
    <w:rsid w:val="00814325"/>
    <w:rsid w:val="00815667"/>
    <w:rsid w:val="00816443"/>
    <w:rsid w:val="00817DFE"/>
    <w:rsid w:val="00822B41"/>
    <w:rsid w:val="00824235"/>
    <w:rsid w:val="008249D1"/>
    <w:rsid w:val="008260F5"/>
    <w:rsid w:val="0082752D"/>
    <w:rsid w:val="008309DB"/>
    <w:rsid w:val="00830F53"/>
    <w:rsid w:val="00832224"/>
    <w:rsid w:val="0083234E"/>
    <w:rsid w:val="00832AE9"/>
    <w:rsid w:val="00832CE5"/>
    <w:rsid w:val="00835340"/>
    <w:rsid w:val="00836DC0"/>
    <w:rsid w:val="00837587"/>
    <w:rsid w:val="00837CE6"/>
    <w:rsid w:val="00837EF1"/>
    <w:rsid w:val="00842B2B"/>
    <w:rsid w:val="0084330E"/>
    <w:rsid w:val="00843845"/>
    <w:rsid w:val="00847A9F"/>
    <w:rsid w:val="00847E1B"/>
    <w:rsid w:val="0085308C"/>
    <w:rsid w:val="00854F21"/>
    <w:rsid w:val="00855741"/>
    <w:rsid w:val="0086025C"/>
    <w:rsid w:val="0086228D"/>
    <w:rsid w:val="00862A04"/>
    <w:rsid w:val="00864464"/>
    <w:rsid w:val="00864C0C"/>
    <w:rsid w:val="0086570A"/>
    <w:rsid w:val="0086705F"/>
    <w:rsid w:val="0087368A"/>
    <w:rsid w:val="00874579"/>
    <w:rsid w:val="008745B1"/>
    <w:rsid w:val="00876060"/>
    <w:rsid w:val="008770BF"/>
    <w:rsid w:val="00880A30"/>
    <w:rsid w:val="00893043"/>
    <w:rsid w:val="00894F6F"/>
    <w:rsid w:val="0089621F"/>
    <w:rsid w:val="008A049F"/>
    <w:rsid w:val="008A39C9"/>
    <w:rsid w:val="008A4017"/>
    <w:rsid w:val="008A4A71"/>
    <w:rsid w:val="008A5017"/>
    <w:rsid w:val="008B0B11"/>
    <w:rsid w:val="008B2FFB"/>
    <w:rsid w:val="008B3297"/>
    <w:rsid w:val="008B5D95"/>
    <w:rsid w:val="008B6A9D"/>
    <w:rsid w:val="008C003E"/>
    <w:rsid w:val="008C154E"/>
    <w:rsid w:val="008C2AB2"/>
    <w:rsid w:val="008C7B4C"/>
    <w:rsid w:val="008D07DC"/>
    <w:rsid w:val="008D3402"/>
    <w:rsid w:val="008D49FE"/>
    <w:rsid w:val="008D5CCE"/>
    <w:rsid w:val="008D6E3C"/>
    <w:rsid w:val="008D6F89"/>
    <w:rsid w:val="008E4323"/>
    <w:rsid w:val="008E6EBA"/>
    <w:rsid w:val="008F22B9"/>
    <w:rsid w:val="008F2C33"/>
    <w:rsid w:val="008F673E"/>
    <w:rsid w:val="009004A9"/>
    <w:rsid w:val="00900879"/>
    <w:rsid w:val="009056D0"/>
    <w:rsid w:val="00906041"/>
    <w:rsid w:val="00906B47"/>
    <w:rsid w:val="009112EB"/>
    <w:rsid w:val="00911D9F"/>
    <w:rsid w:val="009124F5"/>
    <w:rsid w:val="00912F2C"/>
    <w:rsid w:val="00913A9A"/>
    <w:rsid w:val="00920292"/>
    <w:rsid w:val="0092204B"/>
    <w:rsid w:val="00922199"/>
    <w:rsid w:val="00923E13"/>
    <w:rsid w:val="00924D06"/>
    <w:rsid w:val="009269A4"/>
    <w:rsid w:val="00927EF3"/>
    <w:rsid w:val="00931F4C"/>
    <w:rsid w:val="00934088"/>
    <w:rsid w:val="00935647"/>
    <w:rsid w:val="0093566D"/>
    <w:rsid w:val="009366BB"/>
    <w:rsid w:val="009426D1"/>
    <w:rsid w:val="00942D10"/>
    <w:rsid w:val="009469FE"/>
    <w:rsid w:val="00955166"/>
    <w:rsid w:val="00957744"/>
    <w:rsid w:val="00957B73"/>
    <w:rsid w:val="009614A0"/>
    <w:rsid w:val="0096318E"/>
    <w:rsid w:val="00963B1E"/>
    <w:rsid w:val="00965857"/>
    <w:rsid w:val="0097021B"/>
    <w:rsid w:val="0097049A"/>
    <w:rsid w:val="009707BE"/>
    <w:rsid w:val="00970FCE"/>
    <w:rsid w:val="00974920"/>
    <w:rsid w:val="00974937"/>
    <w:rsid w:val="00974C94"/>
    <w:rsid w:val="0097587B"/>
    <w:rsid w:val="0098145B"/>
    <w:rsid w:val="00984A6B"/>
    <w:rsid w:val="00992305"/>
    <w:rsid w:val="009930DB"/>
    <w:rsid w:val="009A210F"/>
    <w:rsid w:val="009A2B5F"/>
    <w:rsid w:val="009A3645"/>
    <w:rsid w:val="009A4574"/>
    <w:rsid w:val="009A50CB"/>
    <w:rsid w:val="009A5874"/>
    <w:rsid w:val="009A602D"/>
    <w:rsid w:val="009B0993"/>
    <w:rsid w:val="009B225F"/>
    <w:rsid w:val="009B2476"/>
    <w:rsid w:val="009B3DCE"/>
    <w:rsid w:val="009B492C"/>
    <w:rsid w:val="009B4C93"/>
    <w:rsid w:val="009B5451"/>
    <w:rsid w:val="009B5FA7"/>
    <w:rsid w:val="009B7835"/>
    <w:rsid w:val="009B7BDE"/>
    <w:rsid w:val="009C03B7"/>
    <w:rsid w:val="009C1651"/>
    <w:rsid w:val="009C4579"/>
    <w:rsid w:val="009C4B08"/>
    <w:rsid w:val="009C60B2"/>
    <w:rsid w:val="009C7F17"/>
    <w:rsid w:val="009D066D"/>
    <w:rsid w:val="009D7A44"/>
    <w:rsid w:val="009E0BD0"/>
    <w:rsid w:val="009E2C4D"/>
    <w:rsid w:val="009E4055"/>
    <w:rsid w:val="009E52F3"/>
    <w:rsid w:val="009E6DDE"/>
    <w:rsid w:val="009F0F2D"/>
    <w:rsid w:val="009F55BF"/>
    <w:rsid w:val="009F6E6C"/>
    <w:rsid w:val="009F7408"/>
    <w:rsid w:val="009F7CCE"/>
    <w:rsid w:val="00A0112E"/>
    <w:rsid w:val="00A019DC"/>
    <w:rsid w:val="00A02375"/>
    <w:rsid w:val="00A02690"/>
    <w:rsid w:val="00A11047"/>
    <w:rsid w:val="00A11C1B"/>
    <w:rsid w:val="00A120A9"/>
    <w:rsid w:val="00A13E19"/>
    <w:rsid w:val="00A145DF"/>
    <w:rsid w:val="00A152C5"/>
    <w:rsid w:val="00A175B5"/>
    <w:rsid w:val="00A17E48"/>
    <w:rsid w:val="00A202C1"/>
    <w:rsid w:val="00A213E5"/>
    <w:rsid w:val="00A22950"/>
    <w:rsid w:val="00A2538B"/>
    <w:rsid w:val="00A26450"/>
    <w:rsid w:val="00A3398D"/>
    <w:rsid w:val="00A343E7"/>
    <w:rsid w:val="00A34B2E"/>
    <w:rsid w:val="00A34F15"/>
    <w:rsid w:val="00A430FC"/>
    <w:rsid w:val="00A4560A"/>
    <w:rsid w:val="00A505E6"/>
    <w:rsid w:val="00A51C22"/>
    <w:rsid w:val="00A52960"/>
    <w:rsid w:val="00A54BD5"/>
    <w:rsid w:val="00A55398"/>
    <w:rsid w:val="00A57641"/>
    <w:rsid w:val="00A6098B"/>
    <w:rsid w:val="00A702A0"/>
    <w:rsid w:val="00A70C68"/>
    <w:rsid w:val="00A752BF"/>
    <w:rsid w:val="00A75603"/>
    <w:rsid w:val="00A7718D"/>
    <w:rsid w:val="00A804B2"/>
    <w:rsid w:val="00A80996"/>
    <w:rsid w:val="00A82B43"/>
    <w:rsid w:val="00A84A13"/>
    <w:rsid w:val="00A85363"/>
    <w:rsid w:val="00A92F11"/>
    <w:rsid w:val="00A93840"/>
    <w:rsid w:val="00A9429F"/>
    <w:rsid w:val="00A9572C"/>
    <w:rsid w:val="00AA1BDB"/>
    <w:rsid w:val="00AA2831"/>
    <w:rsid w:val="00AA2C08"/>
    <w:rsid w:val="00AA440D"/>
    <w:rsid w:val="00AA5B0E"/>
    <w:rsid w:val="00AA5E4B"/>
    <w:rsid w:val="00AA6545"/>
    <w:rsid w:val="00AA7FB1"/>
    <w:rsid w:val="00AB088E"/>
    <w:rsid w:val="00AB3A45"/>
    <w:rsid w:val="00AB3BC7"/>
    <w:rsid w:val="00AB587B"/>
    <w:rsid w:val="00AB5F63"/>
    <w:rsid w:val="00AC0886"/>
    <w:rsid w:val="00AC099B"/>
    <w:rsid w:val="00AC0B61"/>
    <w:rsid w:val="00AC3758"/>
    <w:rsid w:val="00AC37B6"/>
    <w:rsid w:val="00AC4B51"/>
    <w:rsid w:val="00AC503E"/>
    <w:rsid w:val="00AD18DC"/>
    <w:rsid w:val="00AD3B70"/>
    <w:rsid w:val="00AD3E99"/>
    <w:rsid w:val="00AD5F2F"/>
    <w:rsid w:val="00AE377E"/>
    <w:rsid w:val="00AE43F6"/>
    <w:rsid w:val="00AE6410"/>
    <w:rsid w:val="00AE6DD8"/>
    <w:rsid w:val="00AF02DC"/>
    <w:rsid w:val="00AF0569"/>
    <w:rsid w:val="00AF0FD4"/>
    <w:rsid w:val="00AF35A2"/>
    <w:rsid w:val="00AF5F04"/>
    <w:rsid w:val="00B005DF"/>
    <w:rsid w:val="00B0261E"/>
    <w:rsid w:val="00B10CB2"/>
    <w:rsid w:val="00B12846"/>
    <w:rsid w:val="00B13454"/>
    <w:rsid w:val="00B177FA"/>
    <w:rsid w:val="00B17E3C"/>
    <w:rsid w:val="00B210E1"/>
    <w:rsid w:val="00B2130F"/>
    <w:rsid w:val="00B213D6"/>
    <w:rsid w:val="00B23375"/>
    <w:rsid w:val="00B264D1"/>
    <w:rsid w:val="00B267BF"/>
    <w:rsid w:val="00B273B6"/>
    <w:rsid w:val="00B27A6E"/>
    <w:rsid w:val="00B30874"/>
    <w:rsid w:val="00B311C4"/>
    <w:rsid w:val="00B3424A"/>
    <w:rsid w:val="00B34820"/>
    <w:rsid w:val="00B3568F"/>
    <w:rsid w:val="00B3586E"/>
    <w:rsid w:val="00B37B9F"/>
    <w:rsid w:val="00B41685"/>
    <w:rsid w:val="00B41E6C"/>
    <w:rsid w:val="00B42BAC"/>
    <w:rsid w:val="00B441CA"/>
    <w:rsid w:val="00B44601"/>
    <w:rsid w:val="00B45340"/>
    <w:rsid w:val="00B469E9"/>
    <w:rsid w:val="00B52CB3"/>
    <w:rsid w:val="00B540EF"/>
    <w:rsid w:val="00B54212"/>
    <w:rsid w:val="00B56A06"/>
    <w:rsid w:val="00B63F33"/>
    <w:rsid w:val="00B65A54"/>
    <w:rsid w:val="00B6637C"/>
    <w:rsid w:val="00B70192"/>
    <w:rsid w:val="00B70D4F"/>
    <w:rsid w:val="00B73A3E"/>
    <w:rsid w:val="00B7516C"/>
    <w:rsid w:val="00B76236"/>
    <w:rsid w:val="00B80A1E"/>
    <w:rsid w:val="00B84874"/>
    <w:rsid w:val="00B90A35"/>
    <w:rsid w:val="00B932CB"/>
    <w:rsid w:val="00B94AE8"/>
    <w:rsid w:val="00B94CF8"/>
    <w:rsid w:val="00B94FAC"/>
    <w:rsid w:val="00B9537F"/>
    <w:rsid w:val="00B95859"/>
    <w:rsid w:val="00BA0DE0"/>
    <w:rsid w:val="00BA12C8"/>
    <w:rsid w:val="00BA1C3F"/>
    <w:rsid w:val="00BA2181"/>
    <w:rsid w:val="00BB0F20"/>
    <w:rsid w:val="00BB213F"/>
    <w:rsid w:val="00BB6FA9"/>
    <w:rsid w:val="00BB72E3"/>
    <w:rsid w:val="00BC44A1"/>
    <w:rsid w:val="00BC4C80"/>
    <w:rsid w:val="00BC662A"/>
    <w:rsid w:val="00BD3F81"/>
    <w:rsid w:val="00BD4FDA"/>
    <w:rsid w:val="00BD7FD4"/>
    <w:rsid w:val="00BE0183"/>
    <w:rsid w:val="00BE11F5"/>
    <w:rsid w:val="00BE259C"/>
    <w:rsid w:val="00BE59AD"/>
    <w:rsid w:val="00BE5AF1"/>
    <w:rsid w:val="00BE7A45"/>
    <w:rsid w:val="00BF0AEA"/>
    <w:rsid w:val="00BF1369"/>
    <w:rsid w:val="00BF40D6"/>
    <w:rsid w:val="00BF55F1"/>
    <w:rsid w:val="00BF5B9D"/>
    <w:rsid w:val="00BF6E2E"/>
    <w:rsid w:val="00BF6EC0"/>
    <w:rsid w:val="00C03958"/>
    <w:rsid w:val="00C05265"/>
    <w:rsid w:val="00C05635"/>
    <w:rsid w:val="00C0627D"/>
    <w:rsid w:val="00C06763"/>
    <w:rsid w:val="00C06D61"/>
    <w:rsid w:val="00C0704B"/>
    <w:rsid w:val="00C074DD"/>
    <w:rsid w:val="00C1171A"/>
    <w:rsid w:val="00C1463E"/>
    <w:rsid w:val="00C163AC"/>
    <w:rsid w:val="00C16C42"/>
    <w:rsid w:val="00C17704"/>
    <w:rsid w:val="00C206D2"/>
    <w:rsid w:val="00C21E09"/>
    <w:rsid w:val="00C21ED3"/>
    <w:rsid w:val="00C23FEF"/>
    <w:rsid w:val="00C252B8"/>
    <w:rsid w:val="00C26BF7"/>
    <w:rsid w:val="00C302C4"/>
    <w:rsid w:val="00C318AA"/>
    <w:rsid w:val="00C36EB3"/>
    <w:rsid w:val="00C3772F"/>
    <w:rsid w:val="00C37C78"/>
    <w:rsid w:val="00C4198B"/>
    <w:rsid w:val="00C423A2"/>
    <w:rsid w:val="00C424EC"/>
    <w:rsid w:val="00C42A8E"/>
    <w:rsid w:val="00C44BC5"/>
    <w:rsid w:val="00C4507B"/>
    <w:rsid w:val="00C50B06"/>
    <w:rsid w:val="00C53A13"/>
    <w:rsid w:val="00C54FDC"/>
    <w:rsid w:val="00C55A05"/>
    <w:rsid w:val="00C568C1"/>
    <w:rsid w:val="00C57F2D"/>
    <w:rsid w:val="00C6031A"/>
    <w:rsid w:val="00C62897"/>
    <w:rsid w:val="00C63523"/>
    <w:rsid w:val="00C63F5C"/>
    <w:rsid w:val="00C6426D"/>
    <w:rsid w:val="00C65C5D"/>
    <w:rsid w:val="00C6614D"/>
    <w:rsid w:val="00C664D5"/>
    <w:rsid w:val="00C72FE5"/>
    <w:rsid w:val="00C76C44"/>
    <w:rsid w:val="00C828C8"/>
    <w:rsid w:val="00C8316A"/>
    <w:rsid w:val="00C86081"/>
    <w:rsid w:val="00C9140C"/>
    <w:rsid w:val="00C91D61"/>
    <w:rsid w:val="00C91E4A"/>
    <w:rsid w:val="00C94426"/>
    <w:rsid w:val="00C95058"/>
    <w:rsid w:val="00C9683A"/>
    <w:rsid w:val="00C96E63"/>
    <w:rsid w:val="00C971FB"/>
    <w:rsid w:val="00CA17B5"/>
    <w:rsid w:val="00CA3721"/>
    <w:rsid w:val="00CA3C2A"/>
    <w:rsid w:val="00CA41E3"/>
    <w:rsid w:val="00CA57C6"/>
    <w:rsid w:val="00CA5846"/>
    <w:rsid w:val="00CB0709"/>
    <w:rsid w:val="00CB1970"/>
    <w:rsid w:val="00CB238E"/>
    <w:rsid w:val="00CC0F38"/>
    <w:rsid w:val="00CC174D"/>
    <w:rsid w:val="00CC1C3E"/>
    <w:rsid w:val="00CC4A51"/>
    <w:rsid w:val="00CC51EA"/>
    <w:rsid w:val="00CC61BE"/>
    <w:rsid w:val="00CC655F"/>
    <w:rsid w:val="00CC6A64"/>
    <w:rsid w:val="00CC749A"/>
    <w:rsid w:val="00CD08C9"/>
    <w:rsid w:val="00CD2374"/>
    <w:rsid w:val="00CD29B6"/>
    <w:rsid w:val="00CD38FE"/>
    <w:rsid w:val="00CD3C91"/>
    <w:rsid w:val="00CD414E"/>
    <w:rsid w:val="00CD42C5"/>
    <w:rsid w:val="00CD4CB1"/>
    <w:rsid w:val="00CD767D"/>
    <w:rsid w:val="00CE1923"/>
    <w:rsid w:val="00CE446F"/>
    <w:rsid w:val="00CE57FD"/>
    <w:rsid w:val="00CF061D"/>
    <w:rsid w:val="00CF5449"/>
    <w:rsid w:val="00D02891"/>
    <w:rsid w:val="00D02C21"/>
    <w:rsid w:val="00D05118"/>
    <w:rsid w:val="00D05149"/>
    <w:rsid w:val="00D05A69"/>
    <w:rsid w:val="00D10293"/>
    <w:rsid w:val="00D10ABC"/>
    <w:rsid w:val="00D15364"/>
    <w:rsid w:val="00D15DD0"/>
    <w:rsid w:val="00D1675C"/>
    <w:rsid w:val="00D22BD5"/>
    <w:rsid w:val="00D25736"/>
    <w:rsid w:val="00D25A72"/>
    <w:rsid w:val="00D25B20"/>
    <w:rsid w:val="00D25CDC"/>
    <w:rsid w:val="00D316E4"/>
    <w:rsid w:val="00D31A43"/>
    <w:rsid w:val="00D3465F"/>
    <w:rsid w:val="00D35CC1"/>
    <w:rsid w:val="00D3644F"/>
    <w:rsid w:val="00D36572"/>
    <w:rsid w:val="00D37C4C"/>
    <w:rsid w:val="00D40336"/>
    <w:rsid w:val="00D40AC5"/>
    <w:rsid w:val="00D414FB"/>
    <w:rsid w:val="00D41552"/>
    <w:rsid w:val="00D41663"/>
    <w:rsid w:val="00D4329B"/>
    <w:rsid w:val="00D44641"/>
    <w:rsid w:val="00D45D56"/>
    <w:rsid w:val="00D461A8"/>
    <w:rsid w:val="00D46DB7"/>
    <w:rsid w:val="00D556ED"/>
    <w:rsid w:val="00D577A9"/>
    <w:rsid w:val="00D62849"/>
    <w:rsid w:val="00D64EE2"/>
    <w:rsid w:val="00D6572E"/>
    <w:rsid w:val="00D6674E"/>
    <w:rsid w:val="00D66FE3"/>
    <w:rsid w:val="00D67988"/>
    <w:rsid w:val="00D70E63"/>
    <w:rsid w:val="00D71D71"/>
    <w:rsid w:val="00D75507"/>
    <w:rsid w:val="00D767F4"/>
    <w:rsid w:val="00D800C6"/>
    <w:rsid w:val="00D80A65"/>
    <w:rsid w:val="00D81CC5"/>
    <w:rsid w:val="00D830C5"/>
    <w:rsid w:val="00D836ED"/>
    <w:rsid w:val="00D83D8D"/>
    <w:rsid w:val="00D8437A"/>
    <w:rsid w:val="00D93188"/>
    <w:rsid w:val="00D936F3"/>
    <w:rsid w:val="00D93FA9"/>
    <w:rsid w:val="00D96C94"/>
    <w:rsid w:val="00DA035C"/>
    <w:rsid w:val="00DA3177"/>
    <w:rsid w:val="00DA3A70"/>
    <w:rsid w:val="00DA4AB9"/>
    <w:rsid w:val="00DA4E53"/>
    <w:rsid w:val="00DA5C61"/>
    <w:rsid w:val="00DA5EBB"/>
    <w:rsid w:val="00DA7E9E"/>
    <w:rsid w:val="00DB08BC"/>
    <w:rsid w:val="00DB12C5"/>
    <w:rsid w:val="00DB42C7"/>
    <w:rsid w:val="00DB4D60"/>
    <w:rsid w:val="00DB519A"/>
    <w:rsid w:val="00DB5CCC"/>
    <w:rsid w:val="00DB6B14"/>
    <w:rsid w:val="00DC0FA4"/>
    <w:rsid w:val="00DC2CD9"/>
    <w:rsid w:val="00DC2FBF"/>
    <w:rsid w:val="00DC4763"/>
    <w:rsid w:val="00DC4792"/>
    <w:rsid w:val="00DC7D07"/>
    <w:rsid w:val="00DD04E9"/>
    <w:rsid w:val="00DD0CA8"/>
    <w:rsid w:val="00DD3AF9"/>
    <w:rsid w:val="00DD51DC"/>
    <w:rsid w:val="00DD6054"/>
    <w:rsid w:val="00DD7BE3"/>
    <w:rsid w:val="00DE0849"/>
    <w:rsid w:val="00DE2EE9"/>
    <w:rsid w:val="00DE3C64"/>
    <w:rsid w:val="00DE41F7"/>
    <w:rsid w:val="00DE4FB8"/>
    <w:rsid w:val="00DE7BD5"/>
    <w:rsid w:val="00DF0FCE"/>
    <w:rsid w:val="00DF2117"/>
    <w:rsid w:val="00DF2AF7"/>
    <w:rsid w:val="00DF2CA0"/>
    <w:rsid w:val="00DF31F5"/>
    <w:rsid w:val="00DF337F"/>
    <w:rsid w:val="00DF5B05"/>
    <w:rsid w:val="00DF60B9"/>
    <w:rsid w:val="00DF6F62"/>
    <w:rsid w:val="00E063A5"/>
    <w:rsid w:val="00E10EDD"/>
    <w:rsid w:val="00E12236"/>
    <w:rsid w:val="00E130AA"/>
    <w:rsid w:val="00E153DB"/>
    <w:rsid w:val="00E1592C"/>
    <w:rsid w:val="00E203CD"/>
    <w:rsid w:val="00E2106F"/>
    <w:rsid w:val="00E23086"/>
    <w:rsid w:val="00E23785"/>
    <w:rsid w:val="00E24A10"/>
    <w:rsid w:val="00E25A06"/>
    <w:rsid w:val="00E25E96"/>
    <w:rsid w:val="00E26AA5"/>
    <w:rsid w:val="00E3006B"/>
    <w:rsid w:val="00E335F1"/>
    <w:rsid w:val="00E33787"/>
    <w:rsid w:val="00E34A79"/>
    <w:rsid w:val="00E34C47"/>
    <w:rsid w:val="00E34DF9"/>
    <w:rsid w:val="00E372E9"/>
    <w:rsid w:val="00E37A38"/>
    <w:rsid w:val="00E430BD"/>
    <w:rsid w:val="00E44496"/>
    <w:rsid w:val="00E47DA6"/>
    <w:rsid w:val="00E50DAF"/>
    <w:rsid w:val="00E54190"/>
    <w:rsid w:val="00E60016"/>
    <w:rsid w:val="00E6221C"/>
    <w:rsid w:val="00E62B81"/>
    <w:rsid w:val="00E6325E"/>
    <w:rsid w:val="00E6687B"/>
    <w:rsid w:val="00E7294B"/>
    <w:rsid w:val="00E73019"/>
    <w:rsid w:val="00E80312"/>
    <w:rsid w:val="00E804AE"/>
    <w:rsid w:val="00E81791"/>
    <w:rsid w:val="00E81EA6"/>
    <w:rsid w:val="00E90D6E"/>
    <w:rsid w:val="00E91237"/>
    <w:rsid w:val="00E92173"/>
    <w:rsid w:val="00E9311A"/>
    <w:rsid w:val="00E9347F"/>
    <w:rsid w:val="00E93802"/>
    <w:rsid w:val="00E95FBF"/>
    <w:rsid w:val="00EA078F"/>
    <w:rsid w:val="00EA1C4B"/>
    <w:rsid w:val="00EA1DD2"/>
    <w:rsid w:val="00EA274D"/>
    <w:rsid w:val="00EB2C2C"/>
    <w:rsid w:val="00EB5B09"/>
    <w:rsid w:val="00EB5E82"/>
    <w:rsid w:val="00EB6E51"/>
    <w:rsid w:val="00EB7B12"/>
    <w:rsid w:val="00EC16FB"/>
    <w:rsid w:val="00EC6C62"/>
    <w:rsid w:val="00EC75FD"/>
    <w:rsid w:val="00EC7CD2"/>
    <w:rsid w:val="00ED19B7"/>
    <w:rsid w:val="00ED245D"/>
    <w:rsid w:val="00ED3A13"/>
    <w:rsid w:val="00ED4793"/>
    <w:rsid w:val="00ED51D9"/>
    <w:rsid w:val="00ED5411"/>
    <w:rsid w:val="00ED5B42"/>
    <w:rsid w:val="00EE0213"/>
    <w:rsid w:val="00EE4F53"/>
    <w:rsid w:val="00EE7670"/>
    <w:rsid w:val="00EE7EB5"/>
    <w:rsid w:val="00EF355D"/>
    <w:rsid w:val="00EF6C85"/>
    <w:rsid w:val="00F026FA"/>
    <w:rsid w:val="00F02794"/>
    <w:rsid w:val="00F032B0"/>
    <w:rsid w:val="00F03325"/>
    <w:rsid w:val="00F035A9"/>
    <w:rsid w:val="00F061B5"/>
    <w:rsid w:val="00F0729E"/>
    <w:rsid w:val="00F10761"/>
    <w:rsid w:val="00F11E69"/>
    <w:rsid w:val="00F1602D"/>
    <w:rsid w:val="00F16ACF"/>
    <w:rsid w:val="00F17E1D"/>
    <w:rsid w:val="00F25799"/>
    <w:rsid w:val="00F25BD5"/>
    <w:rsid w:val="00F34357"/>
    <w:rsid w:val="00F34F3F"/>
    <w:rsid w:val="00F37A02"/>
    <w:rsid w:val="00F40B94"/>
    <w:rsid w:val="00F4135D"/>
    <w:rsid w:val="00F41679"/>
    <w:rsid w:val="00F41717"/>
    <w:rsid w:val="00F433DB"/>
    <w:rsid w:val="00F4410E"/>
    <w:rsid w:val="00F448E2"/>
    <w:rsid w:val="00F54A6D"/>
    <w:rsid w:val="00F54C7F"/>
    <w:rsid w:val="00F55903"/>
    <w:rsid w:val="00F56E40"/>
    <w:rsid w:val="00F573EC"/>
    <w:rsid w:val="00F57F8E"/>
    <w:rsid w:val="00F62D06"/>
    <w:rsid w:val="00F63EDC"/>
    <w:rsid w:val="00F65845"/>
    <w:rsid w:val="00F66278"/>
    <w:rsid w:val="00F66D96"/>
    <w:rsid w:val="00F67273"/>
    <w:rsid w:val="00F676D4"/>
    <w:rsid w:val="00F70396"/>
    <w:rsid w:val="00F74C87"/>
    <w:rsid w:val="00F75F1E"/>
    <w:rsid w:val="00F77573"/>
    <w:rsid w:val="00F80660"/>
    <w:rsid w:val="00F80C60"/>
    <w:rsid w:val="00F81A31"/>
    <w:rsid w:val="00F82610"/>
    <w:rsid w:val="00F85B51"/>
    <w:rsid w:val="00F85C82"/>
    <w:rsid w:val="00F87529"/>
    <w:rsid w:val="00F90721"/>
    <w:rsid w:val="00F90E5D"/>
    <w:rsid w:val="00F9239E"/>
    <w:rsid w:val="00F924EF"/>
    <w:rsid w:val="00F945B0"/>
    <w:rsid w:val="00F94D5D"/>
    <w:rsid w:val="00F95109"/>
    <w:rsid w:val="00FA0B5B"/>
    <w:rsid w:val="00FA1C0D"/>
    <w:rsid w:val="00FA2674"/>
    <w:rsid w:val="00FA474C"/>
    <w:rsid w:val="00FA4F59"/>
    <w:rsid w:val="00FA6D58"/>
    <w:rsid w:val="00FA770D"/>
    <w:rsid w:val="00FA7AA5"/>
    <w:rsid w:val="00FB0E61"/>
    <w:rsid w:val="00FB187F"/>
    <w:rsid w:val="00FB221B"/>
    <w:rsid w:val="00FB3A94"/>
    <w:rsid w:val="00FB3B9B"/>
    <w:rsid w:val="00FB4430"/>
    <w:rsid w:val="00FB4C6F"/>
    <w:rsid w:val="00FB5475"/>
    <w:rsid w:val="00FB5F1D"/>
    <w:rsid w:val="00FB63E9"/>
    <w:rsid w:val="00FC0D47"/>
    <w:rsid w:val="00FC0ED1"/>
    <w:rsid w:val="00FC3191"/>
    <w:rsid w:val="00FC60B8"/>
    <w:rsid w:val="00FD17E9"/>
    <w:rsid w:val="00FD1BD5"/>
    <w:rsid w:val="00FD43CF"/>
    <w:rsid w:val="00FD4584"/>
    <w:rsid w:val="00FE1001"/>
    <w:rsid w:val="00FE168B"/>
    <w:rsid w:val="00FE234E"/>
    <w:rsid w:val="00FE2CB3"/>
    <w:rsid w:val="00FE3B7B"/>
    <w:rsid w:val="00FE546B"/>
    <w:rsid w:val="00FE54CE"/>
    <w:rsid w:val="00FE67B0"/>
    <w:rsid w:val="00FF1160"/>
    <w:rsid w:val="00FF3DF1"/>
    <w:rsid w:val="00FF424F"/>
    <w:rsid w:val="00FF5A6F"/>
    <w:rsid w:val="00FF7711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518246-7292-4165-8650-17252899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0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7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ECDC AF Heading 1"/>
    <w:basedOn w:val="Normal"/>
    <w:next w:val="Normal"/>
    <w:link w:val="Heading1Char"/>
    <w:qFormat/>
    <w:rsid w:val="00DA3A70"/>
    <w:pPr>
      <w:keepNext/>
      <w:spacing w:after="0" w:line="240" w:lineRule="auto"/>
      <w:outlineLvl w:val="0"/>
    </w:pPr>
    <w:rPr>
      <w:rFonts w:ascii="Times New Roman" w:eastAsia="MS Mincho" w:hAnsi="Times New Roman"/>
      <w:b/>
      <w:sz w:val="24"/>
      <w:szCs w:val="24"/>
    </w:rPr>
  </w:style>
  <w:style w:type="paragraph" w:styleId="Heading2">
    <w:name w:val="heading 2"/>
    <w:aliases w:val="ECDC AF Heading 2"/>
    <w:basedOn w:val="Normal"/>
    <w:next w:val="Paragrafoelenco1"/>
    <w:link w:val="Heading2Char"/>
    <w:autoRedefine/>
    <w:uiPriority w:val="9"/>
    <w:qFormat/>
    <w:rsid w:val="00DA3A70"/>
    <w:pPr>
      <w:keepNext/>
      <w:keepLines/>
      <w:spacing w:before="240" w:after="240" w:line="240" w:lineRule="auto"/>
      <w:jc w:val="both"/>
      <w:outlineLvl w:val="1"/>
    </w:pPr>
    <w:rPr>
      <w:rFonts w:ascii="Tahoma" w:hAnsi="Tahoma"/>
      <w:b/>
      <w:bCs/>
      <w:i/>
      <w:color w:val="008000"/>
      <w:sz w:val="26"/>
      <w:szCs w:val="26"/>
    </w:rPr>
  </w:style>
  <w:style w:type="paragraph" w:styleId="Heading3">
    <w:name w:val="heading 3"/>
    <w:aliases w:val="ECDC AF Heading 3"/>
    <w:basedOn w:val="Normal"/>
    <w:next w:val="Normal"/>
    <w:link w:val="Heading3Char"/>
    <w:autoRedefine/>
    <w:uiPriority w:val="9"/>
    <w:qFormat/>
    <w:rsid w:val="00DA3A70"/>
    <w:pPr>
      <w:keepNext/>
      <w:keepLines/>
      <w:spacing w:before="240" w:after="240" w:line="240" w:lineRule="auto"/>
      <w:outlineLvl w:val="2"/>
    </w:pPr>
    <w:rPr>
      <w:rFonts w:ascii="Tahoma" w:hAnsi="Tahoma"/>
      <w:b/>
      <w:bCs/>
      <w:color w:val="1F497D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1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8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DC AF Heading 1 Char"/>
    <w:link w:val="Heading1"/>
    <w:rsid w:val="00DA3A70"/>
    <w:rPr>
      <w:rFonts w:ascii="Times New Roman" w:eastAsia="MS Mincho" w:hAnsi="Times New Roman" w:cs="Times New Roman"/>
      <w:b/>
      <w:sz w:val="24"/>
      <w:szCs w:val="24"/>
      <w:lang w:eastAsia="cs-CZ"/>
    </w:rPr>
  </w:style>
  <w:style w:type="character" w:customStyle="1" w:styleId="Heading2Char">
    <w:name w:val="Heading 2 Char"/>
    <w:aliases w:val="ECDC AF Heading 2 Char"/>
    <w:link w:val="Heading2"/>
    <w:uiPriority w:val="9"/>
    <w:rsid w:val="00DA3A70"/>
    <w:rPr>
      <w:rFonts w:ascii="Tahoma" w:eastAsia="Times New Roman" w:hAnsi="Tahoma" w:cs="Times New Roman"/>
      <w:b/>
      <w:bCs/>
      <w:i/>
      <w:color w:val="008000"/>
      <w:sz w:val="26"/>
      <w:szCs w:val="26"/>
    </w:rPr>
  </w:style>
  <w:style w:type="character" w:customStyle="1" w:styleId="Heading3Char">
    <w:name w:val="Heading 3 Char"/>
    <w:aliases w:val="ECDC AF Heading 3 Char"/>
    <w:link w:val="Heading3"/>
    <w:uiPriority w:val="9"/>
    <w:rsid w:val="00DA3A70"/>
    <w:rPr>
      <w:rFonts w:ascii="Tahoma" w:eastAsia="Times New Roman" w:hAnsi="Tahoma" w:cs="Times New Roman"/>
      <w:b/>
      <w:bCs/>
      <w:color w:val="1F497D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A3A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3A70"/>
    <w:rPr>
      <w:rFonts w:ascii="Tahoma" w:eastAsia="Times New Roman" w:hAnsi="Tahoma" w:cs="Times New Roman"/>
      <w:sz w:val="16"/>
      <w:szCs w:val="16"/>
      <w:lang w:val="cs-CZ" w:eastAsia="cs-CZ"/>
    </w:rPr>
  </w:style>
  <w:style w:type="paragraph" w:customStyle="1" w:styleId="ListParagraph1">
    <w:name w:val="List Paragraph1"/>
    <w:basedOn w:val="Normal"/>
    <w:uiPriority w:val="34"/>
    <w:qFormat/>
    <w:rsid w:val="00DA3A70"/>
    <w:pPr>
      <w:ind w:left="720"/>
      <w:contextualSpacing/>
    </w:pPr>
  </w:style>
  <w:style w:type="character" w:styleId="Hyperlink">
    <w:name w:val="Hyperlink"/>
    <w:rsid w:val="00DA3A70"/>
    <w:rPr>
      <w:color w:val="0000FF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A3A7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rsid w:val="00DA3A70"/>
    <w:rPr>
      <w:rFonts w:eastAsia="Times New Roman" w:cs="Times New Roman"/>
      <w:lang w:val="cs-CZ" w:eastAsia="cs-CZ"/>
    </w:rPr>
  </w:style>
  <w:style w:type="character" w:customStyle="1" w:styleId="CommentTextChar1">
    <w:name w:val="Comment Text Char1"/>
    <w:link w:val="CommentText"/>
    <w:uiPriority w:val="99"/>
    <w:rsid w:val="00DA3A70"/>
    <w:rPr>
      <w:rFonts w:ascii="Calibri" w:eastAsia="Calibri" w:hAnsi="Calibri" w:cs="Times New Roman"/>
      <w:sz w:val="20"/>
      <w:szCs w:val="20"/>
      <w:lang w:val="cs-C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3A70"/>
    <w:rPr>
      <w:rFonts w:ascii="Courier New" w:eastAsia="Times New Roman" w:hAnsi="Courier New" w:cs="Times New Roman"/>
      <w:sz w:val="20"/>
      <w:szCs w:val="20"/>
      <w:lang w:val="cs-CZ" w:eastAsia="cs-CZ"/>
    </w:rPr>
  </w:style>
  <w:style w:type="character" w:styleId="CommentReference">
    <w:name w:val="annotation reference"/>
    <w:uiPriority w:val="99"/>
    <w:semiHidden/>
    <w:unhideWhenUsed/>
    <w:rsid w:val="00DA3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70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A70"/>
    <w:rPr>
      <w:rFonts w:ascii="Calibri" w:eastAsia="Calibri" w:hAnsi="Calibri" w:cs="Times New Roman"/>
      <w:b/>
      <w:bCs/>
      <w:sz w:val="20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A3A70"/>
    <w:rPr>
      <w:rFonts w:ascii="Calibri" w:eastAsia="Times New Roman" w:hAnsi="Calibri" w:cs="Times New Roman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A3A70"/>
    <w:rPr>
      <w:rFonts w:ascii="Calibri" w:eastAsia="Times New Roman" w:hAnsi="Calibri" w:cs="Times New Roman"/>
      <w:lang w:val="cs-CZ" w:eastAsia="cs-CZ"/>
    </w:rPr>
  </w:style>
  <w:style w:type="paragraph" w:styleId="FootnoteText">
    <w:name w:val="footnote text"/>
    <w:basedOn w:val="Normal"/>
    <w:link w:val="FootnoteTextChar"/>
    <w:unhideWhenUsed/>
    <w:rsid w:val="00DA3A70"/>
    <w:rPr>
      <w:sz w:val="20"/>
      <w:szCs w:val="20"/>
    </w:rPr>
  </w:style>
  <w:style w:type="character" w:customStyle="1" w:styleId="FootnoteTextChar">
    <w:name w:val="Footnote Text Char"/>
    <w:link w:val="FootnoteText"/>
    <w:rsid w:val="00DA3A70"/>
    <w:rPr>
      <w:rFonts w:ascii="Calibri" w:eastAsia="Times New Roman" w:hAnsi="Calibri" w:cs="Times New Roman"/>
      <w:sz w:val="20"/>
      <w:szCs w:val="20"/>
      <w:lang w:val="cs-CZ" w:eastAsia="cs-CZ"/>
    </w:rPr>
  </w:style>
  <w:style w:type="character" w:styleId="FootnoteReference">
    <w:name w:val="footnote reference"/>
    <w:unhideWhenUsed/>
    <w:rsid w:val="00DA3A7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7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A3A70"/>
    <w:rPr>
      <w:rFonts w:ascii="Consolas" w:eastAsia="Calibri" w:hAnsi="Consolas" w:cs="Times New Roman"/>
      <w:sz w:val="21"/>
      <w:szCs w:val="21"/>
      <w:lang w:val="cs-CZ"/>
    </w:rPr>
  </w:style>
  <w:style w:type="paragraph" w:customStyle="1" w:styleId="Revision1">
    <w:name w:val="Revision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DA3A70"/>
    <w:rPr>
      <w:i/>
      <w:iCs/>
    </w:rPr>
  </w:style>
  <w:style w:type="character" w:styleId="Strong">
    <w:name w:val="Strong"/>
    <w:uiPriority w:val="22"/>
    <w:qFormat/>
    <w:rsid w:val="00DA3A70"/>
    <w:rPr>
      <w:b/>
      <w:bCs/>
    </w:rPr>
  </w:style>
  <w:style w:type="character" w:customStyle="1" w:styleId="cit-sep3">
    <w:name w:val="cit-sep3"/>
    <w:basedOn w:val="DefaultParagraphFont"/>
    <w:rsid w:val="00DA3A70"/>
  </w:style>
  <w:style w:type="character" w:styleId="HTMLCite">
    <w:name w:val="HTML Cite"/>
    <w:uiPriority w:val="99"/>
    <w:semiHidden/>
    <w:unhideWhenUsed/>
    <w:rsid w:val="00DA3A70"/>
    <w:rPr>
      <w:i/>
      <w:iCs/>
    </w:rPr>
  </w:style>
  <w:style w:type="character" w:customStyle="1" w:styleId="cit-title3">
    <w:name w:val="cit-title3"/>
    <w:basedOn w:val="DefaultParagraphFont"/>
    <w:rsid w:val="00DA3A70"/>
  </w:style>
  <w:style w:type="character" w:customStyle="1" w:styleId="cit-print-date">
    <w:name w:val="cit-print-date"/>
    <w:basedOn w:val="DefaultParagraphFont"/>
    <w:rsid w:val="00DA3A70"/>
  </w:style>
  <w:style w:type="character" w:customStyle="1" w:styleId="cit-vol">
    <w:name w:val="cit-vol"/>
    <w:basedOn w:val="DefaultParagraphFont"/>
    <w:rsid w:val="00DA3A70"/>
  </w:style>
  <w:style w:type="character" w:customStyle="1" w:styleId="cit-first-page">
    <w:name w:val="cit-first-page"/>
    <w:basedOn w:val="DefaultParagraphFont"/>
    <w:rsid w:val="00DA3A70"/>
  </w:style>
  <w:style w:type="character" w:customStyle="1" w:styleId="cit-last-page">
    <w:name w:val="cit-last-page"/>
    <w:basedOn w:val="DefaultParagraphFont"/>
    <w:rsid w:val="00DA3A70"/>
  </w:style>
  <w:style w:type="character" w:customStyle="1" w:styleId="search-result-highlight1">
    <w:name w:val="search-result-highlight1"/>
    <w:rsid w:val="00DA3A70"/>
    <w:rPr>
      <w:b/>
      <w:bCs/>
      <w:color w:val="CC0000"/>
    </w:rPr>
  </w:style>
  <w:style w:type="character" w:customStyle="1" w:styleId="cit-auth2">
    <w:name w:val="cit-auth2"/>
    <w:basedOn w:val="DefaultParagraphFont"/>
    <w:rsid w:val="00DA3A70"/>
  </w:style>
  <w:style w:type="character" w:customStyle="1" w:styleId="cit-sep4">
    <w:name w:val="cit-sep4"/>
    <w:basedOn w:val="DefaultParagraphFont"/>
    <w:rsid w:val="00DA3A70"/>
  </w:style>
  <w:style w:type="character" w:customStyle="1" w:styleId="cit-title9">
    <w:name w:val="cit-title9"/>
    <w:basedOn w:val="DefaultParagraphFont"/>
    <w:rsid w:val="00DA3A70"/>
  </w:style>
  <w:style w:type="character" w:customStyle="1" w:styleId="cit-subtitle">
    <w:name w:val="cit-subtitle"/>
    <w:basedOn w:val="DefaultParagraphFont"/>
    <w:rsid w:val="00DA3A70"/>
  </w:style>
  <w:style w:type="character" w:customStyle="1" w:styleId="cit-vol2">
    <w:name w:val="cit-vol2"/>
    <w:basedOn w:val="DefaultParagraphFont"/>
    <w:rsid w:val="00DA3A70"/>
  </w:style>
  <w:style w:type="character" w:customStyle="1" w:styleId="cit-issue">
    <w:name w:val="cit-issue"/>
    <w:basedOn w:val="DefaultParagraphFont"/>
    <w:rsid w:val="00DA3A70"/>
  </w:style>
  <w:style w:type="character" w:customStyle="1" w:styleId="cit-last-page2">
    <w:name w:val="cit-last-page2"/>
    <w:basedOn w:val="DefaultParagraphFont"/>
    <w:rsid w:val="00DA3A70"/>
  </w:style>
  <w:style w:type="paragraph" w:customStyle="1" w:styleId="Pa4">
    <w:name w:val="Pa4"/>
    <w:basedOn w:val="Normal"/>
    <w:next w:val="Normal"/>
    <w:uiPriority w:val="99"/>
    <w:rsid w:val="00DA3A70"/>
    <w:pPr>
      <w:autoSpaceDE w:val="0"/>
      <w:autoSpaceDN w:val="0"/>
      <w:adjustRightInd w:val="0"/>
      <w:spacing w:after="0" w:line="201" w:lineRule="atLeast"/>
    </w:pPr>
    <w:rPr>
      <w:rFonts w:ascii="Minion Pro" w:eastAsia="MS Mincho" w:hAnsi="Minion Pro"/>
      <w:sz w:val="24"/>
      <w:szCs w:val="24"/>
    </w:rPr>
  </w:style>
  <w:style w:type="character" w:customStyle="1" w:styleId="ja50-ce-author1">
    <w:name w:val="ja50-ce-author1"/>
    <w:rsid w:val="00DA3A70"/>
    <w:rPr>
      <w:color w:val="808080"/>
      <w:sz w:val="23"/>
      <w:szCs w:val="23"/>
    </w:rPr>
  </w:style>
  <w:style w:type="character" w:customStyle="1" w:styleId="ja50-ce-title2">
    <w:name w:val="ja50-ce-title2"/>
    <w:rsid w:val="00DA3A70"/>
    <w:rPr>
      <w:b/>
      <w:bCs/>
      <w:color w:val="000000"/>
      <w:sz w:val="24"/>
      <w:szCs w:val="24"/>
    </w:rPr>
  </w:style>
  <w:style w:type="paragraph" w:customStyle="1" w:styleId="Elencoacolori-Colore11">
    <w:name w:val="Elenco a colori - Colore 11"/>
    <w:basedOn w:val="Normal"/>
    <w:uiPriority w:val="34"/>
    <w:qFormat/>
    <w:rsid w:val="00DA3A70"/>
    <w:pPr>
      <w:ind w:left="720"/>
      <w:contextualSpacing/>
    </w:pPr>
  </w:style>
  <w:style w:type="paragraph" w:customStyle="1" w:styleId="Elencoacolori-Colore12">
    <w:name w:val="Elenco a colori - Colore 12"/>
    <w:basedOn w:val="Normal"/>
    <w:qFormat/>
    <w:rsid w:val="00DA3A70"/>
    <w:pPr>
      <w:ind w:left="720"/>
      <w:contextualSpacing/>
    </w:pPr>
  </w:style>
  <w:style w:type="table" w:styleId="TableGrid">
    <w:name w:val="Table Grid"/>
    <w:basedOn w:val="TableNormal"/>
    <w:uiPriority w:val="39"/>
    <w:rsid w:val="00DA3A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Accent3">
    <w:name w:val="Medium Grid 3 Accent 3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OCHeading">
    <w:name w:val="TOC Heading"/>
    <w:basedOn w:val="Heading1"/>
    <w:next w:val="Normal"/>
    <w:uiPriority w:val="39"/>
    <w:qFormat/>
    <w:rsid w:val="00DA3A70"/>
    <w:pPr>
      <w:keepLines/>
      <w:spacing w:before="240" w:after="600"/>
      <w:jc w:val="center"/>
      <w:outlineLvl w:val="9"/>
    </w:pPr>
    <w:rPr>
      <w:rFonts w:ascii="Tahoma" w:eastAsia="Times New Roman" w:hAnsi="Tahoma"/>
      <w:bCs/>
      <w:color w:val="008000"/>
      <w:sz w:val="28"/>
      <w:szCs w:val="28"/>
    </w:rPr>
  </w:style>
  <w:style w:type="paragraph" w:styleId="Title">
    <w:name w:val="Title"/>
    <w:aliases w:val="ECDC AF Title"/>
    <w:basedOn w:val="Normal"/>
    <w:next w:val="Normal"/>
    <w:link w:val="TitleChar"/>
    <w:autoRedefine/>
    <w:uiPriority w:val="10"/>
    <w:qFormat/>
    <w:rsid w:val="00DA3A70"/>
    <w:pPr>
      <w:spacing w:before="240" w:after="360" w:line="240" w:lineRule="auto"/>
      <w:jc w:val="center"/>
    </w:pPr>
    <w:rPr>
      <w:rFonts w:ascii="Tahoma" w:hAnsi="Tahoma"/>
      <w:b/>
      <w:spacing w:val="5"/>
      <w:kern w:val="28"/>
      <w:sz w:val="28"/>
      <w:szCs w:val="52"/>
    </w:rPr>
  </w:style>
  <w:style w:type="character" w:customStyle="1" w:styleId="TitleChar">
    <w:name w:val="Title Char"/>
    <w:aliases w:val="ECDC AF Title Char"/>
    <w:link w:val="Title"/>
    <w:uiPriority w:val="10"/>
    <w:rsid w:val="00DA3A70"/>
    <w:rPr>
      <w:rFonts w:ascii="Tahoma" w:eastAsia="Times New Roman" w:hAnsi="Tahoma" w:cs="Times New Roman"/>
      <w:b/>
      <w:spacing w:val="5"/>
      <w:kern w:val="28"/>
      <w:sz w:val="28"/>
      <w:szCs w:val="52"/>
    </w:rPr>
  </w:style>
  <w:style w:type="paragraph" w:customStyle="1" w:styleId="Paragrafoelenco1">
    <w:name w:val="Paragrafo elenco1"/>
    <w:aliases w:val="ECDC AF Paragraph"/>
    <w:basedOn w:val="Normal"/>
    <w:autoRedefine/>
    <w:uiPriority w:val="34"/>
    <w:qFormat/>
    <w:rsid w:val="00DA3A70"/>
    <w:pPr>
      <w:numPr>
        <w:numId w:val="7"/>
      </w:numPr>
      <w:tabs>
        <w:tab w:val="left" w:pos="567"/>
      </w:tabs>
      <w:spacing w:before="120" w:after="120" w:line="240" w:lineRule="auto"/>
      <w:ind w:left="0" w:firstLine="0"/>
      <w:jc w:val="both"/>
    </w:pPr>
    <w:rPr>
      <w:rFonts w:ascii="Tahoma" w:eastAsia="Calibri" w:hAnsi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3A70"/>
    <w:pPr>
      <w:spacing w:before="120" w:after="100" w:line="240" w:lineRule="auto"/>
    </w:pPr>
    <w:rPr>
      <w:rFonts w:ascii="Tahoma" w:eastAsia="Calibri" w:hAnsi="Tahom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200"/>
    </w:pPr>
    <w:rPr>
      <w:rFonts w:ascii="Tahoma" w:eastAsia="Calibri" w:hAnsi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400"/>
    </w:pPr>
    <w:rPr>
      <w:rFonts w:ascii="Tahoma" w:eastAsia="Calibri" w:hAnsi="Tahoma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DA3A7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DA3A70"/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A3A70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DA3A70"/>
    <w:rPr>
      <w:rFonts w:ascii="Calibri" w:eastAsia="Times New Roman" w:hAnsi="Calibri" w:cs="Times New Roman"/>
      <w:noProof/>
      <w:sz w:val="20"/>
      <w:lang w:val="cs-CZ" w:eastAsia="cs-CZ"/>
    </w:rPr>
  </w:style>
  <w:style w:type="paragraph" w:customStyle="1" w:styleId="EndNoteBibliography">
    <w:name w:val="EndNote Bibliography"/>
    <w:basedOn w:val="Normal"/>
    <w:link w:val="EndNoteBibliographyChar"/>
    <w:rsid w:val="00DA3A70"/>
    <w:pPr>
      <w:spacing w:line="240" w:lineRule="auto"/>
      <w:jc w:val="both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DA3A70"/>
    <w:rPr>
      <w:rFonts w:ascii="Calibri" w:eastAsia="Times New Roman" w:hAnsi="Calibri" w:cs="Times New Roman"/>
      <w:noProof/>
      <w:sz w:val="20"/>
      <w:lang w:val="cs-CZ" w:eastAsia="cs-CZ"/>
    </w:rPr>
  </w:style>
  <w:style w:type="character" w:styleId="FollowedHyperlink">
    <w:name w:val="FollowedHyperlink"/>
    <w:uiPriority w:val="99"/>
    <w:semiHidden/>
    <w:unhideWhenUsed/>
    <w:rsid w:val="00DA3A70"/>
    <w:rPr>
      <w:color w:val="954F72"/>
      <w:u w:val="single"/>
    </w:rPr>
  </w:style>
  <w:style w:type="paragraph" w:customStyle="1" w:styleId="MediumGrid21">
    <w:name w:val="Medium Grid 21"/>
    <w:uiPriority w:val="1"/>
    <w:qFormat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yperlink0">
    <w:name w:val="Hyperlink.0"/>
    <w:rsid w:val="00DA3A70"/>
  </w:style>
  <w:style w:type="character" w:customStyle="1" w:styleId="hide1">
    <w:name w:val="hide1"/>
    <w:rsid w:val="00DA3A70"/>
    <w:rPr>
      <w:vanish/>
      <w:webHidden w:val="0"/>
      <w:specVanish w:val="0"/>
    </w:rPr>
  </w:style>
  <w:style w:type="paragraph" w:customStyle="1" w:styleId="Default">
    <w:name w:val="Default"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DA3A70"/>
    <w:pPr>
      <w:ind w:left="720"/>
    </w:pPr>
  </w:style>
  <w:style w:type="table" w:customStyle="1" w:styleId="GridTable4-Accent31">
    <w:name w:val="Grid Table 4 - Accent 31"/>
    <w:basedOn w:val="TableNormal"/>
    <w:next w:val="GridTable4-Accent32"/>
    <w:uiPriority w:val="49"/>
    <w:rsid w:val="00DA3A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2">
    <w:name w:val="Grid Table 4 - Accent 32"/>
    <w:basedOn w:val="TableNormal"/>
    <w:uiPriority w:val="49"/>
    <w:rsid w:val="00DA3A7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m2344583173576020509msolistparagraph">
    <w:name w:val="m_2344583173576020509msolistparagraph"/>
    <w:basedOn w:val="Normal"/>
    <w:rsid w:val="00DA3A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MediumShading2Accent4">
    <w:name w:val="Medium Shading 2 Accent 4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odyText">
    <w:name w:val="Body Text"/>
    <w:basedOn w:val="Normal"/>
    <w:link w:val="BodyTextChar"/>
    <w:uiPriority w:val="1"/>
    <w:qFormat/>
    <w:rsid w:val="00DA3A70"/>
    <w:pPr>
      <w:widowControl w:val="0"/>
      <w:spacing w:after="0"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A3A70"/>
    <w:rPr>
      <w:rFonts w:ascii="Calibri" w:eastAsia="Calibri" w:hAnsi="Calibri" w:cs="Calibri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00EA1DD2"/>
    <w:rPr>
      <w:rFonts w:asciiTheme="majorHAnsi" w:eastAsiaTheme="majorEastAsia" w:hAnsiTheme="majorHAnsi" w:cstheme="majorBidi"/>
      <w:i/>
      <w:iCs/>
      <w:color w:val="2E74B5" w:themeColor="accent1" w:themeShade="BF"/>
      <w:lang w:val="cs-CZ" w:eastAsia="cs-CZ"/>
    </w:rPr>
  </w:style>
  <w:style w:type="character" w:customStyle="1" w:styleId="Heading5Char">
    <w:name w:val="Heading 5 Char"/>
    <w:basedOn w:val="DefaultParagraphFont"/>
    <w:link w:val="Heading5"/>
    <w:uiPriority w:val="9"/>
    <w:rsid w:val="00E93802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customStyle="1" w:styleId="EC-Title-5">
    <w:name w:val="EC-Title-5"/>
    <w:next w:val="Normal"/>
    <w:link w:val="EC-Title-5CharChar"/>
    <w:qFormat/>
    <w:rsid w:val="00E93802"/>
    <w:pPr>
      <w:autoSpaceDE w:val="0"/>
      <w:autoSpaceDN w:val="0"/>
      <w:adjustRightInd w:val="0"/>
      <w:spacing w:before="240" w:after="120" w:line="241" w:lineRule="atLeast"/>
      <w:outlineLvl w:val="1"/>
    </w:pPr>
    <w:rPr>
      <w:rFonts w:ascii="Tahoma" w:eastAsia="Batang" w:hAnsi="Tahoma" w:cs="Tahoma"/>
      <w:b/>
      <w:bCs/>
      <w:color w:val="69AE23"/>
      <w:sz w:val="30"/>
      <w:szCs w:val="30"/>
    </w:rPr>
  </w:style>
  <w:style w:type="character" w:customStyle="1" w:styleId="EC-Title-5CharChar">
    <w:name w:val="EC-Title-5 Char Char"/>
    <w:basedOn w:val="DefaultParagraphFont"/>
    <w:link w:val="EC-Title-5"/>
    <w:rsid w:val="00E93802"/>
    <w:rPr>
      <w:rFonts w:ascii="Tahoma" w:eastAsia="Batang" w:hAnsi="Tahoma" w:cs="Tahoma"/>
      <w:b/>
      <w:bCs/>
      <w:color w:val="69AE23"/>
      <w:sz w:val="30"/>
      <w:szCs w:val="30"/>
    </w:rPr>
  </w:style>
  <w:style w:type="paragraph" w:customStyle="1" w:styleId="EC-Title-6">
    <w:name w:val="EC-Title-6"/>
    <w:next w:val="Normal"/>
    <w:link w:val="EC-Title-6CharChar"/>
    <w:qFormat/>
    <w:rsid w:val="00E93802"/>
    <w:pPr>
      <w:widowControl w:val="0"/>
      <w:spacing w:before="120" w:after="120" w:line="240" w:lineRule="auto"/>
      <w:outlineLvl w:val="2"/>
    </w:pPr>
    <w:rPr>
      <w:rFonts w:ascii="Tahoma" w:eastAsia="Batang" w:hAnsi="Tahoma" w:cs="Tahoma"/>
      <w:b/>
      <w:bCs/>
      <w:color w:val="69AE23"/>
      <w:sz w:val="26"/>
      <w:szCs w:val="26"/>
    </w:rPr>
  </w:style>
  <w:style w:type="character" w:customStyle="1" w:styleId="EC-Title-6CharChar">
    <w:name w:val="EC-Title-6 Char Char"/>
    <w:link w:val="EC-Title-6"/>
    <w:rsid w:val="00E93802"/>
    <w:rPr>
      <w:rFonts w:ascii="Tahoma" w:eastAsia="Batang" w:hAnsi="Tahoma" w:cs="Tahoma"/>
      <w:b/>
      <w:bCs/>
      <w:color w:val="69AE23"/>
      <w:sz w:val="26"/>
      <w:szCs w:val="26"/>
    </w:rPr>
  </w:style>
  <w:style w:type="paragraph" w:customStyle="1" w:styleId="EC-Title-7">
    <w:name w:val="EC-Title-7"/>
    <w:next w:val="Normal"/>
    <w:link w:val="EC-Title-7Char"/>
    <w:qFormat/>
    <w:rsid w:val="00083CEE"/>
    <w:pPr>
      <w:spacing w:before="120" w:after="0" w:line="240" w:lineRule="auto"/>
      <w:outlineLvl w:val="3"/>
    </w:pPr>
    <w:rPr>
      <w:rFonts w:ascii="Tahoma" w:eastAsia="Times New Roman" w:hAnsi="Tahoma" w:cs="Tahoma"/>
      <w:b/>
      <w:bCs/>
      <w:i/>
      <w:color w:val="69AE23"/>
    </w:rPr>
  </w:style>
  <w:style w:type="character" w:customStyle="1" w:styleId="EC-Title-7Char">
    <w:name w:val="EC-Title-7 Char"/>
    <w:basedOn w:val="DefaultParagraphFont"/>
    <w:link w:val="EC-Title-7"/>
    <w:rsid w:val="00083CEE"/>
    <w:rPr>
      <w:rFonts w:ascii="Tahoma" w:eastAsia="Times New Roman" w:hAnsi="Tahoma" w:cs="Tahoma"/>
      <w:b/>
      <w:bCs/>
      <w:i/>
      <w:color w:val="69AE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23BA-4ED3-42F4-B478-792CD3BD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5858</Words>
  <Characters>33394</Characters>
  <Application>Microsoft Office Word</Application>
  <DocSecurity>0</DocSecurity>
  <Lines>278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CDT</Company>
  <LinksUpToDate>false</LinksUpToDate>
  <CharactersWithSpaces>39174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2</cp:revision>
  <cp:lastPrinted>2018-05-24T11:29:00Z</cp:lastPrinted>
  <dcterms:created xsi:type="dcterms:W3CDTF">2018-07-24T08:50:00Z</dcterms:created>
  <dcterms:modified xsi:type="dcterms:W3CDTF">2018-07-24T08:50:00Z</dcterms:modified>
</cp:coreProperties>
</file>