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D4A7" w14:textId="77777777" w:rsidR="0048146A" w:rsidRPr="0048146A" w:rsidRDefault="0048146A" w:rsidP="0048146A">
      <w:pPr>
        <w:autoSpaceDE w:val="0"/>
        <w:autoSpaceDN w:val="0"/>
        <w:adjustRightInd w:val="0"/>
        <w:spacing w:after="240" w:line="240" w:lineRule="auto"/>
        <w:outlineLvl w:val="0"/>
        <w:rPr>
          <w:rFonts w:ascii="Tahoma" w:eastAsia="Batang" w:hAnsi="Tahoma" w:cs="Tahoma"/>
          <w:b/>
          <w:bCs/>
          <w:color w:val="65B32E"/>
          <w:kern w:val="0"/>
          <w:sz w:val="40"/>
          <w:szCs w:val="40"/>
          <w14:ligatures w14:val="none"/>
        </w:rPr>
      </w:pPr>
      <w:bookmarkStart w:id="0" w:name="_Toc160729128"/>
      <w:r w:rsidRPr="0048146A">
        <w:rPr>
          <w:rFonts w:ascii="Tahoma" w:eastAsia="Batang" w:hAnsi="Tahoma" w:cs="Tahoma"/>
          <w:b/>
          <w:bCs/>
          <w:color w:val="65B32E"/>
          <w:kern w:val="0"/>
          <w:sz w:val="40"/>
          <w:szCs w:val="40"/>
          <w14:ligatures w14:val="none"/>
        </w:rPr>
        <w:t xml:space="preserve">Appendix 4. List of core documents the country should provide during the </w:t>
      </w:r>
      <w:bookmarkEnd w:id="0"/>
      <w:r w:rsidRPr="0048146A">
        <w:rPr>
          <w:rFonts w:ascii="Tahoma" w:eastAsia="Batang" w:hAnsi="Tahoma" w:cs="Tahoma"/>
          <w:b/>
          <w:bCs/>
          <w:color w:val="65B32E"/>
          <w:kern w:val="0"/>
          <w:sz w:val="40"/>
          <w:szCs w:val="40"/>
          <w14:ligatures w14:val="none"/>
        </w:rPr>
        <w:t xml:space="preserve">PHEPA </w:t>
      </w:r>
    </w:p>
    <w:tbl>
      <w:tblPr>
        <w:tblStyle w:val="ECTable"/>
        <w:tblW w:w="0" w:type="auto"/>
        <w:tblLook w:val="04A0" w:firstRow="1" w:lastRow="0" w:firstColumn="1" w:lastColumn="0" w:noHBand="0" w:noVBand="1"/>
      </w:tblPr>
      <w:tblGrid>
        <w:gridCol w:w="2122"/>
        <w:gridCol w:w="2976"/>
        <w:gridCol w:w="1843"/>
        <w:gridCol w:w="2075"/>
      </w:tblGrid>
      <w:tr w:rsidR="0048146A" w:rsidRPr="0048146A" w14:paraId="32C653F5" w14:textId="77777777" w:rsidTr="00084C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59EEDDF" w14:textId="77777777" w:rsidR="0048146A" w:rsidRPr="0048146A" w:rsidRDefault="0048146A" w:rsidP="0048146A">
            <w:pPr>
              <w:rPr>
                <w:rFonts w:ascii="Tahoma" w:eastAsia="Tahoma" w:hAnsi="Tahoma"/>
                <w:color w:val="F2F2F2"/>
                <w:lang w:val="en-IE" w:eastAsia="ko-KR"/>
              </w:rPr>
            </w:pPr>
            <w:r w:rsidRPr="0048146A">
              <w:rPr>
                <w:rFonts w:ascii="Tahoma" w:eastAsia="Tahoma" w:hAnsi="Tahoma"/>
                <w:color w:val="F2F2F2"/>
                <w:lang w:val="en-IE" w:eastAsia="ko-KR"/>
              </w:rPr>
              <w:t>Appendix name</w:t>
            </w:r>
          </w:p>
        </w:tc>
        <w:tc>
          <w:tcPr>
            <w:tcW w:w="2976" w:type="dxa"/>
          </w:tcPr>
          <w:p w14:paraId="4D1870BB" w14:textId="77777777" w:rsidR="0048146A" w:rsidRPr="0048146A" w:rsidRDefault="0048146A" w:rsidP="0048146A">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48146A">
              <w:rPr>
                <w:rFonts w:ascii="Tahoma" w:eastAsia="Tahoma" w:hAnsi="Tahoma"/>
                <w:color w:val="F2F2F2"/>
                <w:lang w:val="en-IE" w:eastAsia="ko-KR"/>
              </w:rPr>
              <w:t>Function</w:t>
            </w:r>
          </w:p>
        </w:tc>
        <w:tc>
          <w:tcPr>
            <w:tcW w:w="1843" w:type="dxa"/>
          </w:tcPr>
          <w:p w14:paraId="3DA9A547" w14:textId="77777777" w:rsidR="0048146A" w:rsidRPr="0048146A" w:rsidRDefault="0048146A" w:rsidP="0048146A">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48146A">
              <w:rPr>
                <w:rFonts w:ascii="Tahoma" w:eastAsia="Tahoma" w:hAnsi="Tahoma"/>
                <w:color w:val="F2F2F2"/>
                <w:lang w:val="en-IE" w:eastAsia="ko-KR"/>
              </w:rPr>
              <w:t>When to use it</w:t>
            </w:r>
          </w:p>
        </w:tc>
        <w:tc>
          <w:tcPr>
            <w:tcW w:w="2075" w:type="dxa"/>
          </w:tcPr>
          <w:p w14:paraId="30366B7C" w14:textId="77777777" w:rsidR="0048146A" w:rsidRPr="0048146A" w:rsidRDefault="0048146A" w:rsidP="0048146A">
            <w:pPr>
              <w:cnfStyle w:val="100000000000" w:firstRow="1" w:lastRow="0" w:firstColumn="0" w:lastColumn="0" w:oddVBand="0" w:evenVBand="0" w:oddHBand="0" w:evenHBand="0" w:firstRowFirstColumn="0" w:firstRowLastColumn="0" w:lastRowFirstColumn="0" w:lastRowLastColumn="0"/>
              <w:rPr>
                <w:rFonts w:ascii="Tahoma" w:eastAsia="Tahoma" w:hAnsi="Tahoma"/>
                <w:color w:val="F2F2F2"/>
                <w:lang w:val="en-IE" w:eastAsia="ko-KR"/>
              </w:rPr>
            </w:pPr>
            <w:r w:rsidRPr="0048146A">
              <w:rPr>
                <w:rFonts w:ascii="Tahoma" w:eastAsia="Tahoma" w:hAnsi="Tahoma"/>
                <w:bCs/>
                <w:color w:val="F2F2F2"/>
                <w:lang w:val="en-IE" w:eastAsia="ko-KR"/>
              </w:rPr>
              <w:t>Purpose</w:t>
            </w:r>
          </w:p>
        </w:tc>
      </w:tr>
      <w:tr w:rsidR="0048146A" w:rsidRPr="0048146A" w14:paraId="5856C35C" w14:textId="77777777" w:rsidTr="00084C86">
        <w:tc>
          <w:tcPr>
            <w:cnfStyle w:val="001000000000" w:firstRow="0" w:lastRow="0" w:firstColumn="1" w:lastColumn="0" w:oddVBand="0" w:evenVBand="0" w:oddHBand="0" w:evenHBand="0" w:firstRowFirstColumn="0" w:firstRowLastColumn="0" w:lastRowFirstColumn="0" w:lastRowLastColumn="0"/>
            <w:tcW w:w="2122" w:type="dxa"/>
          </w:tcPr>
          <w:p w14:paraId="7D8FA4A8" w14:textId="77777777" w:rsidR="0048146A" w:rsidRPr="0048146A" w:rsidRDefault="0048146A" w:rsidP="0048146A">
            <w:pPr>
              <w:rPr>
                <w:rFonts w:ascii="Tahoma" w:eastAsia="Tahoma" w:hAnsi="Tahoma"/>
                <w:lang w:val="en-IE" w:eastAsia="ko-KR"/>
              </w:rPr>
            </w:pPr>
            <w:r w:rsidRPr="0048146A">
              <w:rPr>
                <w:rFonts w:ascii="Tahoma" w:eastAsia="Tahoma" w:hAnsi="Tahoma"/>
                <w:lang w:val="en-IE" w:eastAsia="ko-KR"/>
              </w:rPr>
              <w:t>4. List of core documents</w:t>
            </w:r>
          </w:p>
        </w:tc>
        <w:tc>
          <w:tcPr>
            <w:tcW w:w="2976" w:type="dxa"/>
          </w:tcPr>
          <w:p w14:paraId="0AACCC40" w14:textId="77777777" w:rsidR="0048146A" w:rsidRPr="0048146A" w:rsidRDefault="0048146A" w:rsidP="0048146A">
            <w:pPr>
              <w:jc w:val="left"/>
              <w:cnfStyle w:val="000000000000" w:firstRow="0" w:lastRow="0" w:firstColumn="0" w:lastColumn="0" w:oddVBand="0" w:evenVBand="0" w:oddHBand="0" w:evenHBand="0" w:firstRowFirstColumn="0" w:firstRowLastColumn="0" w:lastRowFirstColumn="0" w:lastRowLastColumn="0"/>
              <w:rPr>
                <w:rFonts w:ascii="Tahoma" w:eastAsia="Tahoma" w:hAnsi="Tahoma"/>
                <w:lang w:val="en-IE" w:eastAsia="ko-KR"/>
              </w:rPr>
            </w:pPr>
            <w:r w:rsidRPr="0048146A">
              <w:rPr>
                <w:rFonts w:ascii="Tahoma" w:hAnsi="Tahoma"/>
                <w:lang w:eastAsia="ko-KR"/>
              </w:rPr>
              <w:t>List of suggested documents to be provided by the country to conduct the assessment process</w:t>
            </w:r>
          </w:p>
        </w:tc>
        <w:tc>
          <w:tcPr>
            <w:tcW w:w="1843" w:type="dxa"/>
          </w:tcPr>
          <w:p w14:paraId="2224799C" w14:textId="77777777" w:rsidR="0048146A" w:rsidRPr="0048146A" w:rsidRDefault="0048146A" w:rsidP="0048146A">
            <w:pPr>
              <w:jc w:val="left"/>
              <w:cnfStyle w:val="000000000000" w:firstRow="0" w:lastRow="0" w:firstColumn="0" w:lastColumn="0" w:oddVBand="0" w:evenVBand="0" w:oddHBand="0" w:evenHBand="0" w:firstRowFirstColumn="0" w:firstRowLastColumn="0" w:lastRowFirstColumn="0" w:lastRowLastColumn="0"/>
              <w:rPr>
                <w:rFonts w:ascii="Tahoma" w:eastAsia="Tahoma" w:hAnsi="Tahoma"/>
                <w:lang w:val="en-IE" w:eastAsia="ko-KR"/>
              </w:rPr>
            </w:pPr>
            <w:r w:rsidRPr="0048146A">
              <w:rPr>
                <w:rFonts w:ascii="Tahoma" w:eastAsia="Tahoma" w:hAnsi="Tahoma"/>
                <w:lang w:val="en-IE" w:eastAsia="ko-KR"/>
              </w:rPr>
              <w:t>Preparatory period, before the country visit</w:t>
            </w:r>
          </w:p>
        </w:tc>
        <w:tc>
          <w:tcPr>
            <w:tcW w:w="2075" w:type="dxa"/>
          </w:tcPr>
          <w:p w14:paraId="6C5A1EA6" w14:textId="77777777" w:rsidR="0048146A" w:rsidRPr="0048146A" w:rsidRDefault="0048146A" w:rsidP="0048146A">
            <w:pPr>
              <w:jc w:val="left"/>
              <w:cnfStyle w:val="000000000000" w:firstRow="0" w:lastRow="0" w:firstColumn="0" w:lastColumn="0" w:oddVBand="0" w:evenVBand="0" w:oddHBand="0" w:evenHBand="0" w:firstRowFirstColumn="0" w:firstRowLastColumn="0" w:lastRowFirstColumn="0" w:lastRowLastColumn="0"/>
              <w:rPr>
                <w:rFonts w:ascii="Tahoma" w:hAnsi="Tahoma"/>
                <w:lang w:eastAsia="ko-KR"/>
              </w:rPr>
            </w:pPr>
            <w:r w:rsidRPr="0048146A">
              <w:rPr>
                <w:rFonts w:ascii="Tahoma" w:hAnsi="Tahoma"/>
                <w:lang w:eastAsia="ko-KR"/>
              </w:rPr>
              <w:t>For information</w:t>
            </w:r>
          </w:p>
        </w:tc>
      </w:tr>
    </w:tbl>
    <w:p w14:paraId="13918068"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As part of the assessment process, the country is requested to provide evidence supporting the responses submitted for each question in the Article 7 template and the SPAR.</w:t>
      </w:r>
    </w:p>
    <w:p w14:paraId="4FF7E368"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 xml:space="preserve">This list offers guidance on the core documents that can be submitted to provide evidence on the country's level for each assessed aspect. These core documents are considered key for the assessment process. If available, the country is requested to provide them during the desk review phase. </w:t>
      </w:r>
    </w:p>
    <w:p w14:paraId="73DBED83"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This list is not exhaustive; other relevant documents can also be provided by the country or requested by the assessment team. Some listed documents may not be applicable to all countries. The provided documents should be selected based on their relevance to the national context. Draft versions of relevant documents still under development can also be shared.</w:t>
      </w:r>
    </w:p>
    <w:p w14:paraId="5733A789"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 xml:space="preserve">It is not required for countries to upload large numbers of documents related to each capacity, but only the ones considered relevant to support the assessment of the aspects included in the PHEPA process. As an indication, a number between three to eight documents per capacity is sufficient, understanding the differences between capacities and countries’ context.  </w:t>
      </w:r>
    </w:p>
    <w:p w14:paraId="73AF10CD"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In case some documents are considered confidential for the country, these should not be submitted during the desk review; however, a short summary of their key aspects (title, main content, expected timeline for update) could be provided instead.</w:t>
      </w:r>
    </w:p>
    <w:p w14:paraId="1E24871B" w14:textId="77777777" w:rsidR="0048146A" w:rsidRPr="0048146A" w:rsidRDefault="0048146A" w:rsidP="0048146A">
      <w:pPr>
        <w:kinsoku w:val="0"/>
        <w:autoSpaceDE w:val="0"/>
        <w:autoSpaceDN w:val="0"/>
        <w:adjustRightInd w:val="0"/>
        <w:spacing w:after="120" w:line="240" w:lineRule="auto"/>
        <w:rPr>
          <w:rFonts w:ascii="Tahoma" w:eastAsia="Arial Unicode MS" w:hAnsi="Tahoma" w:cs="Tahoma"/>
          <w:color w:val="000000"/>
          <w:kern w:val="16"/>
          <w:sz w:val="18"/>
          <w:szCs w:val="18"/>
          <w:lang w:eastAsia="ko-KR"/>
          <w14:ligatures w14:val="none"/>
        </w:rPr>
      </w:pPr>
      <w:r w:rsidRPr="0048146A">
        <w:rPr>
          <w:rFonts w:ascii="Tahoma" w:eastAsia="Arial Unicode MS" w:hAnsi="Tahoma" w:cs="Tahoma"/>
          <w:color w:val="000000"/>
          <w:kern w:val="16"/>
          <w:sz w:val="18"/>
          <w:szCs w:val="18"/>
          <w:lang w:eastAsia="ko-KR"/>
          <w14:ligatures w14:val="none"/>
        </w:rPr>
        <w:t xml:space="preserve">The documents can be provided in the original language. </w:t>
      </w:r>
    </w:p>
    <w:tbl>
      <w:tblPr>
        <w:tblStyle w:val="ECTable"/>
        <w:tblW w:w="0" w:type="auto"/>
        <w:tblLook w:val="04A0" w:firstRow="1" w:lastRow="0" w:firstColumn="1" w:lastColumn="0" w:noHBand="0" w:noVBand="1"/>
      </w:tblPr>
      <w:tblGrid>
        <w:gridCol w:w="2547"/>
        <w:gridCol w:w="6469"/>
      </w:tblGrid>
      <w:tr w:rsidR="0048146A" w:rsidRPr="0048146A" w14:paraId="518C4EA7" w14:textId="77777777" w:rsidTr="00084C86">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A5FC962"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Corresponding capacity</w:t>
            </w:r>
          </w:p>
        </w:tc>
        <w:tc>
          <w:tcPr>
            <w:tcW w:w="6469" w:type="dxa"/>
            <w:noWrap/>
            <w:hideMark/>
          </w:tcPr>
          <w:p w14:paraId="47BDA5BE" w14:textId="77777777" w:rsidR="0048146A" w:rsidRPr="0048146A" w:rsidRDefault="0048146A" w:rsidP="0048146A">
            <w:pPr>
              <w:spacing w:before="100" w:beforeAutospacing="1" w:afterAutospacing="1"/>
              <w:textAlignment w:val="baseline"/>
              <w:cnfStyle w:val="100000000000" w:firstRow="1"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Core documents to provide</w:t>
            </w:r>
          </w:p>
        </w:tc>
      </w:tr>
      <w:tr w:rsidR="0048146A" w:rsidRPr="0048146A" w14:paraId="2903541E" w14:textId="77777777" w:rsidTr="00084C86">
        <w:trPr>
          <w:trHeight w:val="373"/>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EB23456" w14:textId="77777777" w:rsidR="0048146A" w:rsidRPr="0048146A" w:rsidRDefault="0048146A" w:rsidP="0048146A">
            <w:pPr>
              <w:spacing w:before="100" w:beforeAutospacing="1" w:afterAutospacing="1"/>
              <w:textAlignment w:val="baseline"/>
              <w:rPr>
                <w:rFonts w:ascii="Tahoma" w:eastAsia="Times New Roman" w:hAnsi="Tahoma"/>
                <w:b/>
                <w:bCs/>
              </w:rPr>
            </w:pPr>
            <w:r w:rsidRPr="0048146A">
              <w:rPr>
                <w:rFonts w:ascii="Tahoma" w:eastAsia="Times New Roman" w:hAnsi="Tahoma"/>
                <w:b/>
                <w:bCs/>
              </w:rPr>
              <w:t>General document</w:t>
            </w:r>
          </w:p>
        </w:tc>
        <w:tc>
          <w:tcPr>
            <w:tcW w:w="6469" w:type="dxa"/>
            <w:noWrap/>
            <w:hideMark/>
          </w:tcPr>
          <w:p w14:paraId="658E8EA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National prevention, preparedness and response plan</w:t>
            </w:r>
          </w:p>
        </w:tc>
      </w:tr>
      <w:tr w:rsidR="0048146A" w:rsidRPr="0048146A" w14:paraId="33264F38" w14:textId="77777777" w:rsidTr="00084C86">
        <w:trPr>
          <w:trHeight w:val="600"/>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7FBEC641"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1. IHR coordination and </w:t>
            </w:r>
            <w:r w:rsidRPr="0048146A">
              <w:rPr>
                <w:rFonts w:ascii="Tahoma" w:eastAsia="Times New Roman" w:hAnsi="Tahoma"/>
              </w:rPr>
              <w:br/>
              <w:t>implementation</w:t>
            </w:r>
          </w:p>
        </w:tc>
        <w:tc>
          <w:tcPr>
            <w:tcW w:w="6469" w:type="dxa"/>
            <w:noWrap/>
            <w:hideMark/>
          </w:tcPr>
          <w:p w14:paraId="54C8B721"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Legal instruments available in the country regarding preparedness and response. </w:t>
            </w:r>
          </w:p>
        </w:tc>
      </w:tr>
      <w:tr w:rsidR="0048146A" w:rsidRPr="0048146A" w14:paraId="7F61547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FB9F634"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7C270114"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 describing the multisectoral coordination mechanisms in place for IHR implementation</w:t>
            </w:r>
          </w:p>
        </w:tc>
      </w:tr>
      <w:tr w:rsidR="0048146A" w:rsidRPr="0048146A" w14:paraId="5957241E"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3F1A71A"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2. Financing</w:t>
            </w:r>
          </w:p>
        </w:tc>
        <w:tc>
          <w:tcPr>
            <w:tcW w:w="6469" w:type="dxa"/>
            <w:noWrap/>
            <w:hideMark/>
          </w:tcPr>
          <w:p w14:paraId="78A47CDD"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Legislation, regulations, policies and financial plans related to disease control during public health emergencies and IHR capacities; </w:t>
            </w:r>
          </w:p>
        </w:tc>
      </w:tr>
      <w:tr w:rsidR="0048146A" w:rsidRPr="0048146A" w14:paraId="534FEABD"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hideMark/>
          </w:tcPr>
          <w:p w14:paraId="7F117A39"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3. Laboratory</w:t>
            </w:r>
          </w:p>
        </w:tc>
        <w:tc>
          <w:tcPr>
            <w:tcW w:w="6469" w:type="dxa"/>
            <w:noWrap/>
            <w:hideMark/>
          </w:tcPr>
          <w:p w14:paraId="5C8AC90D"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Document describing the plan for scaling up laboratory testing in the event of a public health emergency </w:t>
            </w:r>
          </w:p>
        </w:tc>
      </w:tr>
      <w:tr w:rsidR="0048146A" w:rsidRPr="0048146A" w14:paraId="204E178B"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BED2788"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14126234"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Document(s) describing how the validation of newly introduced devices for the diagnosis of the novel pathogen is handled e.g. during the COVID-19 pandemic. </w:t>
            </w:r>
          </w:p>
        </w:tc>
      </w:tr>
      <w:tr w:rsidR="0048146A" w:rsidRPr="0048146A" w14:paraId="53EFB35B"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6EEA013E"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223E87E2"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Laboratory biosafety and biosecurity guidelines and/or regulations</w:t>
            </w:r>
          </w:p>
        </w:tc>
      </w:tr>
      <w:tr w:rsidR="0048146A" w:rsidRPr="0048146A" w14:paraId="14CA282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2DC08420"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4D997FD7"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National and or regional guidelines on laboratory quality standard</w:t>
            </w:r>
          </w:p>
        </w:tc>
      </w:tr>
      <w:tr w:rsidR="0048146A" w:rsidRPr="0048146A" w14:paraId="7EF9C1A6"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noWrap/>
          </w:tcPr>
          <w:p w14:paraId="2A726FB4"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4. Surveillance </w:t>
            </w:r>
          </w:p>
        </w:tc>
        <w:tc>
          <w:tcPr>
            <w:tcW w:w="6469" w:type="dxa"/>
            <w:noWrap/>
          </w:tcPr>
          <w:p w14:paraId="03340D95"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System-specific surveillance protocol (s)</w:t>
            </w:r>
          </w:p>
        </w:tc>
      </w:tr>
      <w:tr w:rsidR="0048146A" w:rsidRPr="0048146A" w14:paraId="24E9D1A3"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E870A2C"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5. Human resources</w:t>
            </w:r>
          </w:p>
        </w:tc>
        <w:tc>
          <w:tcPr>
            <w:tcW w:w="6469" w:type="dxa"/>
            <w:noWrap/>
            <w:hideMark/>
          </w:tcPr>
          <w:p w14:paraId="2D9E171F"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Strategic multi-sectoral workforce surge plan for public health emergencies</w:t>
            </w:r>
          </w:p>
        </w:tc>
      </w:tr>
      <w:tr w:rsidR="0048146A" w:rsidRPr="0048146A" w14:paraId="47E1673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hideMark/>
          </w:tcPr>
          <w:p w14:paraId="391C17BB"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6.  Health emergency management</w:t>
            </w:r>
          </w:p>
        </w:tc>
        <w:tc>
          <w:tcPr>
            <w:tcW w:w="6469" w:type="dxa"/>
            <w:noWrap/>
            <w:hideMark/>
          </w:tcPr>
          <w:p w14:paraId="05C73FA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describing health emergency risk profiling for serious cross-border threats to health</w:t>
            </w:r>
          </w:p>
        </w:tc>
      </w:tr>
      <w:tr w:rsidR="0048146A" w:rsidRPr="0048146A" w14:paraId="7B37A354" w14:textId="77777777" w:rsidTr="00084C86">
        <w:trPr>
          <w:trHeight w:val="315"/>
        </w:trPr>
        <w:tc>
          <w:tcPr>
            <w:cnfStyle w:val="001000000000" w:firstRow="0" w:lastRow="0" w:firstColumn="1" w:lastColumn="0" w:oddVBand="0" w:evenVBand="0" w:oddHBand="0" w:evenHBand="0" w:firstRowFirstColumn="0" w:firstRowLastColumn="0" w:lastRowFirstColumn="0" w:lastRowLastColumn="0"/>
            <w:tcW w:w="2547" w:type="dxa"/>
            <w:vMerge/>
            <w:hideMark/>
          </w:tcPr>
          <w:p w14:paraId="2D40C33B"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288E6EA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 reflecting the mechanism for the implementation of PHSMs during a public health emergency</w:t>
            </w:r>
          </w:p>
        </w:tc>
      </w:tr>
      <w:tr w:rsidR="0048146A" w:rsidRPr="0048146A" w14:paraId="7668E184"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2081C33B"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2D2B6FB3"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Copies of any government-issued policies or strategic plans related to MCMs</w:t>
            </w:r>
          </w:p>
        </w:tc>
      </w:tr>
      <w:tr w:rsidR="0048146A" w:rsidRPr="0048146A" w14:paraId="4261A8B0"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0A08DB3"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1A68D28A"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Legal documents outlining regulations and laws governing the management and distribution of MCMs</w:t>
            </w:r>
          </w:p>
        </w:tc>
      </w:tr>
      <w:tr w:rsidR="0048146A" w:rsidRPr="0048146A" w14:paraId="311B3DBE"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7913663"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58E0549F"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(reports, studies etc) containing the results of gap analyses conducted on MCM supply and demand</w:t>
            </w:r>
          </w:p>
        </w:tc>
      </w:tr>
      <w:tr w:rsidR="0048146A" w:rsidRPr="0048146A" w14:paraId="3AAE4488"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7D1C5DAA"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44423313"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All-hazard risk informed health emergency plan</w:t>
            </w:r>
          </w:p>
        </w:tc>
      </w:tr>
      <w:tr w:rsidR="0048146A" w:rsidRPr="0048146A" w14:paraId="7337E98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hideMark/>
          </w:tcPr>
          <w:p w14:paraId="4A87ED12"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7. Health service </w:t>
            </w:r>
            <w:r w:rsidRPr="0048146A">
              <w:rPr>
                <w:rFonts w:ascii="Tahoma" w:eastAsia="Times New Roman" w:hAnsi="Tahoma"/>
              </w:rPr>
              <w:lastRenderedPageBreak/>
              <w:t>provision</w:t>
            </w:r>
          </w:p>
        </w:tc>
        <w:tc>
          <w:tcPr>
            <w:tcW w:w="6469" w:type="dxa"/>
            <w:noWrap/>
            <w:hideMark/>
          </w:tcPr>
          <w:p w14:paraId="5B9EB94F"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lastRenderedPageBreak/>
              <w:t xml:space="preserve">A document with description of the operational plan for continuity of healthcare service </w:t>
            </w:r>
          </w:p>
        </w:tc>
      </w:tr>
      <w:tr w:rsidR="0048146A" w:rsidRPr="0048146A" w14:paraId="192601EA"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430609F3"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59B89481"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 reflecting the stakeholders and process that ensures interdisciplinary crisis management coordination between all actors of the healthcare system</w:t>
            </w:r>
          </w:p>
        </w:tc>
      </w:tr>
      <w:tr w:rsidR="0048146A" w:rsidRPr="0048146A" w14:paraId="11673248" w14:textId="77777777" w:rsidTr="00084C86">
        <w:trPr>
          <w:trHeight w:val="600"/>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62243ACF"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8. Risk communication and </w:t>
            </w:r>
            <w:r w:rsidRPr="0048146A">
              <w:rPr>
                <w:rFonts w:ascii="Tahoma" w:eastAsia="Times New Roman" w:hAnsi="Tahoma"/>
              </w:rPr>
              <w:br/>
              <w:t>community engagement (RCCE)</w:t>
            </w:r>
          </w:p>
        </w:tc>
        <w:tc>
          <w:tcPr>
            <w:tcW w:w="6469" w:type="dxa"/>
            <w:noWrap/>
            <w:hideMark/>
          </w:tcPr>
          <w:p w14:paraId="22F0F802"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Any documentation that includes the risk communication plan or related processes (including subsequently Public Communication/Media relations plan, social media plan), either as part of the national preparedness and response plan or as its own discrete document. </w:t>
            </w:r>
          </w:p>
        </w:tc>
      </w:tr>
      <w:tr w:rsidR="0048146A" w:rsidRPr="0048146A" w14:paraId="16B25B2E"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F00A78F"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1728E3A8"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Documentation outlining the mechanisms for coordination of RCCE-IM functions and resources</w:t>
            </w:r>
          </w:p>
        </w:tc>
      </w:tr>
      <w:tr w:rsidR="0048146A" w:rsidRPr="0048146A" w14:paraId="75C7DB1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360C190"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41EE809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Documentation that outlines the Community Engagement plans in the country</w:t>
            </w:r>
          </w:p>
        </w:tc>
      </w:tr>
      <w:tr w:rsidR="0048146A" w:rsidRPr="0048146A" w14:paraId="67D9FB82" w14:textId="77777777" w:rsidTr="00084C86">
        <w:trPr>
          <w:trHeight w:val="600"/>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0F2C46EA"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9. Points of entry (</w:t>
            </w:r>
            <w:proofErr w:type="spellStart"/>
            <w:r w:rsidRPr="0048146A">
              <w:rPr>
                <w:rFonts w:ascii="Tahoma" w:eastAsia="Times New Roman" w:hAnsi="Tahoma"/>
              </w:rPr>
              <w:t>PoEs</w:t>
            </w:r>
            <w:proofErr w:type="spellEnd"/>
            <w:r w:rsidRPr="0048146A">
              <w:rPr>
                <w:rFonts w:ascii="Tahoma" w:eastAsia="Times New Roman" w:hAnsi="Tahoma"/>
              </w:rPr>
              <w:t xml:space="preserve">) and </w:t>
            </w:r>
            <w:r w:rsidRPr="0048146A">
              <w:rPr>
                <w:rFonts w:ascii="Tahoma" w:eastAsia="Times New Roman" w:hAnsi="Tahoma"/>
              </w:rPr>
              <w:br/>
              <w:t>border health</w:t>
            </w:r>
          </w:p>
        </w:tc>
        <w:tc>
          <w:tcPr>
            <w:tcW w:w="6469" w:type="dxa"/>
            <w:noWrap/>
            <w:hideMark/>
          </w:tcPr>
          <w:p w14:paraId="30A93EC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Public health emergency contingency plan for each PoE </w:t>
            </w:r>
          </w:p>
        </w:tc>
      </w:tr>
      <w:tr w:rsidR="0048146A" w:rsidRPr="0048146A" w14:paraId="5A506272"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092924E"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02037948"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Public health emergency contingency plan for each designated PoE</w:t>
            </w:r>
          </w:p>
        </w:tc>
      </w:tr>
      <w:tr w:rsidR="0048146A" w:rsidRPr="0048146A" w14:paraId="41E2D544"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8DD9E75"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4914E6B0"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describing the national multisectoral process with mechanisms to determine the adoption of international travel-related measures</w:t>
            </w:r>
          </w:p>
        </w:tc>
      </w:tr>
      <w:tr w:rsidR="0048146A" w:rsidRPr="0048146A" w14:paraId="1A5BFEFD" w14:textId="77777777" w:rsidTr="00084C86">
        <w:trPr>
          <w:trHeight w:val="570"/>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361C57B0"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10. Zoonotic diseases and threats of </w:t>
            </w:r>
            <w:r w:rsidRPr="0048146A">
              <w:rPr>
                <w:rFonts w:ascii="Tahoma" w:eastAsia="Times New Roman" w:hAnsi="Tahoma"/>
              </w:rPr>
              <w:br/>
              <w:t>environmental origin, including those due to the climate</w:t>
            </w:r>
          </w:p>
        </w:tc>
        <w:tc>
          <w:tcPr>
            <w:tcW w:w="6469" w:type="dxa"/>
            <w:noWrap/>
            <w:hideMark/>
          </w:tcPr>
          <w:p w14:paraId="785CC770"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Governance and communication flow system among sectors, for peace and crisis times regarding One Health. (One Health strategy, if available)</w:t>
            </w:r>
          </w:p>
        </w:tc>
      </w:tr>
      <w:tr w:rsidR="0048146A" w:rsidRPr="0048146A" w14:paraId="4644567B" w14:textId="77777777" w:rsidTr="00084C86">
        <w:trPr>
          <w:trHeight w:val="585"/>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651E795"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1F2E176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National adaptation plan for climate change</w:t>
            </w:r>
          </w:p>
        </w:tc>
      </w:tr>
      <w:tr w:rsidR="0048146A" w:rsidRPr="0048146A" w14:paraId="70D0CE6A"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hideMark/>
          </w:tcPr>
          <w:p w14:paraId="46B68FE3"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11. Chemical events</w:t>
            </w:r>
          </w:p>
        </w:tc>
        <w:tc>
          <w:tcPr>
            <w:tcW w:w="6469" w:type="dxa"/>
            <w:noWrap/>
            <w:hideMark/>
          </w:tcPr>
          <w:p w14:paraId="64BAE42F"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Chemical preparedness and response plan or equivalent document(s)</w:t>
            </w:r>
          </w:p>
        </w:tc>
      </w:tr>
      <w:tr w:rsidR="0048146A" w:rsidRPr="0048146A" w14:paraId="2E26723D"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158BB591"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2BC1354C"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or SOPs describing the procedures for a health risk assessment in case of a health threat from chemical origin, or its alternatives</w:t>
            </w:r>
          </w:p>
        </w:tc>
      </w:tr>
      <w:tr w:rsidR="0048146A" w:rsidRPr="0048146A" w14:paraId="52E97ACB" w14:textId="77777777" w:rsidTr="00084C86">
        <w:trPr>
          <w:trHeight w:val="405"/>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13F94888"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12. Antimicrobial resistance (AMR) </w:t>
            </w:r>
            <w:r w:rsidRPr="0048146A">
              <w:rPr>
                <w:rFonts w:ascii="Tahoma" w:eastAsia="Times New Roman" w:hAnsi="Tahoma"/>
              </w:rPr>
              <w:br/>
              <w:t>and healthcare associated infections (HAIs)</w:t>
            </w:r>
          </w:p>
        </w:tc>
        <w:tc>
          <w:tcPr>
            <w:tcW w:w="6469" w:type="dxa"/>
            <w:noWrap/>
            <w:hideMark/>
          </w:tcPr>
          <w:p w14:paraId="5D604FFD"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AMR national action plan</w:t>
            </w:r>
          </w:p>
        </w:tc>
      </w:tr>
      <w:tr w:rsidR="0048146A" w:rsidRPr="0048146A" w14:paraId="6BDB784C"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6218AE70"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67E8DFB8"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Legislation/mandates for national AMC and AMR surveillance</w:t>
            </w:r>
          </w:p>
        </w:tc>
      </w:tr>
      <w:tr w:rsidR="0048146A" w:rsidRPr="0048146A" w14:paraId="1D3F0936"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DA2EF5F"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4EC601C7"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Guidelines for MDRO mandatory reporting</w:t>
            </w:r>
          </w:p>
        </w:tc>
      </w:tr>
      <w:tr w:rsidR="0048146A" w:rsidRPr="0048146A" w14:paraId="49DD4977"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16510EE6"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3EB53C76"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Legislation/mandates for national HAI surveillance</w:t>
            </w:r>
          </w:p>
        </w:tc>
      </w:tr>
      <w:tr w:rsidR="0048146A" w:rsidRPr="0048146A" w14:paraId="10254CB9"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495848D3"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5AEEA463"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Legislation/mandates for national infection prevention and control programme</w:t>
            </w:r>
          </w:p>
        </w:tc>
      </w:tr>
      <w:tr w:rsidR="0048146A" w:rsidRPr="0048146A" w14:paraId="5723C6C1"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tcPr>
          <w:p w14:paraId="01FD181F"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13. Union level coordination and support functions</w:t>
            </w:r>
          </w:p>
        </w:tc>
        <w:tc>
          <w:tcPr>
            <w:tcW w:w="6469" w:type="dxa"/>
            <w:noWrap/>
          </w:tcPr>
          <w:p w14:paraId="6593189A"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detailing the role of the HSC member and the flow of information between your MS and the HSC</w:t>
            </w:r>
          </w:p>
        </w:tc>
      </w:tr>
      <w:tr w:rsidR="0048146A" w:rsidRPr="0048146A" w14:paraId="5DAA562D"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noWrap/>
          </w:tcPr>
          <w:p w14:paraId="128CBFCB"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tcPr>
          <w:p w14:paraId="3CA694E1"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Examples of incorporation of HSC opinions, ECDC recommendations or other guidance into MS approach to response to health threats</w:t>
            </w:r>
          </w:p>
        </w:tc>
      </w:tr>
      <w:tr w:rsidR="0048146A" w:rsidRPr="0048146A" w14:paraId="3259737B"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noWrap/>
          </w:tcPr>
          <w:p w14:paraId="6AB8DF67"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14. Research development and evaluations to inform and accelerate emergency preparedness</w:t>
            </w:r>
          </w:p>
        </w:tc>
        <w:tc>
          <w:tcPr>
            <w:tcW w:w="6469" w:type="dxa"/>
            <w:noWrap/>
          </w:tcPr>
          <w:p w14:paraId="515F5134"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 xml:space="preserve">Document(s) describing the integration of the research aspect into the preparedness and response activities, including resources mapping or funding allocation </w:t>
            </w:r>
          </w:p>
          <w:p w14:paraId="50BB091D"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Document(s) describing existing collaboration agreements, pre-approved protocols or rapid ethical clearance for operational research during a public health emergency</w:t>
            </w:r>
          </w:p>
        </w:tc>
      </w:tr>
      <w:tr w:rsidR="0048146A" w:rsidRPr="0048146A" w14:paraId="6FCF45EE"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val="restart"/>
            <w:noWrap/>
            <w:hideMark/>
          </w:tcPr>
          <w:p w14:paraId="2CAFF646"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Capacity 15. Recovery elements</w:t>
            </w:r>
          </w:p>
        </w:tc>
        <w:tc>
          <w:tcPr>
            <w:tcW w:w="6469" w:type="dxa"/>
            <w:noWrap/>
            <w:hideMark/>
          </w:tcPr>
          <w:p w14:paraId="7587A4EE"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Recovery plan or recovery section included in the prevention, preparedness and response plan or equivalent document(s), possibly including or linking instructions on how to conduct AARs/IARs, or how to take the recommendations from a simulation exercise.</w:t>
            </w:r>
          </w:p>
        </w:tc>
      </w:tr>
      <w:tr w:rsidR="0048146A" w:rsidRPr="0048146A" w14:paraId="4C398889"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7DBAA4E2"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7C5461D1"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National Action Planning for Health Security (NAPHS) or equivalent with embedded lessons captured through AARs or IARs described in the recovery plan.</w:t>
            </w:r>
          </w:p>
        </w:tc>
      </w:tr>
      <w:tr w:rsidR="0048146A" w:rsidRPr="0048146A" w14:paraId="1B5CA74B" w14:textId="77777777" w:rsidTr="00084C86">
        <w:trPr>
          <w:trHeight w:val="645"/>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5637C21D" w14:textId="77777777" w:rsidR="0048146A" w:rsidRPr="0048146A" w:rsidRDefault="0048146A" w:rsidP="0048146A">
            <w:pPr>
              <w:spacing w:before="100" w:beforeAutospacing="1" w:afterAutospacing="1"/>
              <w:textAlignment w:val="baseline"/>
              <w:rPr>
                <w:rFonts w:ascii="Tahoma" w:eastAsia="Times New Roman" w:hAnsi="Tahoma"/>
              </w:rPr>
            </w:pPr>
            <w:r w:rsidRPr="0048146A">
              <w:rPr>
                <w:rFonts w:ascii="Tahoma" w:eastAsia="Times New Roman" w:hAnsi="Tahoma"/>
              </w:rPr>
              <w:t xml:space="preserve">Capacity 16. Actions taken to improve gaps </w:t>
            </w:r>
            <w:r w:rsidRPr="0048146A">
              <w:rPr>
                <w:rFonts w:ascii="Tahoma" w:eastAsia="Times New Roman" w:hAnsi="Tahoma"/>
              </w:rPr>
              <w:br/>
              <w:t>found in the implementation of prevention, preparedness, and response plans</w:t>
            </w:r>
          </w:p>
        </w:tc>
        <w:tc>
          <w:tcPr>
            <w:tcW w:w="6469" w:type="dxa"/>
            <w:noWrap/>
            <w:hideMark/>
          </w:tcPr>
          <w:p w14:paraId="341EC447"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Last IHR SPAR reporting submitted to WHO (might be different than the one submitted as part of Article 7)</w:t>
            </w:r>
          </w:p>
        </w:tc>
      </w:tr>
      <w:tr w:rsidR="0048146A" w:rsidRPr="0048146A" w14:paraId="032607C9" w14:textId="77777777" w:rsidTr="00084C86">
        <w:trPr>
          <w:trHeight w:val="290"/>
        </w:trPr>
        <w:tc>
          <w:tcPr>
            <w:cnfStyle w:val="001000000000" w:firstRow="0" w:lastRow="0" w:firstColumn="1" w:lastColumn="0" w:oddVBand="0" w:evenVBand="0" w:oddHBand="0" w:evenHBand="0" w:firstRowFirstColumn="0" w:firstRowLastColumn="0" w:lastRowFirstColumn="0" w:lastRowLastColumn="0"/>
            <w:tcW w:w="2547" w:type="dxa"/>
            <w:vMerge/>
            <w:hideMark/>
          </w:tcPr>
          <w:p w14:paraId="4C8AB75F" w14:textId="77777777" w:rsidR="0048146A" w:rsidRPr="0048146A" w:rsidRDefault="0048146A" w:rsidP="0048146A">
            <w:pPr>
              <w:spacing w:before="100" w:beforeAutospacing="1" w:afterAutospacing="1"/>
              <w:textAlignment w:val="baseline"/>
              <w:rPr>
                <w:rFonts w:ascii="Tahoma" w:eastAsia="Times New Roman" w:hAnsi="Tahoma"/>
              </w:rPr>
            </w:pPr>
          </w:p>
        </w:tc>
        <w:tc>
          <w:tcPr>
            <w:tcW w:w="6469" w:type="dxa"/>
            <w:noWrap/>
            <w:hideMark/>
          </w:tcPr>
          <w:p w14:paraId="00A98A29" w14:textId="77777777" w:rsidR="0048146A" w:rsidRPr="0048146A" w:rsidRDefault="0048146A" w:rsidP="0048146A">
            <w:pPr>
              <w:spacing w:before="100" w:beforeAutospacing="1" w:afterAutospacing="1"/>
              <w:jc w:val="left"/>
              <w:textAlignment w:val="baseline"/>
              <w:cnfStyle w:val="000000000000" w:firstRow="0" w:lastRow="0" w:firstColumn="0" w:lastColumn="0" w:oddVBand="0" w:evenVBand="0" w:oddHBand="0" w:evenHBand="0" w:firstRowFirstColumn="0" w:firstRowLastColumn="0" w:lastRowFirstColumn="0" w:lastRowLastColumn="0"/>
              <w:rPr>
                <w:rFonts w:ascii="Tahoma" w:eastAsia="Times New Roman" w:hAnsi="Tahoma"/>
              </w:rPr>
            </w:pPr>
            <w:r w:rsidRPr="0048146A">
              <w:rPr>
                <w:rFonts w:ascii="Tahoma" w:eastAsia="Times New Roman" w:hAnsi="Tahoma"/>
              </w:rPr>
              <w:t>National Action Planning for Health Security (NAPHS), other type of action plan or any equivalent document used in the country</w:t>
            </w:r>
          </w:p>
        </w:tc>
      </w:tr>
    </w:tbl>
    <w:p w14:paraId="65056909" w14:textId="77777777" w:rsidR="0048146A" w:rsidRPr="0048146A" w:rsidRDefault="0048146A" w:rsidP="0048146A">
      <w:pPr>
        <w:spacing w:after="0" w:line="240" w:lineRule="auto"/>
        <w:rPr>
          <w:rFonts w:ascii="Tahoma" w:eastAsia="Batang" w:hAnsi="Tahoma" w:cs="Times New Roman"/>
          <w:kern w:val="0"/>
          <w:sz w:val="14"/>
          <w:lang w:eastAsia="ko-KR"/>
          <w14:ligatures w14:val="none"/>
        </w:rPr>
      </w:pPr>
    </w:p>
    <w:p w14:paraId="1B9B5A65" w14:textId="5CAE8C75" w:rsidR="0048146A" w:rsidRPr="0048146A" w:rsidRDefault="0048146A" w:rsidP="0048146A">
      <w:pPr>
        <w:spacing w:after="0" w:line="240" w:lineRule="auto"/>
        <w:rPr>
          <w:rFonts w:ascii="Times New Roman" w:eastAsia="Calibri" w:hAnsi="Calibri" w:cs="Calibri"/>
          <w:kern w:val="0"/>
          <w:sz w:val="26"/>
          <w:szCs w:val="22"/>
          <w14:ligatures w14:val="none"/>
        </w:rPr>
      </w:pPr>
    </w:p>
    <w:sectPr w:rsidR="0048146A" w:rsidRPr="0048146A">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AACF" w14:textId="77777777" w:rsidR="0048146A" w:rsidRDefault="0048146A" w:rsidP="0048146A">
      <w:pPr>
        <w:spacing w:after="0" w:line="240" w:lineRule="auto"/>
      </w:pPr>
      <w:r>
        <w:separator/>
      </w:r>
    </w:p>
  </w:endnote>
  <w:endnote w:type="continuationSeparator" w:id="0">
    <w:p w14:paraId="6200E3C3" w14:textId="77777777" w:rsidR="0048146A" w:rsidRDefault="0048146A" w:rsidP="0048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275F" w14:textId="732E6389" w:rsidR="0048146A" w:rsidRDefault="0048146A">
    <w:pPr>
      <w:pStyle w:val="Footer"/>
    </w:pPr>
    <w:r>
      <w:rPr>
        <w:noProof/>
      </w:rPr>
      <mc:AlternateContent>
        <mc:Choice Requires="wps">
          <w:drawing>
            <wp:anchor distT="0" distB="0" distL="0" distR="0" simplePos="0" relativeHeight="251659264" behindDoc="0" locked="0" layoutInCell="1" allowOverlap="1" wp14:anchorId="55AD6DD0" wp14:editId="60130E5B">
              <wp:simplePos x="635" y="635"/>
              <wp:positionH relativeFrom="page">
                <wp:align>center</wp:align>
              </wp:positionH>
              <wp:positionV relativeFrom="page">
                <wp:align>bottom</wp:align>
              </wp:positionV>
              <wp:extent cx="1610360" cy="370205"/>
              <wp:effectExtent l="0" t="0" r="8890" b="0"/>
              <wp:wrapNone/>
              <wp:docPr id="726308342" name="Text Box 2"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4A4753F6" w14:textId="2D6CDFA2"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D6DD0" id="_x0000_t202" coordsize="21600,21600" o:spt="202" path="m,l,21600r21600,l21600,xe">
              <v:stroke joinstyle="miter"/>
              <v:path gradientshapeok="t" o:connecttype="rect"/>
            </v:shapetype>
            <v:shape id="Text Box 2" o:spid="_x0000_s1026" type="#_x0000_t202" alt="Classified as ECDC NORMAL " style="position:absolute;margin-left:0;margin-top:0;width:126.8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" filled="f" stroked="f">
              <v:fill o:detectmouseclick="t"/>
              <v:textbox style="mso-fit-shape-to-text:t" inset="0,0,0,15pt">
                <w:txbxContent>
                  <w:p w14:paraId="4A4753F6" w14:textId="2D6CDFA2"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5B55" w14:textId="555149EA" w:rsidR="0048146A" w:rsidRDefault="0048146A">
    <w:pPr>
      <w:pStyle w:val="Footer"/>
    </w:pPr>
    <w:r>
      <w:rPr>
        <w:noProof/>
      </w:rPr>
      <mc:AlternateContent>
        <mc:Choice Requires="wps">
          <w:drawing>
            <wp:anchor distT="0" distB="0" distL="0" distR="0" simplePos="0" relativeHeight="251660288" behindDoc="0" locked="0" layoutInCell="1" allowOverlap="1" wp14:anchorId="2A8D7997" wp14:editId="402D5513">
              <wp:simplePos x="914400" y="10058400"/>
              <wp:positionH relativeFrom="page">
                <wp:align>center</wp:align>
              </wp:positionH>
              <wp:positionV relativeFrom="page">
                <wp:align>bottom</wp:align>
              </wp:positionV>
              <wp:extent cx="1610360" cy="370205"/>
              <wp:effectExtent l="0" t="0" r="8890" b="0"/>
              <wp:wrapNone/>
              <wp:docPr id="840140208" name="Text Box 3"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32EDAD33" w14:textId="631A4BD3"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D7997" id="_x0000_t202" coordsize="21600,21600" o:spt="202" path="m,l,21600r21600,l21600,xe">
              <v:stroke joinstyle="miter"/>
              <v:path gradientshapeok="t" o:connecttype="rect"/>
            </v:shapetype>
            <v:shape id="Text Box 3" o:spid="_x0000_s1027" type="#_x0000_t202" alt="Classified as ECDC NORMAL " style="position:absolute;margin-left:0;margin-top:0;width:126.8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" filled="f" stroked="f">
              <v:fill o:detectmouseclick="t"/>
              <v:textbox style="mso-fit-shape-to-text:t" inset="0,0,0,15pt">
                <w:txbxContent>
                  <w:p w14:paraId="32EDAD33" w14:textId="631A4BD3"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8B86D" w14:textId="559630EE" w:rsidR="0048146A" w:rsidRDefault="0048146A">
    <w:pPr>
      <w:pStyle w:val="Footer"/>
    </w:pPr>
    <w:r>
      <w:rPr>
        <w:noProof/>
      </w:rPr>
      <mc:AlternateContent>
        <mc:Choice Requires="wps">
          <w:drawing>
            <wp:anchor distT="0" distB="0" distL="0" distR="0" simplePos="0" relativeHeight="251658240" behindDoc="0" locked="0" layoutInCell="1" allowOverlap="1" wp14:anchorId="7DDFF5B8" wp14:editId="74AE593D">
              <wp:simplePos x="635" y="635"/>
              <wp:positionH relativeFrom="page">
                <wp:align>center</wp:align>
              </wp:positionH>
              <wp:positionV relativeFrom="page">
                <wp:align>bottom</wp:align>
              </wp:positionV>
              <wp:extent cx="1610360" cy="370205"/>
              <wp:effectExtent l="0" t="0" r="8890" b="0"/>
              <wp:wrapNone/>
              <wp:docPr id="252078843" name="Text Box 1" descr="Classified as ECDC NORM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0360" cy="370205"/>
                      </a:xfrm>
                      <a:prstGeom prst="rect">
                        <a:avLst/>
                      </a:prstGeom>
                      <a:noFill/>
                      <a:ln>
                        <a:noFill/>
                      </a:ln>
                    </wps:spPr>
                    <wps:txbx>
                      <w:txbxContent>
                        <w:p w14:paraId="788CFCD3" w14:textId="53CC2276"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DFF5B8" id="_x0000_t202" coordsize="21600,21600" o:spt="202" path="m,l,21600r21600,l21600,xe">
              <v:stroke joinstyle="miter"/>
              <v:path gradientshapeok="t" o:connecttype="rect"/>
            </v:shapetype>
            <v:shape id="Text Box 1" o:spid="_x0000_s1028" type="#_x0000_t202" alt="Classified as ECDC NORMAL " style="position:absolute;margin-left:0;margin-top:0;width:126.8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" filled="f" stroked="f">
              <v:fill o:detectmouseclick="t"/>
              <v:textbox style="mso-fit-shape-to-text:t" inset="0,0,0,15pt">
                <w:txbxContent>
                  <w:p w14:paraId="788CFCD3" w14:textId="53CC2276" w:rsidR="0048146A" w:rsidRPr="0048146A" w:rsidRDefault="0048146A" w:rsidP="0048146A">
                    <w:pPr>
                      <w:spacing w:after="0"/>
                      <w:rPr>
                        <w:rFonts w:ascii="Aptos" w:eastAsia="Aptos" w:hAnsi="Aptos" w:cs="Aptos"/>
                        <w:noProof/>
                        <w:color w:val="000000"/>
                        <w:sz w:val="20"/>
                        <w:szCs w:val="20"/>
                      </w:rPr>
                    </w:pPr>
                    <w:r w:rsidRPr="0048146A">
                      <w:rPr>
                        <w:rFonts w:ascii="Aptos" w:eastAsia="Aptos" w:hAnsi="Aptos" w:cs="Aptos"/>
                        <w:noProof/>
                        <w:color w:val="000000"/>
                        <w:sz w:val="20"/>
                        <w:szCs w:val="20"/>
                      </w:rPr>
                      <w:t>Classified as ECDC NORMAL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A5F0" w14:textId="77777777" w:rsidR="0048146A" w:rsidRDefault="0048146A" w:rsidP="0048146A">
      <w:pPr>
        <w:spacing w:after="0" w:line="240" w:lineRule="auto"/>
      </w:pPr>
      <w:r>
        <w:separator/>
      </w:r>
    </w:p>
  </w:footnote>
  <w:footnote w:type="continuationSeparator" w:id="0">
    <w:p w14:paraId="30FFBCF7" w14:textId="77777777" w:rsidR="0048146A" w:rsidRDefault="0048146A" w:rsidP="00481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6A"/>
    <w:rsid w:val="000650A6"/>
    <w:rsid w:val="00076511"/>
    <w:rsid w:val="0048146A"/>
    <w:rsid w:val="0074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572C"/>
  <w15:chartTrackingRefBased/>
  <w15:docId w15:val="{451FD477-FD63-49EE-8AFB-247EA3EF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46A"/>
    <w:rPr>
      <w:rFonts w:eastAsiaTheme="majorEastAsia" w:cstheme="majorBidi"/>
      <w:color w:val="272727" w:themeColor="text1" w:themeTint="D8"/>
    </w:rPr>
  </w:style>
  <w:style w:type="paragraph" w:styleId="Title">
    <w:name w:val="Title"/>
    <w:basedOn w:val="Normal"/>
    <w:next w:val="Normal"/>
    <w:link w:val="TitleChar"/>
    <w:uiPriority w:val="10"/>
    <w:qFormat/>
    <w:rsid w:val="00481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46A"/>
    <w:pPr>
      <w:spacing w:before="160"/>
      <w:jc w:val="center"/>
    </w:pPr>
    <w:rPr>
      <w:i/>
      <w:iCs/>
      <w:color w:val="404040" w:themeColor="text1" w:themeTint="BF"/>
    </w:rPr>
  </w:style>
  <w:style w:type="character" w:customStyle="1" w:styleId="QuoteChar">
    <w:name w:val="Quote Char"/>
    <w:basedOn w:val="DefaultParagraphFont"/>
    <w:link w:val="Quote"/>
    <w:uiPriority w:val="29"/>
    <w:rsid w:val="0048146A"/>
    <w:rPr>
      <w:i/>
      <w:iCs/>
      <w:color w:val="404040" w:themeColor="text1" w:themeTint="BF"/>
    </w:rPr>
  </w:style>
  <w:style w:type="paragraph" w:styleId="ListParagraph">
    <w:name w:val="List Paragraph"/>
    <w:basedOn w:val="Normal"/>
    <w:uiPriority w:val="34"/>
    <w:qFormat/>
    <w:rsid w:val="0048146A"/>
    <w:pPr>
      <w:ind w:left="720"/>
      <w:contextualSpacing/>
    </w:pPr>
  </w:style>
  <w:style w:type="character" w:styleId="IntenseEmphasis">
    <w:name w:val="Intense Emphasis"/>
    <w:basedOn w:val="DefaultParagraphFont"/>
    <w:uiPriority w:val="21"/>
    <w:qFormat/>
    <w:rsid w:val="0048146A"/>
    <w:rPr>
      <w:i/>
      <w:iCs/>
      <w:color w:val="0F4761" w:themeColor="accent1" w:themeShade="BF"/>
    </w:rPr>
  </w:style>
  <w:style w:type="paragraph" w:styleId="IntenseQuote">
    <w:name w:val="Intense Quote"/>
    <w:basedOn w:val="Normal"/>
    <w:next w:val="Normal"/>
    <w:link w:val="IntenseQuoteChar"/>
    <w:uiPriority w:val="30"/>
    <w:qFormat/>
    <w:rsid w:val="00481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46A"/>
    <w:rPr>
      <w:i/>
      <w:iCs/>
      <w:color w:val="0F4761" w:themeColor="accent1" w:themeShade="BF"/>
    </w:rPr>
  </w:style>
  <w:style w:type="character" w:styleId="IntenseReference">
    <w:name w:val="Intense Reference"/>
    <w:basedOn w:val="DefaultParagraphFont"/>
    <w:uiPriority w:val="32"/>
    <w:qFormat/>
    <w:rsid w:val="0048146A"/>
    <w:rPr>
      <w:b/>
      <w:bCs/>
      <w:smallCaps/>
      <w:color w:val="0F4761" w:themeColor="accent1" w:themeShade="BF"/>
      <w:spacing w:val="5"/>
    </w:rPr>
  </w:style>
  <w:style w:type="table" w:customStyle="1" w:styleId="ECTable">
    <w:name w:val="EC Table"/>
    <w:basedOn w:val="TableNormal"/>
    <w:rsid w:val="0048146A"/>
    <w:pPr>
      <w:widowControl w:val="0"/>
      <w:kinsoku w:val="0"/>
      <w:overflowPunct w:val="0"/>
      <w:autoSpaceDE w:val="0"/>
      <w:autoSpaceDN w:val="0"/>
      <w:spacing w:after="0" w:line="228" w:lineRule="auto"/>
      <w:jc w:val="center"/>
    </w:pPr>
    <w:rPr>
      <w:rFonts w:ascii="Arial Narrow" w:eastAsia="Batang" w:hAnsi="Arial Narrow" w:cs="Tahoma"/>
      <w:color w:val="000000"/>
      <w:kern w:val="0"/>
      <w:sz w:val="16"/>
      <w:szCs w:val="16"/>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styleId="Footer">
    <w:name w:val="footer"/>
    <w:basedOn w:val="Normal"/>
    <w:link w:val="FooterChar"/>
    <w:uiPriority w:val="99"/>
    <w:unhideWhenUsed/>
    <w:rsid w:val="00481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6aa37e-3a89-4bd8-9367-95b8219209ae}" enabled="1" method="Standard" siteId="{6ad73702-409c-4046-ae59-cc4bea33450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5951</Characters>
  <Application>Microsoft Office Word</Application>
  <DocSecurity>0</DocSecurity>
  <Lines>49</Lines>
  <Paragraphs>13</Paragraphs>
  <ScaleCrop>false</ScaleCrop>
  <Company>ECDC</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Rumila Edward</dc:creator>
  <cp:keywords/>
  <dc:description/>
  <cp:lastModifiedBy>Rumila Edward</cp:lastModifiedBy>
  <cp:revision>2</cp:revision>
  <dcterms:created xsi:type="dcterms:W3CDTF">2026-02-12T13:54:00Z</dcterms:created>
  <dcterms:modified xsi:type="dcterms:W3CDTF">2026-02-13T08:55:00Z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f066afb,2b4a95f6,321385b0</vt:lpwstr>
  </property>
  <property fmtid="{D5CDD505-2E9C-101B-9397-08002B2CF9AE}" pid="3" name="ClassificationContentMarkingFooterFontProps">
    <vt:lpwstr>#000000,10,Aptos</vt:lpwstr>
  </property>
  <property fmtid="{D5CDD505-2E9C-101B-9397-08002B2CF9AE}" pid="4" name="ClassificationContentMarkingFooterText">
    <vt:lpwstr>Classified as ECDC NORMAL </vt:lpwstr>
  </property>
</Properties>
</file>