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1AAD" w14:textId="31FBA2F8" w:rsidR="00E91EEE" w:rsidRPr="00E91EEE" w:rsidRDefault="00E91EEE" w:rsidP="00E91EEE">
      <w:pPr>
        <w:autoSpaceDE w:val="0"/>
        <w:autoSpaceDN w:val="0"/>
        <w:adjustRightInd w:val="0"/>
        <w:spacing w:after="240" w:line="240" w:lineRule="auto"/>
        <w:outlineLvl w:val="0"/>
        <w:rPr>
          <w:rFonts w:ascii="Tahoma" w:eastAsia="Batang" w:hAnsi="Tahoma" w:cs="Tahoma"/>
          <w:b/>
          <w:bCs/>
          <w:color w:val="65B32E"/>
          <w:kern w:val="0"/>
          <w:sz w:val="40"/>
          <w:szCs w:val="40"/>
          <w:lang w:val="en-IE"/>
          <w14:ligatures w14:val="none"/>
        </w:rPr>
      </w:pPr>
      <w:bookmarkStart w:id="0" w:name="_Toc160729130"/>
      <w:r w:rsidRPr="00E91EEE">
        <w:rPr>
          <w:rFonts w:ascii="Tahoma" w:eastAsia="Batang" w:hAnsi="Tahoma" w:cs="Tahoma"/>
          <w:b/>
          <w:bCs/>
          <w:color w:val="65B32E"/>
          <w:kern w:val="0"/>
          <w:sz w:val="40"/>
          <w:szCs w:val="40"/>
          <w:lang w:val="en-IE"/>
          <w14:ligatures w14:val="none"/>
        </w:rPr>
        <w:t xml:space="preserve">Appendix 2. List of suggested relevant stakeholders to involve in </w:t>
      </w:r>
      <w:bookmarkEnd w:id="0"/>
      <w:r w:rsidRPr="00E91EEE">
        <w:rPr>
          <w:rFonts w:ascii="Tahoma" w:eastAsia="Batang" w:hAnsi="Tahoma" w:cs="Tahoma"/>
          <w:b/>
          <w:bCs/>
          <w:color w:val="65B32E"/>
          <w:kern w:val="0"/>
          <w:sz w:val="40"/>
          <w:szCs w:val="40"/>
          <w:lang w:val="en-IE"/>
          <w14:ligatures w14:val="none"/>
        </w:rPr>
        <w:t xml:space="preserve">ECDC Public Health Emergency Preparedness Assessment </w:t>
      </w:r>
    </w:p>
    <w:tbl>
      <w:tblPr>
        <w:tblStyle w:val="ECTable"/>
        <w:tblW w:w="0" w:type="auto"/>
        <w:tblLook w:val="04A0" w:firstRow="1" w:lastRow="0" w:firstColumn="1" w:lastColumn="0" w:noHBand="0" w:noVBand="1"/>
      </w:tblPr>
      <w:tblGrid>
        <w:gridCol w:w="2053"/>
        <w:gridCol w:w="2424"/>
        <w:gridCol w:w="2865"/>
        <w:gridCol w:w="1674"/>
      </w:tblGrid>
      <w:tr w:rsidR="00E91EEE" w:rsidRPr="00E91EEE" w14:paraId="6640A086" w14:textId="77777777" w:rsidTr="00084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tcPr>
          <w:p w14:paraId="012A3CBD" w14:textId="77777777" w:rsidR="00E91EEE" w:rsidRPr="00E91EEE" w:rsidRDefault="00E91EEE" w:rsidP="00E91EEE">
            <w:pPr>
              <w:rPr>
                <w:rFonts w:ascii="Tahoma" w:eastAsia="Tahoma" w:hAnsi="Tahoma"/>
                <w:color w:val="F2F2F2"/>
                <w:lang w:val="en-IE" w:eastAsia="ko-KR"/>
              </w:rPr>
            </w:pPr>
            <w:r w:rsidRPr="00E91EEE">
              <w:rPr>
                <w:rFonts w:ascii="Tahoma" w:eastAsia="Tahoma" w:hAnsi="Tahoma"/>
                <w:color w:val="F2F2F2"/>
                <w:lang w:val="en-IE" w:eastAsia="ko-KR"/>
              </w:rPr>
              <w:t>Appendix name</w:t>
            </w:r>
          </w:p>
        </w:tc>
        <w:tc>
          <w:tcPr>
            <w:tcW w:w="2468" w:type="dxa"/>
          </w:tcPr>
          <w:p w14:paraId="4C68C2A0" w14:textId="77777777" w:rsidR="00E91EEE" w:rsidRPr="00E91EEE" w:rsidRDefault="00E91EEE" w:rsidP="00E91EEE">
            <w:pPr>
              <w:cnfStyle w:val="100000000000" w:firstRow="1" w:lastRow="0" w:firstColumn="0" w:lastColumn="0" w:oddVBand="0" w:evenVBand="0" w:oddHBand="0" w:evenHBand="0" w:firstRowFirstColumn="0" w:firstRowLastColumn="0" w:lastRowFirstColumn="0" w:lastRowLastColumn="0"/>
              <w:rPr>
                <w:rFonts w:ascii="Tahoma" w:eastAsia="Tahoma" w:hAnsi="Tahoma"/>
                <w:color w:val="F2F2F2"/>
                <w:lang w:val="en-IE" w:eastAsia="ko-KR"/>
              </w:rPr>
            </w:pPr>
            <w:r w:rsidRPr="00E91EEE">
              <w:rPr>
                <w:rFonts w:ascii="Tahoma" w:eastAsia="Tahoma" w:hAnsi="Tahoma"/>
                <w:color w:val="F2F2F2"/>
                <w:lang w:val="en-IE" w:eastAsia="ko-KR"/>
              </w:rPr>
              <w:t>Function</w:t>
            </w:r>
          </w:p>
        </w:tc>
        <w:tc>
          <w:tcPr>
            <w:tcW w:w="2924" w:type="dxa"/>
          </w:tcPr>
          <w:p w14:paraId="69FF5528" w14:textId="77777777" w:rsidR="00E91EEE" w:rsidRPr="00E91EEE" w:rsidRDefault="00E91EEE" w:rsidP="00E91EEE">
            <w:pPr>
              <w:cnfStyle w:val="100000000000" w:firstRow="1" w:lastRow="0" w:firstColumn="0" w:lastColumn="0" w:oddVBand="0" w:evenVBand="0" w:oddHBand="0" w:evenHBand="0" w:firstRowFirstColumn="0" w:firstRowLastColumn="0" w:lastRowFirstColumn="0" w:lastRowLastColumn="0"/>
              <w:rPr>
                <w:rFonts w:ascii="Tahoma" w:eastAsia="Tahoma" w:hAnsi="Tahoma"/>
                <w:color w:val="F2F2F2"/>
                <w:lang w:val="en-IE" w:eastAsia="ko-KR"/>
              </w:rPr>
            </w:pPr>
            <w:r w:rsidRPr="00E91EEE">
              <w:rPr>
                <w:rFonts w:ascii="Tahoma" w:eastAsia="Tahoma" w:hAnsi="Tahoma"/>
                <w:color w:val="F2F2F2"/>
                <w:lang w:val="en-IE" w:eastAsia="ko-KR"/>
              </w:rPr>
              <w:t>When to use it</w:t>
            </w:r>
          </w:p>
        </w:tc>
        <w:tc>
          <w:tcPr>
            <w:tcW w:w="1698" w:type="dxa"/>
          </w:tcPr>
          <w:p w14:paraId="0372CD74" w14:textId="77777777" w:rsidR="00E91EEE" w:rsidRPr="00E91EEE" w:rsidRDefault="00E91EEE" w:rsidP="00E91EEE">
            <w:pPr>
              <w:cnfStyle w:val="100000000000" w:firstRow="1" w:lastRow="0" w:firstColumn="0" w:lastColumn="0" w:oddVBand="0" w:evenVBand="0" w:oddHBand="0" w:evenHBand="0" w:firstRowFirstColumn="0" w:firstRowLastColumn="0" w:lastRowFirstColumn="0" w:lastRowLastColumn="0"/>
              <w:rPr>
                <w:rFonts w:ascii="Tahoma" w:eastAsia="Tahoma" w:hAnsi="Tahoma"/>
                <w:color w:val="F2F2F2"/>
                <w:lang w:val="en-IE" w:eastAsia="ko-KR"/>
              </w:rPr>
            </w:pPr>
            <w:r w:rsidRPr="00E91EEE">
              <w:rPr>
                <w:rFonts w:ascii="Tahoma" w:eastAsia="Tahoma" w:hAnsi="Tahoma"/>
                <w:bCs/>
                <w:color w:val="F2F2F2"/>
                <w:lang w:val="en-IE" w:eastAsia="ko-KR"/>
              </w:rPr>
              <w:t>Purpose</w:t>
            </w:r>
          </w:p>
        </w:tc>
      </w:tr>
      <w:tr w:rsidR="00E91EEE" w:rsidRPr="00E91EEE" w14:paraId="14B87BEC" w14:textId="77777777" w:rsidTr="00084C86">
        <w:tc>
          <w:tcPr>
            <w:cnfStyle w:val="001000000000" w:firstRow="0" w:lastRow="0" w:firstColumn="1" w:lastColumn="0" w:oddVBand="0" w:evenVBand="0" w:oddHBand="0" w:evenHBand="0" w:firstRowFirstColumn="0" w:firstRowLastColumn="0" w:lastRowFirstColumn="0" w:lastRowLastColumn="0"/>
            <w:tcW w:w="2085" w:type="dxa"/>
          </w:tcPr>
          <w:p w14:paraId="585B1629" w14:textId="77777777" w:rsidR="00E91EEE" w:rsidRPr="00E91EEE" w:rsidRDefault="00E91EEE" w:rsidP="00E91EEE">
            <w:pPr>
              <w:rPr>
                <w:rFonts w:ascii="Tahoma" w:eastAsia="Tahoma" w:hAnsi="Tahoma"/>
                <w:lang w:val="en-IE" w:eastAsia="ko-KR"/>
              </w:rPr>
            </w:pPr>
            <w:r w:rsidRPr="00E91EEE">
              <w:rPr>
                <w:rFonts w:ascii="Tahoma" w:eastAsia="Tahoma" w:hAnsi="Tahoma"/>
                <w:lang w:val="en-IE" w:eastAsia="ko-KR"/>
              </w:rPr>
              <w:t>2. Stakeholders’ list</w:t>
            </w:r>
          </w:p>
        </w:tc>
        <w:tc>
          <w:tcPr>
            <w:tcW w:w="2468" w:type="dxa"/>
          </w:tcPr>
          <w:p w14:paraId="396E08CC" w14:textId="77777777" w:rsidR="00E91EEE" w:rsidRPr="00E91EEE" w:rsidRDefault="00E91EEE" w:rsidP="00E91EEE">
            <w:pPr>
              <w:cnfStyle w:val="000000000000" w:firstRow="0" w:lastRow="0" w:firstColumn="0" w:lastColumn="0" w:oddVBand="0" w:evenVBand="0" w:oddHBand="0" w:evenHBand="0" w:firstRowFirstColumn="0" w:firstRowLastColumn="0" w:lastRowFirstColumn="0" w:lastRowLastColumn="0"/>
              <w:rPr>
                <w:rFonts w:ascii="Tahoma" w:eastAsia="Tahoma" w:hAnsi="Tahoma"/>
                <w:lang w:val="en-IE" w:eastAsia="ko-KR"/>
              </w:rPr>
            </w:pPr>
            <w:r w:rsidRPr="00E91EEE">
              <w:rPr>
                <w:rFonts w:ascii="Tahoma" w:hAnsi="Tahoma"/>
                <w:lang w:eastAsia="ko-KR"/>
              </w:rPr>
              <w:t>List of suggested national stakeholders relevant for the assessment process</w:t>
            </w:r>
          </w:p>
        </w:tc>
        <w:tc>
          <w:tcPr>
            <w:tcW w:w="2924" w:type="dxa"/>
          </w:tcPr>
          <w:p w14:paraId="4D545526" w14:textId="77777777" w:rsidR="00E91EEE" w:rsidRPr="00E91EEE" w:rsidRDefault="00E91EEE" w:rsidP="00E91EEE">
            <w:pPr>
              <w:cnfStyle w:val="000000000000" w:firstRow="0" w:lastRow="0" w:firstColumn="0" w:lastColumn="0" w:oddVBand="0" w:evenVBand="0" w:oddHBand="0" w:evenHBand="0" w:firstRowFirstColumn="0" w:firstRowLastColumn="0" w:lastRowFirstColumn="0" w:lastRowLastColumn="0"/>
              <w:rPr>
                <w:rFonts w:ascii="Tahoma" w:eastAsia="Tahoma" w:hAnsi="Tahoma"/>
                <w:lang w:val="en-IE" w:eastAsia="ko-KR"/>
              </w:rPr>
            </w:pPr>
            <w:r w:rsidRPr="00E91EEE">
              <w:rPr>
                <w:rFonts w:ascii="Tahoma" w:eastAsia="Tahoma" w:hAnsi="Tahoma"/>
                <w:lang w:val="en-IE" w:eastAsia="ko-KR"/>
              </w:rPr>
              <w:t>Preparatory period, before the country visit</w:t>
            </w:r>
          </w:p>
        </w:tc>
        <w:tc>
          <w:tcPr>
            <w:tcW w:w="1698" w:type="dxa"/>
          </w:tcPr>
          <w:p w14:paraId="375360E1" w14:textId="77777777" w:rsidR="00E91EEE" w:rsidRPr="00E91EEE" w:rsidRDefault="00E91EEE" w:rsidP="00E91EEE">
            <w:pPr>
              <w:cnfStyle w:val="000000000000" w:firstRow="0" w:lastRow="0" w:firstColumn="0" w:lastColumn="0" w:oddVBand="0" w:evenVBand="0" w:oddHBand="0" w:evenHBand="0" w:firstRowFirstColumn="0" w:firstRowLastColumn="0" w:lastRowFirstColumn="0" w:lastRowLastColumn="0"/>
              <w:rPr>
                <w:rFonts w:ascii="Tahoma" w:hAnsi="Tahoma"/>
                <w:lang w:eastAsia="ko-KR"/>
              </w:rPr>
            </w:pPr>
            <w:r w:rsidRPr="00E91EEE">
              <w:rPr>
                <w:rFonts w:ascii="Tahoma" w:hAnsi="Tahoma"/>
                <w:lang w:eastAsia="ko-KR"/>
              </w:rPr>
              <w:t>For information</w:t>
            </w:r>
          </w:p>
        </w:tc>
      </w:tr>
    </w:tbl>
    <w:p w14:paraId="0476BA98" w14:textId="77777777" w:rsidR="00E91EEE" w:rsidRPr="00E91EEE" w:rsidRDefault="00E91EEE" w:rsidP="00E91EEE">
      <w:pPr>
        <w:kinsoku w:val="0"/>
        <w:autoSpaceDE w:val="0"/>
        <w:autoSpaceDN w:val="0"/>
        <w:adjustRightInd w:val="0"/>
        <w:spacing w:before="120" w:after="120" w:line="240" w:lineRule="auto"/>
        <w:rPr>
          <w:rFonts w:ascii="Tahoma" w:eastAsia="Arial Unicode MS" w:hAnsi="Tahoma" w:cs="Tahoma"/>
          <w:color w:val="000000"/>
          <w:kern w:val="16"/>
          <w:sz w:val="18"/>
          <w:szCs w:val="18"/>
          <w:lang w:eastAsia="ko-KR"/>
          <w14:ligatures w14:val="none"/>
        </w:rPr>
      </w:pPr>
      <w:r w:rsidRPr="00E91EEE">
        <w:rPr>
          <w:rFonts w:ascii="Tahoma" w:eastAsia="Arial Unicode MS" w:hAnsi="Tahoma" w:cs="Tahoma"/>
          <w:color w:val="000000"/>
          <w:kern w:val="16"/>
          <w:sz w:val="18"/>
          <w:szCs w:val="18"/>
          <w:lang w:eastAsia="ko-KR"/>
          <w14:ligatures w14:val="none"/>
        </w:rPr>
        <w:t>The list below presents the suggested national experts that could support the assessment process for each of the 16 capacities. Stakeholders from a wide range of sectors are included, as the national context varies significantly from country to country. Therefore, the list should be adapted by each country according to its needs, and any expert not foreseen on this list but deemed relevant by the country should be involved. Technical experts in charge or with knowledge about different aspects and mechanisms under assessment are expected to join the assessment, together with decision-making and governance stakeholders. As a golden rule, all stakeholders and bodies to which reference is being made during the discussions should participate in the assessment process and/or the country visit.</w:t>
      </w:r>
    </w:p>
    <w:p w14:paraId="59E112FD" w14:textId="77777777" w:rsidR="00E91EEE" w:rsidRPr="00E91EEE" w:rsidRDefault="00E91EEE" w:rsidP="00E91EEE">
      <w:pPr>
        <w:kinsoku w:val="0"/>
        <w:autoSpaceDE w:val="0"/>
        <w:autoSpaceDN w:val="0"/>
        <w:adjustRightInd w:val="0"/>
        <w:spacing w:after="120" w:line="240" w:lineRule="auto"/>
        <w:rPr>
          <w:rFonts w:ascii="Tahoma" w:eastAsia="Arial Unicode MS" w:hAnsi="Tahoma" w:cs="Tahoma"/>
          <w:color w:val="000000"/>
          <w:kern w:val="16"/>
          <w:sz w:val="18"/>
          <w:szCs w:val="18"/>
          <w:lang w:eastAsia="ko-KR"/>
          <w14:ligatures w14:val="none"/>
        </w:rPr>
      </w:pPr>
      <w:r w:rsidRPr="00E91EEE">
        <w:rPr>
          <w:rFonts w:ascii="Tahoma" w:eastAsia="Arial Unicode MS" w:hAnsi="Tahoma" w:cs="Tahoma"/>
          <w:color w:val="000000"/>
          <w:kern w:val="16"/>
          <w:sz w:val="18"/>
          <w:szCs w:val="18"/>
          <w:lang w:eastAsia="ko-KR"/>
          <w14:ligatures w14:val="none"/>
        </w:rPr>
        <w:t xml:space="preserve">All stakeholders are welcome to participate in the generic sessions including the opening and country overview presentation, the cross-cutting aspects session and the presentation of the main findings, recommendations and conclusion. However, stakeholders whose role is limited to supporting a specific capacity may participate only in the session where that capacity is assessed and not necessarily need to take part in the entire assessment process. Online participation can be arranged if considered beneficial for the national experts. </w:t>
      </w:r>
    </w:p>
    <w:p w14:paraId="2AA24F79" w14:textId="77777777" w:rsidR="00E91EEE" w:rsidRPr="00E91EEE" w:rsidRDefault="00E91EEE" w:rsidP="00E91EEE">
      <w:pPr>
        <w:kinsoku w:val="0"/>
        <w:autoSpaceDE w:val="0"/>
        <w:autoSpaceDN w:val="0"/>
        <w:adjustRightInd w:val="0"/>
        <w:spacing w:after="120" w:line="240" w:lineRule="auto"/>
        <w:rPr>
          <w:rFonts w:ascii="Tahoma" w:eastAsia="Arial Unicode MS" w:hAnsi="Tahoma" w:cs="Tahoma"/>
          <w:color w:val="000000"/>
          <w:kern w:val="16"/>
          <w:sz w:val="18"/>
          <w:szCs w:val="18"/>
          <w:lang w:eastAsia="ko-KR"/>
          <w14:ligatures w14:val="none"/>
        </w:rPr>
      </w:pPr>
      <w:r w:rsidRPr="00E91EEE">
        <w:rPr>
          <w:rFonts w:ascii="Tahoma" w:eastAsia="Arial Unicode MS" w:hAnsi="Tahoma" w:cs="Tahoma"/>
          <w:color w:val="000000"/>
          <w:kern w:val="16"/>
          <w:sz w:val="18"/>
          <w:szCs w:val="18"/>
          <w:lang w:eastAsia="ko-KR"/>
          <w14:ligatures w14:val="none"/>
        </w:rPr>
        <w:t xml:space="preserve">Sub-national representation is encouraged during the assessment process, especially for the assessment of capacities where they hold relevant competencies within the country. Representation of all the regions is not necessary. </w:t>
      </w:r>
    </w:p>
    <w:p w14:paraId="2FCFAD73" w14:textId="77777777" w:rsidR="00E91EEE" w:rsidRPr="00E91EEE" w:rsidRDefault="00E91EEE" w:rsidP="00E91EEE">
      <w:pPr>
        <w:kinsoku w:val="0"/>
        <w:autoSpaceDE w:val="0"/>
        <w:autoSpaceDN w:val="0"/>
        <w:adjustRightInd w:val="0"/>
        <w:spacing w:after="120" w:line="240" w:lineRule="auto"/>
        <w:rPr>
          <w:rFonts w:ascii="Tahoma" w:eastAsia="Arial Unicode MS" w:hAnsi="Tahoma" w:cs="Tahoma"/>
          <w:color w:val="000000"/>
          <w:kern w:val="16"/>
          <w:sz w:val="18"/>
          <w:szCs w:val="18"/>
          <w:lang w:eastAsia="ko-KR"/>
          <w14:ligatures w14:val="none"/>
        </w:rPr>
      </w:pPr>
      <w:r w:rsidRPr="00E91EEE">
        <w:rPr>
          <w:rFonts w:ascii="Tahoma" w:eastAsia="Arial Unicode MS" w:hAnsi="Tahoma" w:cs="Tahoma"/>
          <w:color w:val="000000"/>
          <w:kern w:val="16"/>
          <w:sz w:val="18"/>
          <w:szCs w:val="18"/>
          <w:lang w:eastAsia="ko-KR"/>
          <w14:ligatures w14:val="none"/>
        </w:rPr>
        <w:t>Further guidance on the most appropriate national experts to be involved in each capacity assessed could be extracted from the table available in the Delegated regulation</w:t>
      </w:r>
      <w:r w:rsidRPr="00E91EEE">
        <w:rPr>
          <w:rFonts w:ascii="Tahoma" w:eastAsia="Arial Unicode MS" w:hAnsi="Tahoma" w:cs="Tahoma"/>
          <w:color w:val="000000"/>
          <w:kern w:val="16"/>
          <w:sz w:val="18"/>
          <w:szCs w:val="18"/>
          <w:lang w:eastAsia="ko-KR"/>
          <w14:ligatures w14:val="none"/>
        </w:rPr>
        <w:footnoteReference w:id="1"/>
      </w:r>
      <w:r w:rsidRPr="00E91EEE">
        <w:rPr>
          <w:rFonts w:ascii="Tahoma" w:eastAsia="Arial Unicode MS" w:hAnsi="Tahoma" w:cs="Tahoma"/>
          <w:color w:val="000000"/>
          <w:kern w:val="16"/>
          <w:sz w:val="18"/>
          <w:szCs w:val="18"/>
          <w:lang w:eastAsia="ko-KR"/>
          <w14:ligatures w14:val="none"/>
        </w:rPr>
        <w:t xml:space="preserve">. </w:t>
      </w:r>
    </w:p>
    <w:p w14:paraId="4D3DDC1C" w14:textId="77777777" w:rsidR="00E91EEE" w:rsidRPr="00E91EEE" w:rsidRDefault="00E91EEE" w:rsidP="00E91EEE">
      <w:pPr>
        <w:kinsoku w:val="0"/>
        <w:autoSpaceDE w:val="0"/>
        <w:autoSpaceDN w:val="0"/>
        <w:adjustRightInd w:val="0"/>
        <w:spacing w:after="120" w:line="240" w:lineRule="auto"/>
        <w:rPr>
          <w:rFonts w:ascii="Tahoma" w:eastAsia="Arial Unicode MS" w:hAnsi="Tahoma" w:cs="Tahoma"/>
          <w:color w:val="000000"/>
          <w:kern w:val="16"/>
          <w:sz w:val="18"/>
          <w:szCs w:val="18"/>
          <w:lang w:eastAsia="ko-KR"/>
          <w14:ligatures w14:val="none"/>
        </w:rPr>
      </w:pPr>
      <w:r w:rsidRPr="00E91EEE">
        <w:rPr>
          <w:rFonts w:ascii="Tahoma" w:eastAsia="Arial Unicode MS" w:hAnsi="Tahoma" w:cs="Tahoma"/>
          <w:color w:val="000000"/>
          <w:kern w:val="16"/>
          <w:sz w:val="18"/>
          <w:szCs w:val="18"/>
          <w:lang w:eastAsia="ko-KR"/>
          <w14:ligatures w14:val="none"/>
        </w:rPr>
        <w:t xml:space="preserve">It would also be a good option to involve the national experts that participated in the reporting under the Article 7 template of the SCBTH Regulation and SPAR. </w:t>
      </w:r>
    </w:p>
    <w:p w14:paraId="5931F503" w14:textId="77777777" w:rsidR="00E91EEE" w:rsidRPr="00E91EEE" w:rsidRDefault="00E91EEE" w:rsidP="00E91EEE">
      <w:pPr>
        <w:kinsoku w:val="0"/>
        <w:autoSpaceDE w:val="0"/>
        <w:autoSpaceDN w:val="0"/>
        <w:adjustRightInd w:val="0"/>
        <w:spacing w:after="120" w:line="240" w:lineRule="auto"/>
        <w:rPr>
          <w:rFonts w:ascii="Tahoma" w:eastAsia="Arial Unicode MS" w:hAnsi="Tahoma" w:cs="Tahoma"/>
          <w:color w:val="000000"/>
          <w:kern w:val="16"/>
          <w:sz w:val="18"/>
          <w:szCs w:val="18"/>
          <w:lang w:eastAsia="ko-KR"/>
          <w14:ligatures w14:val="none"/>
        </w:rPr>
      </w:pPr>
      <w:r w:rsidRPr="00E91EEE">
        <w:rPr>
          <w:rFonts w:ascii="Tahoma" w:eastAsia="Arial Unicode MS" w:hAnsi="Tahoma" w:cs="Tahoma"/>
          <w:color w:val="000000"/>
          <w:kern w:val="16"/>
          <w:sz w:val="18"/>
          <w:szCs w:val="18"/>
          <w:lang w:eastAsia="ko-KR"/>
          <w14:ligatures w14:val="none"/>
        </w:rPr>
        <w:t>Once the national experts have been selected and confirmed, their names and roles can be shared under the Appendix 1. Moreover, one Capacity Lead should be identified for each capacity.</w:t>
      </w:r>
    </w:p>
    <w:tbl>
      <w:tblPr>
        <w:tblStyle w:val="ECTable"/>
        <w:tblW w:w="9634" w:type="dxa"/>
        <w:tblLayout w:type="fixed"/>
        <w:tblLook w:val="04A0" w:firstRow="1" w:lastRow="0" w:firstColumn="1" w:lastColumn="0" w:noHBand="0" w:noVBand="1"/>
      </w:tblPr>
      <w:tblGrid>
        <w:gridCol w:w="1696"/>
        <w:gridCol w:w="5245"/>
        <w:gridCol w:w="2693"/>
      </w:tblGrid>
      <w:tr w:rsidR="00E91EEE" w:rsidRPr="00E91EEE" w14:paraId="4DAA3742" w14:textId="77777777" w:rsidTr="00084C86">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696" w:type="dxa"/>
          </w:tcPr>
          <w:p w14:paraId="6C9161EF" w14:textId="77777777" w:rsidR="00E91EEE" w:rsidRPr="00E91EEE" w:rsidRDefault="00E91EEE" w:rsidP="00E91EEE">
            <w:pPr>
              <w:keepNext/>
              <w:keepLines/>
              <w:spacing w:line="240" w:lineRule="auto"/>
              <w:rPr>
                <w:rFonts w:ascii="Tahoma" w:eastAsia="Times New Roman" w:hAnsi="Tahoma"/>
                <w:bCs/>
                <w:kern w:val="32"/>
                <w:lang w:val="en-IE" w:eastAsia="ko-KR"/>
              </w:rPr>
            </w:pPr>
            <w:r w:rsidRPr="00E91EEE">
              <w:rPr>
                <w:rFonts w:ascii="Tahoma" w:eastAsia="Times New Roman" w:hAnsi="Tahoma"/>
                <w:bCs/>
                <w:kern w:val="32"/>
                <w:lang w:val="en-IE" w:eastAsia="ko-KR"/>
              </w:rPr>
              <w:t>Capacity</w:t>
            </w:r>
            <w:r w:rsidRPr="00E91EEE">
              <w:rPr>
                <w:rFonts w:ascii="Tahoma" w:eastAsia="Times New Roman" w:hAnsi="Tahoma"/>
                <w:bCs/>
                <w:lang w:val="en-IE" w:eastAsia="ko-KR"/>
              </w:rPr>
              <w:t xml:space="preserve"> </w:t>
            </w:r>
          </w:p>
        </w:tc>
        <w:tc>
          <w:tcPr>
            <w:tcW w:w="5245" w:type="dxa"/>
          </w:tcPr>
          <w:p w14:paraId="2066F29B" w14:textId="77777777" w:rsidR="00E91EEE" w:rsidRPr="00E91EEE" w:rsidRDefault="00E91EEE" w:rsidP="00E91EEE">
            <w:pPr>
              <w:keepNext/>
              <w:keepLines/>
              <w:spacing w:line="240" w:lineRule="auto"/>
              <w:cnfStyle w:val="100000000000" w:firstRow="1" w:lastRow="0" w:firstColumn="0" w:lastColumn="0" w:oddVBand="0" w:evenVBand="0" w:oddHBand="0" w:evenHBand="0" w:firstRowFirstColumn="0" w:firstRowLastColumn="0" w:lastRowFirstColumn="0" w:lastRowLastColumn="0"/>
              <w:rPr>
                <w:rFonts w:ascii="Tahoma" w:eastAsia="Segoe UI" w:hAnsi="Tahoma"/>
                <w:kern w:val="32"/>
                <w:lang w:val="en-IE" w:eastAsia="ko-KR"/>
              </w:rPr>
            </w:pPr>
            <w:r w:rsidRPr="00E91EEE">
              <w:rPr>
                <w:rFonts w:ascii="Tahoma" w:eastAsia="Times New Roman" w:hAnsi="Tahoma"/>
                <w:bCs/>
                <w:kern w:val="32"/>
                <w:lang w:val="en-IE" w:eastAsia="ko-KR"/>
              </w:rPr>
              <w:t>Competency</w:t>
            </w:r>
            <w:r w:rsidRPr="00E91EEE">
              <w:rPr>
                <w:rFonts w:ascii="Tahoma" w:eastAsia="Times New Roman" w:hAnsi="Tahoma"/>
                <w:bCs/>
                <w:lang w:val="en-IE" w:eastAsia="ko-KR"/>
              </w:rPr>
              <w:t xml:space="preserve"> (responsible or involved expert, or representative from the responsible body to implement the below activities)</w:t>
            </w:r>
          </w:p>
        </w:tc>
        <w:tc>
          <w:tcPr>
            <w:tcW w:w="2693" w:type="dxa"/>
          </w:tcPr>
          <w:p w14:paraId="2875E3A0" w14:textId="77777777" w:rsidR="00E91EEE" w:rsidRPr="00E91EEE" w:rsidRDefault="00E91EEE" w:rsidP="00E91EEE">
            <w:pPr>
              <w:keepNext/>
              <w:keepLines/>
              <w:spacing w:line="240" w:lineRule="auto"/>
              <w:cnfStyle w:val="100000000000" w:firstRow="1" w:lastRow="0" w:firstColumn="0" w:lastColumn="0" w:oddVBand="0" w:evenVBand="0" w:oddHBand="0" w:evenHBand="0" w:firstRowFirstColumn="0" w:firstRowLastColumn="0" w:lastRowFirstColumn="0" w:lastRowLastColumn="0"/>
              <w:rPr>
                <w:rFonts w:ascii="Tahoma" w:eastAsia="Times New Roman" w:hAnsi="Tahoma"/>
                <w:bCs/>
                <w:kern w:val="32"/>
                <w:lang w:val="en-IE" w:eastAsia="ko-KR"/>
              </w:rPr>
            </w:pPr>
            <w:r w:rsidRPr="00E91EEE">
              <w:rPr>
                <w:rFonts w:ascii="Tahoma" w:eastAsia="Times New Roman" w:hAnsi="Tahoma"/>
                <w:bCs/>
                <w:kern w:val="32"/>
                <w:lang w:val="en-IE" w:eastAsia="ko-KR"/>
              </w:rPr>
              <w:t xml:space="preserve">Suggestion of relevant </w:t>
            </w:r>
            <w:r w:rsidRPr="00E91EEE">
              <w:rPr>
                <w:rFonts w:ascii="Tahoma" w:eastAsia="Times New Roman" w:hAnsi="Tahoma"/>
                <w:bCs/>
                <w:lang w:val="en-IE" w:eastAsia="ko-KR"/>
              </w:rPr>
              <w:t xml:space="preserve">institutions/ stakeholders </w:t>
            </w:r>
          </w:p>
        </w:tc>
      </w:tr>
      <w:tr w:rsidR="00E91EEE" w:rsidRPr="00E91EEE" w14:paraId="4C36DEFF" w14:textId="77777777" w:rsidTr="00084C86">
        <w:trPr>
          <w:trHeight w:val="20"/>
        </w:trPr>
        <w:tc>
          <w:tcPr>
            <w:cnfStyle w:val="001000000000" w:firstRow="0" w:lastRow="0" w:firstColumn="1" w:lastColumn="0" w:oddVBand="0" w:evenVBand="0" w:oddHBand="0" w:evenHBand="0" w:firstRowFirstColumn="0" w:firstRowLastColumn="0" w:lastRowFirstColumn="0" w:lastRowLastColumn="0"/>
            <w:tcW w:w="1696" w:type="dxa"/>
          </w:tcPr>
          <w:p w14:paraId="1616B96B" w14:textId="77777777" w:rsidR="00E91EEE" w:rsidRPr="00E91EEE" w:rsidRDefault="00E91EEE" w:rsidP="00E91EEE">
            <w:pPr>
              <w:keepNext/>
              <w:keepLines/>
              <w:numPr>
                <w:ilvl w:val="0"/>
                <w:numId w:val="1"/>
              </w:numPr>
              <w:spacing w:line="240" w:lineRule="auto"/>
              <w:rPr>
                <w:rFonts w:ascii="Tahoma" w:eastAsia="Times New Roman" w:hAnsi="Tahoma"/>
              </w:rPr>
            </w:pPr>
            <w:r w:rsidRPr="00E91EEE">
              <w:rPr>
                <w:rFonts w:ascii="Tahoma" w:hAnsi="Tahoma"/>
                <w:lang w:eastAsia="ko-KR"/>
              </w:rPr>
              <w:t>IHR implementation and coordination</w:t>
            </w:r>
          </w:p>
          <w:p w14:paraId="00D3FA91" w14:textId="77777777" w:rsidR="00E91EEE" w:rsidRPr="00E91EEE" w:rsidRDefault="00E91EEE" w:rsidP="00E91EEE">
            <w:pPr>
              <w:keepNext/>
              <w:keepLines/>
              <w:spacing w:line="240" w:lineRule="auto"/>
              <w:rPr>
                <w:rFonts w:ascii="Tahoma" w:hAnsi="Tahoma"/>
                <w:strike/>
                <w:lang w:eastAsia="ko-KR"/>
              </w:rPr>
            </w:pPr>
          </w:p>
        </w:tc>
        <w:tc>
          <w:tcPr>
            <w:tcW w:w="5245" w:type="dxa"/>
          </w:tcPr>
          <w:p w14:paraId="5F404518" w14:textId="77777777" w:rsidR="00E91EEE" w:rsidRPr="00E91EEE" w:rsidRDefault="00E91EEE" w:rsidP="00E91EEE">
            <w:pPr>
              <w:keepNext/>
              <w:keepLines/>
              <w:numPr>
                <w:ilvl w:val="0"/>
                <w:numId w:val="3"/>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Responsible body for IHR Focal Point functions, including for decision-making process</w:t>
            </w:r>
          </w:p>
          <w:p w14:paraId="3FA7A14E" w14:textId="77777777" w:rsidR="00E91EEE" w:rsidRPr="00E91EEE" w:rsidRDefault="00E91EEE" w:rsidP="00E91EEE">
            <w:pPr>
              <w:keepNext/>
              <w:keepLines/>
              <w:numPr>
                <w:ilvl w:val="0"/>
                <w:numId w:val="3"/>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Representatives from Ministries responsible for health policy development (with a focus on international health regulations)</w:t>
            </w:r>
          </w:p>
          <w:p w14:paraId="1CE40EBF" w14:textId="77777777" w:rsidR="00E91EEE" w:rsidRPr="00E91EEE" w:rsidRDefault="00E91EEE" w:rsidP="00E91EEE">
            <w:pPr>
              <w:keepNext/>
              <w:keepLines/>
              <w:numPr>
                <w:ilvl w:val="0"/>
                <w:numId w:val="2"/>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 xml:space="preserve">Responsible for coordination between different administrative levels and multi-sectorial coordination mechanisms </w:t>
            </w:r>
          </w:p>
        </w:tc>
        <w:tc>
          <w:tcPr>
            <w:tcW w:w="2693" w:type="dxa"/>
          </w:tcPr>
          <w:p w14:paraId="74166DF4" w14:textId="77777777" w:rsidR="00E91EEE" w:rsidRPr="00E91EEE" w:rsidRDefault="00E91EEE" w:rsidP="00E91EEE">
            <w:pPr>
              <w:keepNext/>
              <w:keepLines/>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Health</w:t>
            </w:r>
          </w:p>
          <w:p w14:paraId="1B852F2A" w14:textId="77777777" w:rsidR="00E91EEE" w:rsidRPr="00E91EEE" w:rsidRDefault="00E91EEE" w:rsidP="00E91EEE">
            <w:pPr>
              <w:keepNext/>
              <w:keepLines/>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Interior/Civil protection</w:t>
            </w:r>
          </w:p>
          <w:p w14:paraId="5F6F2C1B" w14:textId="77777777" w:rsidR="00E91EEE" w:rsidRPr="00E91EEE" w:rsidRDefault="00E91EEE" w:rsidP="00E91EEE">
            <w:pPr>
              <w:keepNext/>
              <w:keepLines/>
              <w:spacing w:line="240" w:lineRule="auto"/>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National Institute of Public Health/ Public Health Agency</w:t>
            </w:r>
          </w:p>
          <w:p w14:paraId="46FBFD72" w14:textId="77777777" w:rsidR="00E91EEE" w:rsidRPr="00E91EEE" w:rsidRDefault="00E91EEE" w:rsidP="00E91EEE">
            <w:pPr>
              <w:keepNext/>
              <w:keepLines/>
              <w:spacing w:line="240" w:lineRule="auto"/>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hAnsi="Tahoma"/>
                <w:lang w:val="en-IE" w:eastAsia="ko-KR"/>
              </w:rPr>
              <w:t>National disaster management authority</w:t>
            </w:r>
          </w:p>
        </w:tc>
      </w:tr>
      <w:tr w:rsidR="00E91EEE" w:rsidRPr="00E91EEE" w14:paraId="1B3FD4C6" w14:textId="77777777" w:rsidTr="00084C86">
        <w:trPr>
          <w:trHeight w:val="20"/>
        </w:trPr>
        <w:tc>
          <w:tcPr>
            <w:cnfStyle w:val="001000000000" w:firstRow="0" w:lastRow="0" w:firstColumn="1" w:lastColumn="0" w:oddVBand="0" w:evenVBand="0" w:oddHBand="0" w:evenHBand="0" w:firstRowFirstColumn="0" w:firstRowLastColumn="0" w:lastRowFirstColumn="0" w:lastRowLastColumn="0"/>
            <w:tcW w:w="1696" w:type="dxa"/>
          </w:tcPr>
          <w:p w14:paraId="7015BBA5" w14:textId="77777777" w:rsidR="00E91EEE" w:rsidRPr="00E91EEE" w:rsidRDefault="00E91EEE" w:rsidP="00E91EEE">
            <w:pPr>
              <w:numPr>
                <w:ilvl w:val="0"/>
                <w:numId w:val="1"/>
              </w:numPr>
              <w:spacing w:line="240" w:lineRule="auto"/>
              <w:contextualSpacing/>
              <w:rPr>
                <w:rFonts w:ascii="Tahoma" w:hAnsi="Tahoma"/>
                <w:strike/>
                <w:lang w:val="en-IE" w:eastAsia="ko-KR"/>
              </w:rPr>
            </w:pPr>
            <w:r w:rsidRPr="00E91EEE">
              <w:rPr>
                <w:rFonts w:ascii="Tahoma" w:eastAsia="Times New Roman" w:hAnsi="Tahoma"/>
              </w:rPr>
              <w:t>Financing</w:t>
            </w:r>
          </w:p>
        </w:tc>
        <w:tc>
          <w:tcPr>
            <w:tcW w:w="5245" w:type="dxa"/>
          </w:tcPr>
          <w:p w14:paraId="0CCC8F12" w14:textId="77777777" w:rsidR="00E91EEE" w:rsidRPr="00E91EEE" w:rsidRDefault="00E91EEE" w:rsidP="00E91EEE">
            <w:pPr>
              <w:numPr>
                <w:ilvl w:val="0"/>
                <w:numId w:val="4"/>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Responsible for the contingency funding to respond to public health threats</w:t>
            </w:r>
          </w:p>
          <w:p w14:paraId="1E996F32" w14:textId="77777777" w:rsidR="00E91EEE" w:rsidRPr="00E91EEE" w:rsidRDefault="00E91EEE" w:rsidP="00E91EEE">
            <w:pPr>
              <w:numPr>
                <w:ilvl w:val="0"/>
                <w:numId w:val="4"/>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Responsible for managing financial resources for IHR implementation</w:t>
            </w:r>
          </w:p>
        </w:tc>
        <w:tc>
          <w:tcPr>
            <w:tcW w:w="2693" w:type="dxa"/>
          </w:tcPr>
          <w:p w14:paraId="7F4B99D7"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Finance</w:t>
            </w:r>
          </w:p>
          <w:p w14:paraId="1259D4A7"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 xml:space="preserve">Ministry of Health </w:t>
            </w:r>
          </w:p>
        </w:tc>
      </w:tr>
      <w:tr w:rsidR="00E91EEE" w:rsidRPr="00E91EEE" w14:paraId="6A415F60" w14:textId="77777777" w:rsidTr="00084C86">
        <w:trPr>
          <w:trHeight w:val="20"/>
        </w:trPr>
        <w:tc>
          <w:tcPr>
            <w:cnfStyle w:val="001000000000" w:firstRow="0" w:lastRow="0" w:firstColumn="1" w:lastColumn="0" w:oddVBand="0" w:evenVBand="0" w:oddHBand="0" w:evenHBand="0" w:firstRowFirstColumn="0" w:firstRowLastColumn="0" w:lastRowFirstColumn="0" w:lastRowLastColumn="0"/>
            <w:tcW w:w="1696" w:type="dxa"/>
          </w:tcPr>
          <w:p w14:paraId="7AD27C0E" w14:textId="77777777" w:rsidR="00E91EEE" w:rsidRPr="00E91EEE" w:rsidRDefault="00E91EEE" w:rsidP="00E91EEE">
            <w:pPr>
              <w:numPr>
                <w:ilvl w:val="0"/>
                <w:numId w:val="1"/>
              </w:numPr>
              <w:spacing w:line="240" w:lineRule="auto"/>
              <w:contextualSpacing/>
              <w:rPr>
                <w:rFonts w:ascii="Tahoma" w:eastAsia="Times New Roman" w:hAnsi="Tahoma"/>
              </w:rPr>
            </w:pPr>
            <w:r w:rsidRPr="00E91EEE">
              <w:rPr>
                <w:rFonts w:ascii="Tahoma" w:eastAsia="Times New Roman" w:hAnsi="Tahoma"/>
              </w:rPr>
              <w:t>Laboratory</w:t>
            </w:r>
          </w:p>
        </w:tc>
        <w:tc>
          <w:tcPr>
            <w:tcW w:w="5245" w:type="dxa"/>
          </w:tcPr>
          <w:p w14:paraId="77EE13E7" w14:textId="77777777" w:rsidR="00E91EEE" w:rsidRPr="00E91EEE" w:rsidRDefault="00E91EEE" w:rsidP="00E91EEE">
            <w:pPr>
              <w:numPr>
                <w:ilvl w:val="0"/>
                <w:numId w:val="5"/>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 xml:space="preserve">Responsible for managing and scaling-up laboratory testing capacity and implement new diagnostic test  </w:t>
            </w:r>
          </w:p>
          <w:p w14:paraId="037E77A3" w14:textId="77777777" w:rsidR="00E91EEE" w:rsidRPr="00E91EEE" w:rsidRDefault="00E91EEE" w:rsidP="00E91EEE">
            <w:pPr>
              <w:numPr>
                <w:ilvl w:val="0"/>
                <w:numId w:val="5"/>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Responsible for manging the laboratory test result reporting</w:t>
            </w:r>
          </w:p>
          <w:p w14:paraId="25C05F4A" w14:textId="77777777" w:rsidR="00E91EEE" w:rsidRPr="00E91EEE" w:rsidRDefault="00E91EEE" w:rsidP="00E91EEE">
            <w:pPr>
              <w:numPr>
                <w:ilvl w:val="0"/>
                <w:numId w:val="6"/>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eastAsia="Times New Roman" w:hAnsi="Tahoma"/>
              </w:rPr>
              <w:t>Responsible for developing and/or implementing laboratory quality standards, biosafety and biosecurity measures</w:t>
            </w:r>
          </w:p>
        </w:tc>
        <w:tc>
          <w:tcPr>
            <w:tcW w:w="2693" w:type="dxa"/>
          </w:tcPr>
          <w:p w14:paraId="601460C3"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Health</w:t>
            </w:r>
          </w:p>
          <w:p w14:paraId="08D1129A"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National Health Laboratory Service</w:t>
            </w:r>
          </w:p>
          <w:p w14:paraId="57C357CA"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Public health laboratories</w:t>
            </w:r>
          </w:p>
          <w:p w14:paraId="7C0BC2E9"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 xml:space="preserve">Collaborating diagnostic centres  </w:t>
            </w:r>
          </w:p>
        </w:tc>
      </w:tr>
      <w:tr w:rsidR="00E91EEE" w:rsidRPr="00E91EEE" w14:paraId="0C64241C" w14:textId="77777777" w:rsidTr="00084C86">
        <w:trPr>
          <w:trHeight w:val="20"/>
        </w:trPr>
        <w:tc>
          <w:tcPr>
            <w:cnfStyle w:val="001000000000" w:firstRow="0" w:lastRow="0" w:firstColumn="1" w:lastColumn="0" w:oddVBand="0" w:evenVBand="0" w:oddHBand="0" w:evenHBand="0" w:firstRowFirstColumn="0" w:firstRowLastColumn="0" w:lastRowFirstColumn="0" w:lastRowLastColumn="0"/>
            <w:tcW w:w="1696" w:type="dxa"/>
          </w:tcPr>
          <w:p w14:paraId="68F4D418" w14:textId="77777777" w:rsidR="00E91EEE" w:rsidRPr="00E91EEE" w:rsidRDefault="00E91EEE" w:rsidP="00E91EEE">
            <w:pPr>
              <w:numPr>
                <w:ilvl w:val="0"/>
                <w:numId w:val="1"/>
              </w:numPr>
              <w:spacing w:line="240" w:lineRule="auto"/>
              <w:contextualSpacing/>
              <w:rPr>
                <w:rFonts w:ascii="Tahoma" w:eastAsia="Times New Roman" w:hAnsi="Tahoma"/>
              </w:rPr>
            </w:pPr>
            <w:r w:rsidRPr="00E91EEE">
              <w:rPr>
                <w:rFonts w:ascii="Tahoma" w:eastAsia="Times New Roman" w:hAnsi="Tahoma"/>
              </w:rPr>
              <w:t>S</w:t>
            </w:r>
            <w:r w:rsidRPr="00E91EEE">
              <w:rPr>
                <w:rFonts w:ascii="Tahoma" w:hAnsi="Tahoma"/>
              </w:rPr>
              <w:t xml:space="preserve">urveillance </w:t>
            </w:r>
          </w:p>
        </w:tc>
        <w:tc>
          <w:tcPr>
            <w:tcW w:w="5245" w:type="dxa"/>
          </w:tcPr>
          <w:p w14:paraId="13797DFB" w14:textId="77777777" w:rsidR="00E91EEE" w:rsidRPr="00E91EEE" w:rsidRDefault="00E91EEE" w:rsidP="00E91EEE">
            <w:pPr>
              <w:numPr>
                <w:ilvl w:val="0"/>
                <w:numId w:val="7"/>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Responsible for Early Warning Surveillance functions and event management at different administrative levels</w:t>
            </w:r>
          </w:p>
          <w:p w14:paraId="36E2B0D2" w14:textId="77777777" w:rsidR="00E91EEE" w:rsidRPr="00E91EEE" w:rsidRDefault="00E91EEE" w:rsidP="00E91EEE">
            <w:pPr>
              <w:numPr>
                <w:ilvl w:val="0"/>
                <w:numId w:val="7"/>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 xml:space="preserve">Responsible for monitoring and surge capacity of the surveillance system </w:t>
            </w:r>
          </w:p>
          <w:p w14:paraId="31A62954" w14:textId="77777777" w:rsidR="00E91EEE" w:rsidRPr="00E91EEE" w:rsidRDefault="00E91EEE" w:rsidP="00E91EEE">
            <w:pPr>
              <w:numPr>
                <w:ilvl w:val="0"/>
                <w:numId w:val="7"/>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 xml:space="preserve">Responsible for wastewater monitoring system </w:t>
            </w:r>
          </w:p>
          <w:p w14:paraId="4E8C4877" w14:textId="77777777" w:rsidR="00E91EEE" w:rsidRPr="00E91EEE" w:rsidRDefault="00E91EEE" w:rsidP="00E91EEE">
            <w:pPr>
              <w:numPr>
                <w:ilvl w:val="0"/>
                <w:numId w:val="7"/>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 xml:space="preserve">Responsible for the sentinel surveillance system, including representatives of the </w:t>
            </w:r>
            <w:r w:rsidRPr="00E91EEE">
              <w:rPr>
                <w:rFonts w:ascii="Tahoma" w:hAnsi="Tahoma"/>
                <w:lang w:val="en-IE" w:eastAsia="ko-KR"/>
              </w:rPr>
              <w:t>Association of Primary Health Care Doctors involved in sentinel surveillance</w:t>
            </w:r>
          </w:p>
        </w:tc>
        <w:tc>
          <w:tcPr>
            <w:tcW w:w="2693" w:type="dxa"/>
          </w:tcPr>
          <w:p w14:paraId="76C4EBF9"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Health</w:t>
            </w:r>
          </w:p>
          <w:p w14:paraId="7B9D9B20"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National Institute of Public Health/Public Health Agency</w:t>
            </w:r>
          </w:p>
          <w:p w14:paraId="68551B93"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Epidemiologists and disease Surveillance experts</w:t>
            </w:r>
          </w:p>
          <w:p w14:paraId="240FC779"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Data analysts responsible for health-related surveillance</w:t>
            </w:r>
          </w:p>
        </w:tc>
      </w:tr>
      <w:tr w:rsidR="00E91EEE" w:rsidRPr="00E91EEE" w14:paraId="09B9FF4B" w14:textId="77777777" w:rsidTr="00084C86">
        <w:trPr>
          <w:trHeight w:val="20"/>
        </w:trPr>
        <w:tc>
          <w:tcPr>
            <w:cnfStyle w:val="001000000000" w:firstRow="0" w:lastRow="0" w:firstColumn="1" w:lastColumn="0" w:oddVBand="0" w:evenVBand="0" w:oddHBand="0" w:evenHBand="0" w:firstRowFirstColumn="0" w:firstRowLastColumn="0" w:lastRowFirstColumn="0" w:lastRowLastColumn="0"/>
            <w:tcW w:w="1696" w:type="dxa"/>
          </w:tcPr>
          <w:p w14:paraId="78C9EDA8" w14:textId="77777777" w:rsidR="00E91EEE" w:rsidRPr="00E91EEE" w:rsidRDefault="00E91EEE" w:rsidP="00E91EEE">
            <w:pPr>
              <w:numPr>
                <w:ilvl w:val="0"/>
                <w:numId w:val="1"/>
              </w:numPr>
              <w:spacing w:line="240" w:lineRule="auto"/>
              <w:contextualSpacing/>
              <w:rPr>
                <w:rFonts w:ascii="Tahoma" w:eastAsia="Times New Roman" w:hAnsi="Tahoma"/>
              </w:rPr>
            </w:pPr>
            <w:r w:rsidRPr="00E91EEE">
              <w:rPr>
                <w:rFonts w:ascii="Tahoma" w:eastAsia="Times New Roman" w:hAnsi="Tahoma"/>
              </w:rPr>
              <w:lastRenderedPageBreak/>
              <w:t>H</w:t>
            </w:r>
            <w:r w:rsidRPr="00E91EEE">
              <w:rPr>
                <w:rFonts w:ascii="Tahoma" w:hAnsi="Tahoma"/>
              </w:rPr>
              <w:t xml:space="preserve">uman resources </w:t>
            </w:r>
          </w:p>
        </w:tc>
        <w:tc>
          <w:tcPr>
            <w:tcW w:w="5245" w:type="dxa"/>
          </w:tcPr>
          <w:p w14:paraId="75AF3BAA" w14:textId="77777777" w:rsidR="00E91EEE" w:rsidRPr="00E91EEE" w:rsidRDefault="00E91EEE" w:rsidP="00E91EEE">
            <w:pPr>
              <w:numPr>
                <w:ilvl w:val="0"/>
                <w:numId w:val="8"/>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Responsible for the surge capacity in human resources d</w:t>
            </w:r>
            <w:r w:rsidRPr="00E91EEE">
              <w:rPr>
                <w:rFonts w:ascii="Tahoma" w:hAnsi="Tahoma"/>
              </w:rPr>
              <w:t xml:space="preserve">uring public health emergencies </w:t>
            </w:r>
            <w:r w:rsidRPr="00E91EEE">
              <w:rPr>
                <w:rFonts w:ascii="Tahoma" w:eastAsia="Times New Roman" w:hAnsi="Tahoma"/>
              </w:rPr>
              <w:t>(</w:t>
            </w:r>
            <w:r w:rsidRPr="00E91EEE">
              <w:rPr>
                <w:rFonts w:ascii="Tahoma" w:eastAsia="Calibri" w:hAnsi="Tahoma"/>
                <w:lang w:eastAsia="ko-KR"/>
              </w:rPr>
              <w:t xml:space="preserve">e.g. reallocating human resources from one region of the country to another, </w:t>
            </w:r>
            <w:r w:rsidRPr="00E91EEE">
              <w:rPr>
                <w:rFonts w:ascii="Tahoma" w:eastAsia="Segoe UI" w:hAnsi="Tahoma"/>
                <w:color w:val="333333"/>
                <w:lang w:eastAsia="ko-KR"/>
              </w:rPr>
              <w:t>forecasts and plans for training of medical personnel, including legal and financial context</w:t>
            </w:r>
            <w:r w:rsidRPr="00E91EEE">
              <w:rPr>
                <w:rFonts w:ascii="Tahoma" w:eastAsia="Times New Roman" w:hAnsi="Tahoma"/>
              </w:rPr>
              <w:t>)</w:t>
            </w:r>
          </w:p>
          <w:p w14:paraId="5E90EFDA" w14:textId="77777777" w:rsidR="00E91EEE" w:rsidRPr="00E91EEE" w:rsidRDefault="00E91EEE" w:rsidP="00E91EEE">
            <w:pPr>
              <w:numPr>
                <w:ilvl w:val="0"/>
                <w:numId w:val="8"/>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Responsible for training planning and professional development management in the healthcare sector</w:t>
            </w:r>
          </w:p>
        </w:tc>
        <w:tc>
          <w:tcPr>
            <w:tcW w:w="2693" w:type="dxa"/>
          </w:tcPr>
          <w:p w14:paraId="794E6B36"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 xml:space="preserve">Ministry of Health </w:t>
            </w:r>
          </w:p>
          <w:p w14:paraId="507401D5"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Labour</w:t>
            </w:r>
          </w:p>
          <w:p w14:paraId="0D77351A"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Education</w:t>
            </w:r>
          </w:p>
          <w:p w14:paraId="313CEF6D"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Finance</w:t>
            </w:r>
          </w:p>
        </w:tc>
      </w:tr>
      <w:tr w:rsidR="00E91EEE" w:rsidRPr="00E91EEE" w14:paraId="59359B8D" w14:textId="77777777" w:rsidTr="00084C86">
        <w:trPr>
          <w:trHeight w:val="20"/>
        </w:trPr>
        <w:tc>
          <w:tcPr>
            <w:cnfStyle w:val="001000000000" w:firstRow="0" w:lastRow="0" w:firstColumn="1" w:lastColumn="0" w:oddVBand="0" w:evenVBand="0" w:oddHBand="0" w:evenHBand="0" w:firstRowFirstColumn="0" w:firstRowLastColumn="0" w:lastRowFirstColumn="0" w:lastRowLastColumn="0"/>
            <w:tcW w:w="1696" w:type="dxa"/>
          </w:tcPr>
          <w:p w14:paraId="3F8399CB" w14:textId="77777777" w:rsidR="00E91EEE" w:rsidRPr="00E91EEE" w:rsidRDefault="00E91EEE" w:rsidP="00E91EEE">
            <w:pPr>
              <w:numPr>
                <w:ilvl w:val="0"/>
                <w:numId w:val="1"/>
              </w:numPr>
              <w:spacing w:line="240" w:lineRule="auto"/>
              <w:contextualSpacing/>
              <w:rPr>
                <w:rFonts w:ascii="Tahoma" w:eastAsia="Times New Roman" w:hAnsi="Tahoma"/>
              </w:rPr>
            </w:pPr>
            <w:r w:rsidRPr="00E91EEE">
              <w:rPr>
                <w:rFonts w:ascii="Tahoma" w:eastAsia="Times New Roman" w:hAnsi="Tahoma"/>
              </w:rPr>
              <w:t xml:space="preserve">Health Emergency Management </w:t>
            </w:r>
          </w:p>
        </w:tc>
        <w:tc>
          <w:tcPr>
            <w:tcW w:w="5245" w:type="dxa"/>
          </w:tcPr>
          <w:p w14:paraId="36AFC768" w14:textId="77777777" w:rsidR="00E91EEE" w:rsidRPr="00E91EEE" w:rsidRDefault="00E91EEE" w:rsidP="00E91EEE">
            <w:pPr>
              <w:numPr>
                <w:ilvl w:val="0"/>
                <w:numId w:val="8"/>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Responsible to develop, update and implement the preparedness and response plans</w:t>
            </w:r>
          </w:p>
          <w:p w14:paraId="10819F46" w14:textId="77777777" w:rsidR="00E91EEE" w:rsidRPr="00E91EEE" w:rsidRDefault="00E91EEE" w:rsidP="00E91EEE">
            <w:pPr>
              <w:numPr>
                <w:ilvl w:val="0"/>
                <w:numId w:val="8"/>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 xml:space="preserve">Responsible for risk profiling and Incident management system (i.e. </w:t>
            </w:r>
            <w:r w:rsidRPr="00E91EEE">
              <w:rPr>
                <w:rFonts w:ascii="Tahoma" w:hAnsi="Tahoma"/>
                <w:lang w:eastAsia="ko-KR"/>
              </w:rPr>
              <w:t>e</w:t>
            </w:r>
            <w:r w:rsidRPr="00E91EEE">
              <w:rPr>
                <w:rFonts w:ascii="Tahoma" w:hAnsi="Tahoma"/>
                <w:lang w:val="en-IE" w:eastAsia="ko-KR"/>
              </w:rPr>
              <w:t>mergency preparedness and response coordinators)</w:t>
            </w:r>
          </w:p>
          <w:p w14:paraId="57C806A3" w14:textId="77777777" w:rsidR="00E91EEE" w:rsidRPr="00E91EEE" w:rsidRDefault="00E91EEE" w:rsidP="00E91EEE">
            <w:pPr>
              <w:numPr>
                <w:ilvl w:val="0"/>
                <w:numId w:val="8"/>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Responsible for implementation and evaluation of public health and social measures during health emergencies</w:t>
            </w:r>
          </w:p>
          <w:p w14:paraId="2FB37C9F" w14:textId="77777777" w:rsidR="00E91EEE" w:rsidRPr="00E91EEE" w:rsidRDefault="00E91EEE" w:rsidP="00E91EEE">
            <w:pPr>
              <w:numPr>
                <w:ilvl w:val="0"/>
                <w:numId w:val="8"/>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Responsible for medical counter measures’ logistics and supply chain management during health emergencies (e.g. identify, estimate demand or monitoring McMs).</w:t>
            </w:r>
          </w:p>
          <w:p w14:paraId="13C0BEB3"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p>
        </w:tc>
        <w:tc>
          <w:tcPr>
            <w:tcW w:w="2693" w:type="dxa"/>
          </w:tcPr>
          <w:p w14:paraId="646091D2"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Health</w:t>
            </w:r>
          </w:p>
          <w:p w14:paraId="67C7195A"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Interior/Civil Protection</w:t>
            </w:r>
          </w:p>
          <w:p w14:paraId="5C247965"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National Institute of Public Health/Public Health Agency</w:t>
            </w:r>
          </w:p>
          <w:p w14:paraId="7E520083"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Medicine National Agency</w:t>
            </w:r>
          </w:p>
          <w:p w14:paraId="2AEAA637"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Emergency Medical Services Department</w:t>
            </w:r>
          </w:p>
          <w:p w14:paraId="06F752F1"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National disaster management authority</w:t>
            </w:r>
          </w:p>
        </w:tc>
      </w:tr>
      <w:tr w:rsidR="00E91EEE" w:rsidRPr="00E91EEE" w14:paraId="09E9A64C" w14:textId="77777777" w:rsidTr="00084C86">
        <w:trPr>
          <w:trHeight w:val="20"/>
        </w:trPr>
        <w:tc>
          <w:tcPr>
            <w:cnfStyle w:val="001000000000" w:firstRow="0" w:lastRow="0" w:firstColumn="1" w:lastColumn="0" w:oddVBand="0" w:evenVBand="0" w:oddHBand="0" w:evenHBand="0" w:firstRowFirstColumn="0" w:firstRowLastColumn="0" w:lastRowFirstColumn="0" w:lastRowLastColumn="0"/>
            <w:tcW w:w="1696" w:type="dxa"/>
          </w:tcPr>
          <w:p w14:paraId="789D4C4E" w14:textId="77777777" w:rsidR="00E91EEE" w:rsidRPr="00E91EEE" w:rsidRDefault="00E91EEE" w:rsidP="00E91EEE">
            <w:pPr>
              <w:numPr>
                <w:ilvl w:val="0"/>
                <w:numId w:val="1"/>
              </w:numPr>
              <w:spacing w:line="240" w:lineRule="auto"/>
              <w:contextualSpacing/>
              <w:rPr>
                <w:rFonts w:ascii="Tahoma" w:eastAsia="Times New Roman" w:hAnsi="Tahoma"/>
              </w:rPr>
            </w:pPr>
            <w:r w:rsidRPr="00E91EEE">
              <w:rPr>
                <w:rFonts w:ascii="Tahoma" w:eastAsia="Times New Roman" w:hAnsi="Tahoma"/>
              </w:rPr>
              <w:t>Health service provision</w:t>
            </w:r>
          </w:p>
        </w:tc>
        <w:tc>
          <w:tcPr>
            <w:tcW w:w="5245" w:type="dxa"/>
          </w:tcPr>
          <w:p w14:paraId="4585559B" w14:textId="77777777" w:rsidR="00E91EEE" w:rsidRPr="00E91EEE" w:rsidRDefault="00E91EEE" w:rsidP="00E91EEE">
            <w:pPr>
              <w:numPr>
                <w:ilvl w:val="0"/>
                <w:numId w:val="9"/>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Responsible for managing continuity of healthcare service at all levels involved including central level, hospital service or outpatient primary care.</w:t>
            </w:r>
          </w:p>
          <w:p w14:paraId="2731EC28" w14:textId="77777777" w:rsidR="00E91EEE" w:rsidRPr="00E91EEE" w:rsidRDefault="00E91EEE" w:rsidP="00E91EEE">
            <w:pPr>
              <w:numPr>
                <w:ilvl w:val="0"/>
                <w:numId w:val="9"/>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Responsible to develop and implement hospital alert and response plans (at central or hospital level)</w:t>
            </w:r>
          </w:p>
        </w:tc>
        <w:tc>
          <w:tcPr>
            <w:tcW w:w="2693" w:type="dxa"/>
          </w:tcPr>
          <w:p w14:paraId="413D93FF"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Health</w:t>
            </w:r>
          </w:p>
          <w:p w14:paraId="726372D4"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Regional Health Authorities (or equivalent)</w:t>
            </w:r>
          </w:p>
          <w:p w14:paraId="6C391D02"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Association of hospital, doctor, nurses</w:t>
            </w:r>
          </w:p>
          <w:p w14:paraId="661AC871"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Health insurance fund</w:t>
            </w:r>
          </w:p>
          <w:p w14:paraId="2C88747D"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Finance</w:t>
            </w:r>
          </w:p>
        </w:tc>
      </w:tr>
      <w:tr w:rsidR="00E91EEE" w:rsidRPr="00E91EEE" w14:paraId="4F3CC6C6" w14:textId="77777777" w:rsidTr="00084C86">
        <w:trPr>
          <w:trHeight w:val="20"/>
        </w:trPr>
        <w:tc>
          <w:tcPr>
            <w:cnfStyle w:val="001000000000" w:firstRow="0" w:lastRow="0" w:firstColumn="1" w:lastColumn="0" w:oddVBand="0" w:evenVBand="0" w:oddHBand="0" w:evenHBand="0" w:firstRowFirstColumn="0" w:firstRowLastColumn="0" w:lastRowFirstColumn="0" w:lastRowLastColumn="0"/>
            <w:tcW w:w="1696" w:type="dxa"/>
          </w:tcPr>
          <w:p w14:paraId="639D5EA4" w14:textId="77777777" w:rsidR="00E91EEE" w:rsidRPr="00E91EEE" w:rsidRDefault="00E91EEE" w:rsidP="00E91EEE">
            <w:pPr>
              <w:numPr>
                <w:ilvl w:val="0"/>
                <w:numId w:val="1"/>
              </w:numPr>
              <w:spacing w:line="240" w:lineRule="auto"/>
              <w:contextualSpacing/>
              <w:rPr>
                <w:rFonts w:ascii="Tahoma" w:eastAsia="Times New Roman" w:hAnsi="Tahoma"/>
              </w:rPr>
            </w:pPr>
            <w:r w:rsidRPr="00E91EEE">
              <w:rPr>
                <w:rFonts w:ascii="Tahoma" w:eastAsia="Times New Roman" w:hAnsi="Tahoma"/>
              </w:rPr>
              <w:t xml:space="preserve">Risk communication and community engagement </w:t>
            </w:r>
          </w:p>
        </w:tc>
        <w:tc>
          <w:tcPr>
            <w:tcW w:w="5245" w:type="dxa"/>
          </w:tcPr>
          <w:p w14:paraId="274499CA" w14:textId="77777777" w:rsidR="00E91EEE" w:rsidRPr="00E91EEE" w:rsidRDefault="00E91EEE" w:rsidP="00E91EEE">
            <w:pPr>
              <w:numPr>
                <w:ilvl w:val="0"/>
                <w:numId w:val="10"/>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 xml:space="preserve">Responsible for developing and implementing the national risk communication plan or strategy </w:t>
            </w:r>
          </w:p>
          <w:p w14:paraId="0DCC968E" w14:textId="77777777" w:rsidR="00E91EEE" w:rsidRPr="00E91EEE" w:rsidRDefault="00E91EEE" w:rsidP="00E91EEE">
            <w:pPr>
              <w:numPr>
                <w:ilvl w:val="0"/>
                <w:numId w:val="10"/>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Responsible for community engagement and infodemic management strategy and activities at national and/or regional level</w:t>
            </w:r>
          </w:p>
          <w:p w14:paraId="7CB87397" w14:textId="77777777" w:rsidR="00E91EEE" w:rsidRPr="00E91EEE" w:rsidRDefault="00E91EEE" w:rsidP="00E91EEE">
            <w:pPr>
              <w:numPr>
                <w:ilvl w:val="0"/>
                <w:numId w:val="10"/>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Representatives from community organisations involved in health advocacy</w:t>
            </w:r>
          </w:p>
        </w:tc>
        <w:tc>
          <w:tcPr>
            <w:tcW w:w="2693" w:type="dxa"/>
          </w:tcPr>
          <w:p w14:paraId="4B3755ED"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 xml:space="preserve">Ministry of Health </w:t>
            </w:r>
          </w:p>
          <w:p w14:paraId="24E8387F"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National Institute of Public Health/Public Health Agency</w:t>
            </w:r>
          </w:p>
          <w:p w14:paraId="7BCC19FA"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Civil Society Organizations/ NGOs</w:t>
            </w:r>
          </w:p>
          <w:p w14:paraId="600D94B6"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Ministry/Department of Communication</w:t>
            </w:r>
          </w:p>
          <w:p w14:paraId="040F04EE"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Communication and social behavioural researchers/experts working in health emergencies.</w:t>
            </w:r>
          </w:p>
        </w:tc>
      </w:tr>
      <w:tr w:rsidR="00E91EEE" w:rsidRPr="00E91EEE" w14:paraId="00EBE0A9" w14:textId="77777777" w:rsidTr="00084C86">
        <w:trPr>
          <w:trHeight w:val="20"/>
        </w:trPr>
        <w:tc>
          <w:tcPr>
            <w:cnfStyle w:val="001000000000" w:firstRow="0" w:lastRow="0" w:firstColumn="1" w:lastColumn="0" w:oddVBand="0" w:evenVBand="0" w:oddHBand="0" w:evenHBand="0" w:firstRowFirstColumn="0" w:firstRowLastColumn="0" w:lastRowFirstColumn="0" w:lastRowLastColumn="0"/>
            <w:tcW w:w="1696" w:type="dxa"/>
          </w:tcPr>
          <w:p w14:paraId="69A26920" w14:textId="77777777" w:rsidR="00E91EEE" w:rsidRPr="00E91EEE" w:rsidRDefault="00E91EEE" w:rsidP="00E91EEE">
            <w:pPr>
              <w:numPr>
                <w:ilvl w:val="0"/>
                <w:numId w:val="1"/>
              </w:numPr>
              <w:spacing w:line="240" w:lineRule="auto"/>
              <w:contextualSpacing/>
              <w:rPr>
                <w:rFonts w:ascii="Tahoma" w:eastAsia="Times New Roman" w:hAnsi="Tahoma"/>
              </w:rPr>
            </w:pPr>
            <w:r w:rsidRPr="00E91EEE">
              <w:rPr>
                <w:rFonts w:ascii="Tahoma" w:eastAsia="Times New Roman" w:hAnsi="Tahoma"/>
              </w:rPr>
              <w:t xml:space="preserve">Points of Entry and Border Health </w:t>
            </w:r>
          </w:p>
        </w:tc>
        <w:tc>
          <w:tcPr>
            <w:tcW w:w="5245" w:type="dxa"/>
          </w:tcPr>
          <w:p w14:paraId="16A7F09B" w14:textId="77777777" w:rsidR="00E91EEE" w:rsidRPr="00E91EEE" w:rsidRDefault="00E91EEE" w:rsidP="00E91EEE">
            <w:pPr>
              <w:numPr>
                <w:ilvl w:val="0"/>
                <w:numId w:val="10"/>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 xml:space="preserve">Responsible for implementing PoE core capacities, including for public health contingency plan and management of travel-related measures </w:t>
            </w:r>
          </w:p>
          <w:p w14:paraId="43C62713"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p>
          <w:p w14:paraId="23D5E9A8"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p>
        </w:tc>
        <w:tc>
          <w:tcPr>
            <w:tcW w:w="2693" w:type="dxa"/>
          </w:tcPr>
          <w:p w14:paraId="60719F21"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Health</w:t>
            </w:r>
          </w:p>
          <w:p w14:paraId="01F2B1AC"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Immigration Authorities</w:t>
            </w:r>
          </w:p>
          <w:p w14:paraId="5696D08D"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Transport</w:t>
            </w:r>
          </w:p>
          <w:p w14:paraId="72CB8C7C"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hAnsi="Tahoma"/>
                <w:lang w:val="en-IE" w:eastAsia="ko-KR"/>
              </w:rPr>
              <w:t>Border Control Agencies/Points of Entry</w:t>
            </w:r>
            <w:r w:rsidRPr="00E91EEE">
              <w:rPr>
                <w:rFonts w:ascii="Tahoma" w:eastAsia="Times New Roman" w:hAnsi="Tahoma"/>
              </w:rPr>
              <w:t>Public health officers</w:t>
            </w:r>
          </w:p>
          <w:p w14:paraId="05D96B09"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Ministry of Agriculture/Food/Animal Health/Veterinary agency</w:t>
            </w:r>
          </w:p>
        </w:tc>
      </w:tr>
      <w:tr w:rsidR="00E91EEE" w:rsidRPr="00E91EEE" w14:paraId="614A02F6" w14:textId="77777777" w:rsidTr="00084C86">
        <w:trPr>
          <w:trHeight w:val="20"/>
        </w:trPr>
        <w:tc>
          <w:tcPr>
            <w:cnfStyle w:val="001000000000" w:firstRow="0" w:lastRow="0" w:firstColumn="1" w:lastColumn="0" w:oddVBand="0" w:evenVBand="0" w:oddHBand="0" w:evenHBand="0" w:firstRowFirstColumn="0" w:firstRowLastColumn="0" w:lastRowFirstColumn="0" w:lastRowLastColumn="0"/>
            <w:tcW w:w="1696" w:type="dxa"/>
          </w:tcPr>
          <w:p w14:paraId="74166332" w14:textId="77777777" w:rsidR="00E91EEE" w:rsidRPr="00E91EEE" w:rsidRDefault="00E91EEE" w:rsidP="00E91EEE">
            <w:pPr>
              <w:numPr>
                <w:ilvl w:val="0"/>
                <w:numId w:val="1"/>
              </w:numPr>
              <w:spacing w:line="240" w:lineRule="auto"/>
              <w:contextualSpacing/>
              <w:rPr>
                <w:rFonts w:ascii="Tahoma" w:eastAsia="Times New Roman" w:hAnsi="Tahoma"/>
              </w:rPr>
            </w:pPr>
            <w:r w:rsidRPr="00E91EEE">
              <w:rPr>
                <w:rFonts w:ascii="Tahoma" w:eastAsia="Times New Roman" w:hAnsi="Tahoma"/>
              </w:rPr>
              <w:t>Zoonotic diseases and threats of environmental origin, including those due to the climate</w:t>
            </w:r>
          </w:p>
          <w:p w14:paraId="19E87106" w14:textId="77777777" w:rsidR="00E91EEE" w:rsidRPr="00E91EEE" w:rsidRDefault="00E91EEE" w:rsidP="00E91EEE">
            <w:pPr>
              <w:spacing w:line="240" w:lineRule="auto"/>
              <w:rPr>
                <w:rFonts w:ascii="Tahoma" w:eastAsia="Times New Roman" w:hAnsi="Tahoma"/>
              </w:rPr>
            </w:pPr>
          </w:p>
        </w:tc>
        <w:tc>
          <w:tcPr>
            <w:tcW w:w="5245" w:type="dxa"/>
          </w:tcPr>
          <w:p w14:paraId="0544BBF0" w14:textId="77777777" w:rsidR="00E91EEE" w:rsidRPr="00E91EEE" w:rsidRDefault="00E91EEE" w:rsidP="00E91EEE">
            <w:pPr>
              <w:numPr>
                <w:ilvl w:val="0"/>
                <w:numId w:val="10"/>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Responsible for coordinating the implementation of a One Health plan or approach</w:t>
            </w:r>
          </w:p>
          <w:p w14:paraId="38EAA7FA" w14:textId="77777777" w:rsidR="00E91EEE" w:rsidRPr="00E91EEE" w:rsidRDefault="00E91EEE" w:rsidP="00E91EEE">
            <w:pPr>
              <w:numPr>
                <w:ilvl w:val="0"/>
                <w:numId w:val="10"/>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 xml:space="preserve">Responsible for assessing the impact of </w:t>
            </w:r>
            <w:r w:rsidRPr="00E91EEE">
              <w:rPr>
                <w:rFonts w:ascii="Tahoma" w:hAnsi="Tahoma"/>
                <w:lang w:eastAsia="ko-KR"/>
              </w:rPr>
              <w:t>climate change on zoonotic diseases and the impact of extreme weather events in public health</w:t>
            </w:r>
          </w:p>
        </w:tc>
        <w:tc>
          <w:tcPr>
            <w:tcW w:w="2693" w:type="dxa"/>
          </w:tcPr>
          <w:p w14:paraId="1D3AE7BB"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Health</w:t>
            </w:r>
          </w:p>
          <w:p w14:paraId="77D8B677"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National Institute of Public Health/Public Health Agency</w:t>
            </w:r>
          </w:p>
          <w:p w14:paraId="4FDCE2A6"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 xml:space="preserve">Ministry of Environment/Climate </w:t>
            </w:r>
          </w:p>
          <w:p w14:paraId="67EFD80A"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Agency for Environmental Protection</w:t>
            </w:r>
          </w:p>
          <w:p w14:paraId="773FDA63"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Agriculture</w:t>
            </w:r>
          </w:p>
          <w:p w14:paraId="67A9F13D"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Veterinary Agencies</w:t>
            </w:r>
          </w:p>
          <w:p w14:paraId="7D9892F0"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Wildlife Conservation Departments</w:t>
            </w:r>
          </w:p>
        </w:tc>
      </w:tr>
      <w:tr w:rsidR="00E91EEE" w:rsidRPr="00E91EEE" w14:paraId="10E33DAF" w14:textId="77777777" w:rsidTr="00084C86">
        <w:trPr>
          <w:trHeight w:val="20"/>
        </w:trPr>
        <w:tc>
          <w:tcPr>
            <w:cnfStyle w:val="001000000000" w:firstRow="0" w:lastRow="0" w:firstColumn="1" w:lastColumn="0" w:oddVBand="0" w:evenVBand="0" w:oddHBand="0" w:evenHBand="0" w:firstRowFirstColumn="0" w:firstRowLastColumn="0" w:lastRowFirstColumn="0" w:lastRowLastColumn="0"/>
            <w:tcW w:w="1696" w:type="dxa"/>
          </w:tcPr>
          <w:p w14:paraId="6F608848" w14:textId="77777777" w:rsidR="00E91EEE" w:rsidRPr="00E91EEE" w:rsidRDefault="00E91EEE" w:rsidP="00E91EEE">
            <w:pPr>
              <w:numPr>
                <w:ilvl w:val="0"/>
                <w:numId w:val="1"/>
              </w:numPr>
              <w:spacing w:line="240" w:lineRule="auto"/>
              <w:contextualSpacing/>
              <w:rPr>
                <w:rFonts w:ascii="Tahoma" w:eastAsia="Times New Roman" w:hAnsi="Tahoma"/>
              </w:rPr>
            </w:pPr>
            <w:r w:rsidRPr="00E91EEE">
              <w:rPr>
                <w:rFonts w:ascii="Tahoma" w:eastAsia="Times New Roman" w:hAnsi="Tahoma"/>
              </w:rPr>
              <w:t>Chemical events</w:t>
            </w:r>
          </w:p>
        </w:tc>
        <w:tc>
          <w:tcPr>
            <w:tcW w:w="5245" w:type="dxa"/>
          </w:tcPr>
          <w:p w14:paraId="65592817" w14:textId="77777777" w:rsidR="00E91EEE" w:rsidRPr="00E91EEE" w:rsidRDefault="00E91EEE" w:rsidP="00E91EEE">
            <w:pPr>
              <w:numPr>
                <w:ilvl w:val="0"/>
                <w:numId w:val="11"/>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Responsible for developing and implementing the chemical preparedness and response plan or the response to health threats of chemical origin (including surveillance, risk assessment and management of the event)</w:t>
            </w:r>
          </w:p>
          <w:p w14:paraId="2863F6F7"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p>
          <w:p w14:paraId="1E0617D5"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p>
        </w:tc>
        <w:tc>
          <w:tcPr>
            <w:tcW w:w="2693" w:type="dxa"/>
          </w:tcPr>
          <w:p w14:paraId="6ACCFF66"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Health</w:t>
            </w:r>
          </w:p>
          <w:p w14:paraId="556ECEA9"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Environment</w:t>
            </w:r>
          </w:p>
          <w:p w14:paraId="16FB04BC"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Agency for Environmental Protection</w:t>
            </w:r>
          </w:p>
          <w:p w14:paraId="36F163E2"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Defence / Civil Protection</w:t>
            </w:r>
          </w:p>
          <w:p w14:paraId="6591A8CB"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hAnsi="Tahoma"/>
                <w:lang w:val="en-IE" w:eastAsia="ko-KR"/>
              </w:rPr>
              <w:t>National Chemical Safety Agency or equivalent</w:t>
            </w:r>
          </w:p>
          <w:p w14:paraId="20056FD4"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Central chemical laboratory or equivalent</w:t>
            </w:r>
          </w:p>
          <w:p w14:paraId="0B9FEA11"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Representatives from chemical safety regulatory bodies</w:t>
            </w:r>
          </w:p>
        </w:tc>
      </w:tr>
      <w:tr w:rsidR="00E91EEE" w:rsidRPr="00E91EEE" w14:paraId="1E5BAFB0" w14:textId="77777777" w:rsidTr="00084C86">
        <w:trPr>
          <w:trHeight w:val="20"/>
        </w:trPr>
        <w:tc>
          <w:tcPr>
            <w:cnfStyle w:val="001000000000" w:firstRow="0" w:lastRow="0" w:firstColumn="1" w:lastColumn="0" w:oddVBand="0" w:evenVBand="0" w:oddHBand="0" w:evenHBand="0" w:firstRowFirstColumn="0" w:firstRowLastColumn="0" w:lastRowFirstColumn="0" w:lastRowLastColumn="0"/>
            <w:tcW w:w="1696" w:type="dxa"/>
          </w:tcPr>
          <w:p w14:paraId="78C21C31" w14:textId="77777777" w:rsidR="00E91EEE" w:rsidRPr="00E91EEE" w:rsidRDefault="00E91EEE" w:rsidP="00E91EEE">
            <w:pPr>
              <w:numPr>
                <w:ilvl w:val="0"/>
                <w:numId w:val="1"/>
              </w:numPr>
              <w:spacing w:line="240" w:lineRule="auto"/>
              <w:contextualSpacing/>
              <w:rPr>
                <w:rFonts w:ascii="Tahoma" w:eastAsia="Times New Roman" w:hAnsi="Tahoma"/>
              </w:rPr>
            </w:pPr>
            <w:r w:rsidRPr="00E91EEE">
              <w:rPr>
                <w:rFonts w:ascii="Tahoma" w:eastAsia="Times New Roman" w:hAnsi="Tahoma"/>
              </w:rPr>
              <w:lastRenderedPageBreak/>
              <w:t xml:space="preserve">Antimicrobial resistance (AMR) and healthcare-associated infections (HAIs) </w:t>
            </w:r>
          </w:p>
          <w:p w14:paraId="49C077CA" w14:textId="77777777" w:rsidR="00E91EEE" w:rsidRPr="00E91EEE" w:rsidRDefault="00E91EEE" w:rsidP="00E91EEE">
            <w:pPr>
              <w:spacing w:line="240" w:lineRule="auto"/>
              <w:rPr>
                <w:rFonts w:ascii="Tahoma" w:eastAsia="Times New Roman" w:hAnsi="Tahoma"/>
              </w:rPr>
            </w:pPr>
          </w:p>
        </w:tc>
        <w:tc>
          <w:tcPr>
            <w:tcW w:w="5245" w:type="dxa"/>
          </w:tcPr>
          <w:p w14:paraId="77C0611D" w14:textId="77777777" w:rsidR="00E91EEE" w:rsidRPr="00E91EEE" w:rsidRDefault="00E91EEE" w:rsidP="00E91EEE">
            <w:pPr>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eastAsia="ko-KR"/>
              </w:rPr>
            </w:pPr>
            <w:r w:rsidRPr="00E91EEE">
              <w:rPr>
                <w:rFonts w:ascii="Tahoma" w:hAnsi="Tahoma"/>
                <w:lang w:eastAsia="ko-KR"/>
              </w:rPr>
              <w:t>Responsible for developing and implementing the NAP for AMR</w:t>
            </w:r>
          </w:p>
          <w:p w14:paraId="2A5A827C" w14:textId="77777777" w:rsidR="00E91EEE" w:rsidRPr="00E91EEE" w:rsidRDefault="00E91EEE" w:rsidP="00E91EEE">
            <w:pPr>
              <w:numPr>
                <w:ilvl w:val="0"/>
                <w:numId w:val="12"/>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Responsible for surveillance, monitoring and evaluation of progress on AMR and HAIs</w:t>
            </w:r>
          </w:p>
          <w:p w14:paraId="6D4C86B7" w14:textId="77777777" w:rsidR="00E91EEE" w:rsidRPr="00E91EEE" w:rsidRDefault="00E91EEE" w:rsidP="00E91EEE">
            <w:pPr>
              <w:numPr>
                <w:ilvl w:val="0"/>
                <w:numId w:val="12"/>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Responsible for prevention of and response to MDROs, including antimicrobial stewardship strategy</w:t>
            </w:r>
          </w:p>
          <w:p w14:paraId="2BD9191C" w14:textId="77777777" w:rsidR="00E91EEE" w:rsidRPr="00E91EEE" w:rsidRDefault="00E91EEE" w:rsidP="00E91EEE">
            <w:pPr>
              <w:numPr>
                <w:ilvl w:val="0"/>
                <w:numId w:val="12"/>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Responsible for developing and implementing IPC programmes</w:t>
            </w:r>
          </w:p>
          <w:p w14:paraId="42A5201D"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p>
        </w:tc>
        <w:tc>
          <w:tcPr>
            <w:tcW w:w="2693" w:type="dxa"/>
          </w:tcPr>
          <w:p w14:paraId="53CDC350"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hAnsi="Tahoma"/>
                <w:lang w:val="en-IE" w:eastAsia="ko-KR"/>
              </w:rPr>
              <w:t>Ministry of Health/</w:t>
            </w:r>
            <w:r w:rsidRPr="00E91EEE">
              <w:rPr>
                <w:rFonts w:ascii="Tahoma" w:eastAsia="Times New Roman" w:hAnsi="Tahoma"/>
              </w:rPr>
              <w:t>Experts in antimicrobial resistance and infection control</w:t>
            </w:r>
          </w:p>
          <w:p w14:paraId="17CAB88B"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National Institute of Public Health/Public Health Agency</w:t>
            </w:r>
          </w:p>
          <w:p w14:paraId="57167639"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hAnsi="Tahoma"/>
                <w:lang w:val="en-IE" w:eastAsia="ko-KR"/>
              </w:rPr>
              <w:t>Association of hospitals/</w:t>
            </w:r>
            <w:r w:rsidRPr="00E91EEE">
              <w:rPr>
                <w:rFonts w:ascii="Tahoma" w:eastAsia="Times New Roman" w:hAnsi="Tahoma"/>
              </w:rPr>
              <w:t>Hospital healthcare practitioners specialised in infectious diseases prevention and HAIs</w:t>
            </w:r>
          </w:p>
          <w:p w14:paraId="13C25EB9"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National laboratory microbiologists involved in AMR testing and sequencing</w:t>
            </w:r>
          </w:p>
          <w:p w14:paraId="22B895E8"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Food, Agriculture and Fisheries /Animal Health</w:t>
            </w:r>
          </w:p>
        </w:tc>
      </w:tr>
      <w:tr w:rsidR="00E91EEE" w:rsidRPr="00E91EEE" w14:paraId="0A5284C6" w14:textId="77777777" w:rsidTr="00084C86">
        <w:trPr>
          <w:trHeight w:val="20"/>
        </w:trPr>
        <w:tc>
          <w:tcPr>
            <w:cnfStyle w:val="001000000000" w:firstRow="0" w:lastRow="0" w:firstColumn="1" w:lastColumn="0" w:oddVBand="0" w:evenVBand="0" w:oddHBand="0" w:evenHBand="0" w:firstRowFirstColumn="0" w:firstRowLastColumn="0" w:lastRowFirstColumn="0" w:lastRowLastColumn="0"/>
            <w:tcW w:w="1696" w:type="dxa"/>
          </w:tcPr>
          <w:p w14:paraId="3E6FB493" w14:textId="77777777" w:rsidR="00E91EEE" w:rsidRPr="00E91EEE" w:rsidRDefault="00E91EEE" w:rsidP="00E91EEE">
            <w:pPr>
              <w:numPr>
                <w:ilvl w:val="0"/>
                <w:numId w:val="1"/>
              </w:numPr>
              <w:spacing w:line="240" w:lineRule="auto"/>
              <w:contextualSpacing/>
              <w:rPr>
                <w:rFonts w:ascii="Tahoma" w:eastAsia="Times New Roman" w:hAnsi="Tahoma"/>
              </w:rPr>
            </w:pPr>
            <w:r w:rsidRPr="00E91EEE">
              <w:rPr>
                <w:rFonts w:ascii="Tahoma" w:eastAsia="Times New Roman" w:hAnsi="Tahoma"/>
              </w:rPr>
              <w:t xml:space="preserve">Union level coordination and support functions </w:t>
            </w:r>
          </w:p>
        </w:tc>
        <w:tc>
          <w:tcPr>
            <w:tcW w:w="5245" w:type="dxa"/>
          </w:tcPr>
          <w:p w14:paraId="5E6F49BC" w14:textId="77777777" w:rsidR="00E91EEE" w:rsidRPr="00E91EEE" w:rsidRDefault="00E91EEE" w:rsidP="00E91EEE">
            <w:pPr>
              <w:numPr>
                <w:ilvl w:val="0"/>
                <w:numId w:val="13"/>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Segoe UI" w:hAnsi="Tahoma"/>
                <w:color w:val="333333"/>
                <w:lang w:val="en-IE" w:eastAsia="ko-KR"/>
              </w:rPr>
            </w:pPr>
            <w:r w:rsidRPr="00E91EEE">
              <w:rPr>
                <w:rFonts w:ascii="Tahoma" w:eastAsia="Segoe UI" w:hAnsi="Tahoma"/>
                <w:color w:val="333333"/>
                <w:lang w:val="en-IE" w:eastAsia="ko-KR"/>
              </w:rPr>
              <w:t>Responsible for participating and following HSC activities</w:t>
            </w:r>
          </w:p>
          <w:p w14:paraId="6E6CA56F" w14:textId="77777777" w:rsidR="00E91EEE" w:rsidRPr="00E91EEE" w:rsidRDefault="00E91EEE" w:rsidP="00E91EEE">
            <w:pPr>
              <w:numPr>
                <w:ilvl w:val="0"/>
                <w:numId w:val="13"/>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Segoe UI" w:hAnsi="Tahoma"/>
                <w:color w:val="333333"/>
                <w:lang w:val="en-IE" w:eastAsia="ko-KR"/>
              </w:rPr>
            </w:pPr>
            <w:r w:rsidRPr="00E91EEE">
              <w:rPr>
                <w:rFonts w:ascii="Tahoma" w:eastAsia="Segoe UI" w:hAnsi="Tahoma"/>
                <w:color w:val="333333"/>
                <w:lang w:val="en-IE" w:eastAsia="ko-KR"/>
              </w:rPr>
              <w:t>Responsible for ensuring coordination with EU instruments and institutions (e.g., EWRS, EEAS, EU Health Task Force, ECDC and other Commission services and EU agencies)</w:t>
            </w:r>
          </w:p>
          <w:p w14:paraId="591381FE"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eastAsia="Segoe UI" w:hAnsi="Tahoma"/>
                <w:color w:val="333333"/>
                <w:lang w:val="en-IE" w:eastAsia="ko-KR"/>
              </w:rPr>
            </w:pPr>
          </w:p>
          <w:p w14:paraId="5C6ED20D" w14:textId="77777777" w:rsidR="00E91EEE" w:rsidRPr="00E91EEE" w:rsidDel="00331E75"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p>
        </w:tc>
        <w:tc>
          <w:tcPr>
            <w:tcW w:w="2693" w:type="dxa"/>
          </w:tcPr>
          <w:p w14:paraId="227D2254"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Health</w:t>
            </w:r>
          </w:p>
          <w:p w14:paraId="359AAFAE"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w:t>
            </w:r>
            <w:r w:rsidRPr="00E91EEE">
              <w:rPr>
                <w:rFonts w:ascii="Tahoma" w:eastAsia="Segoe UI" w:hAnsi="Tahoma"/>
                <w:color w:val="333333"/>
                <w:lang w:val="en-IE" w:eastAsia="ko-KR"/>
              </w:rPr>
              <w:t>ember of Health Security Committee</w:t>
            </w:r>
          </w:p>
        </w:tc>
      </w:tr>
      <w:tr w:rsidR="00E91EEE" w:rsidRPr="00E91EEE" w14:paraId="041693B7" w14:textId="77777777" w:rsidTr="00084C86">
        <w:trPr>
          <w:trHeight w:val="20"/>
        </w:trPr>
        <w:tc>
          <w:tcPr>
            <w:cnfStyle w:val="001000000000" w:firstRow="0" w:lastRow="0" w:firstColumn="1" w:lastColumn="0" w:oddVBand="0" w:evenVBand="0" w:oddHBand="0" w:evenHBand="0" w:firstRowFirstColumn="0" w:firstRowLastColumn="0" w:lastRowFirstColumn="0" w:lastRowLastColumn="0"/>
            <w:tcW w:w="1696" w:type="dxa"/>
          </w:tcPr>
          <w:p w14:paraId="1ABC5C40" w14:textId="77777777" w:rsidR="00E91EEE" w:rsidRPr="00E91EEE" w:rsidRDefault="00E91EEE" w:rsidP="00E91EEE">
            <w:pPr>
              <w:numPr>
                <w:ilvl w:val="0"/>
                <w:numId w:val="1"/>
              </w:numPr>
              <w:spacing w:line="240" w:lineRule="auto"/>
              <w:contextualSpacing/>
              <w:rPr>
                <w:rFonts w:ascii="Tahoma" w:eastAsia="Times New Roman" w:hAnsi="Tahoma"/>
              </w:rPr>
            </w:pPr>
            <w:r w:rsidRPr="00E91EEE">
              <w:rPr>
                <w:rFonts w:ascii="Tahoma" w:eastAsia="Times New Roman" w:hAnsi="Tahoma"/>
              </w:rPr>
              <w:t>Research development and evaluations to inform and accelerate emergency preparedness</w:t>
            </w:r>
          </w:p>
        </w:tc>
        <w:tc>
          <w:tcPr>
            <w:tcW w:w="5245" w:type="dxa"/>
          </w:tcPr>
          <w:p w14:paraId="472BBF31" w14:textId="77777777" w:rsidR="00E91EEE" w:rsidRPr="00E91EEE" w:rsidRDefault="00E91EEE" w:rsidP="00E91EEE">
            <w:pPr>
              <w:numPr>
                <w:ilvl w:val="0"/>
                <w:numId w:val="14"/>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Responsible for implementing research plan or strategy during public health emergencies</w:t>
            </w:r>
          </w:p>
          <w:p w14:paraId="7452A0A0" w14:textId="77777777" w:rsidR="00E91EEE" w:rsidRPr="00E91EEE" w:rsidRDefault="00E91EEE" w:rsidP="00E91EEE">
            <w:pPr>
              <w:numPr>
                <w:ilvl w:val="0"/>
                <w:numId w:val="14"/>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E91EEE">
              <w:rPr>
                <w:rFonts w:ascii="Tahoma" w:eastAsia="Times New Roman" w:hAnsi="Tahoma"/>
              </w:rPr>
              <w:t>Responsible for or part of a research institutions supporting public health actors during emergencies</w:t>
            </w:r>
          </w:p>
          <w:p w14:paraId="20E9148F"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eastAsia="Calibri" w:hAnsi="Tahoma"/>
                <w:lang w:eastAsia="ko-KR"/>
              </w:rPr>
            </w:pPr>
          </w:p>
        </w:tc>
        <w:tc>
          <w:tcPr>
            <w:tcW w:w="2693" w:type="dxa"/>
          </w:tcPr>
          <w:p w14:paraId="28C6844C"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Health</w:t>
            </w:r>
          </w:p>
          <w:p w14:paraId="62CE22FC"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Science and Innovation</w:t>
            </w:r>
          </w:p>
          <w:p w14:paraId="19211369"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National Institute of Public Health/Public Health Agency</w:t>
            </w:r>
          </w:p>
          <w:p w14:paraId="24F27245"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Collaborative research institutes or foundations/Academia</w:t>
            </w:r>
          </w:p>
        </w:tc>
      </w:tr>
      <w:tr w:rsidR="00E91EEE" w:rsidRPr="00E91EEE" w14:paraId="1437542C" w14:textId="77777777" w:rsidTr="00084C86">
        <w:trPr>
          <w:trHeight w:val="20"/>
        </w:trPr>
        <w:tc>
          <w:tcPr>
            <w:cnfStyle w:val="001000000000" w:firstRow="0" w:lastRow="0" w:firstColumn="1" w:lastColumn="0" w:oddVBand="0" w:evenVBand="0" w:oddHBand="0" w:evenHBand="0" w:firstRowFirstColumn="0" w:firstRowLastColumn="0" w:lastRowFirstColumn="0" w:lastRowLastColumn="0"/>
            <w:tcW w:w="1696" w:type="dxa"/>
          </w:tcPr>
          <w:p w14:paraId="712D945E" w14:textId="77777777" w:rsidR="00E91EEE" w:rsidRPr="00E91EEE" w:rsidRDefault="00E91EEE" w:rsidP="00E91EEE">
            <w:pPr>
              <w:numPr>
                <w:ilvl w:val="0"/>
                <w:numId w:val="1"/>
              </w:numPr>
              <w:spacing w:line="240" w:lineRule="auto"/>
              <w:contextualSpacing/>
              <w:rPr>
                <w:rFonts w:ascii="Tahoma" w:eastAsia="Times New Roman" w:hAnsi="Tahoma"/>
              </w:rPr>
            </w:pPr>
            <w:r w:rsidRPr="00E91EEE">
              <w:rPr>
                <w:rFonts w:ascii="Tahoma" w:eastAsia="Times New Roman" w:hAnsi="Tahoma"/>
              </w:rPr>
              <w:t xml:space="preserve">Recovery elements </w:t>
            </w:r>
          </w:p>
        </w:tc>
        <w:tc>
          <w:tcPr>
            <w:tcW w:w="5245" w:type="dxa"/>
          </w:tcPr>
          <w:p w14:paraId="7CA1BF86" w14:textId="77777777" w:rsidR="00E91EEE" w:rsidRPr="00E91EEE" w:rsidRDefault="00E91EEE" w:rsidP="00E91EEE">
            <w:pPr>
              <w:numPr>
                <w:ilvl w:val="0"/>
                <w:numId w:val="15"/>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 xml:space="preserve">Responsible for developing, implementing and monitoring the recovery plan </w:t>
            </w:r>
          </w:p>
        </w:tc>
        <w:tc>
          <w:tcPr>
            <w:tcW w:w="2693" w:type="dxa"/>
          </w:tcPr>
          <w:p w14:paraId="643D6EBD"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Health</w:t>
            </w:r>
          </w:p>
          <w:p w14:paraId="23CE3AA1"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Ministry of Finance</w:t>
            </w:r>
          </w:p>
          <w:p w14:paraId="39ABF088"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 xml:space="preserve">Ministry of Labour and Social Policies </w:t>
            </w:r>
            <w:r w:rsidRPr="00E91EEE">
              <w:rPr>
                <w:rFonts w:ascii="Tahoma" w:hAnsi="Tahoma"/>
                <w:lang w:eastAsia="ko-KR"/>
              </w:rPr>
              <w:br/>
            </w:r>
            <w:r w:rsidRPr="00E91EEE">
              <w:rPr>
                <w:rFonts w:ascii="Tahoma" w:hAnsi="Tahoma"/>
                <w:lang w:val="en-IE" w:eastAsia="ko-KR"/>
              </w:rPr>
              <w:t>Ministry of Social Rights</w:t>
            </w:r>
          </w:p>
        </w:tc>
      </w:tr>
      <w:tr w:rsidR="00E91EEE" w:rsidRPr="00E91EEE" w14:paraId="10360326" w14:textId="77777777" w:rsidTr="00084C86">
        <w:trPr>
          <w:trHeight w:val="20"/>
        </w:trPr>
        <w:tc>
          <w:tcPr>
            <w:cnfStyle w:val="001000000000" w:firstRow="0" w:lastRow="0" w:firstColumn="1" w:lastColumn="0" w:oddVBand="0" w:evenVBand="0" w:oddHBand="0" w:evenHBand="0" w:firstRowFirstColumn="0" w:firstRowLastColumn="0" w:lastRowFirstColumn="0" w:lastRowLastColumn="0"/>
            <w:tcW w:w="1696" w:type="dxa"/>
          </w:tcPr>
          <w:p w14:paraId="29A4C965" w14:textId="77777777" w:rsidR="00E91EEE" w:rsidRPr="00E91EEE" w:rsidRDefault="00E91EEE" w:rsidP="00E91EEE">
            <w:pPr>
              <w:numPr>
                <w:ilvl w:val="0"/>
                <w:numId w:val="1"/>
              </w:numPr>
              <w:spacing w:line="240" w:lineRule="auto"/>
              <w:contextualSpacing/>
              <w:rPr>
                <w:rFonts w:ascii="Tahoma" w:eastAsia="Times New Roman" w:hAnsi="Tahoma"/>
              </w:rPr>
            </w:pPr>
            <w:r w:rsidRPr="00E91EEE">
              <w:rPr>
                <w:rFonts w:ascii="Tahoma" w:eastAsia="Times New Roman" w:hAnsi="Tahoma"/>
              </w:rPr>
              <w:t>Actions taken to improve gaps found in the implementation of prevention, preparedness and response plans</w:t>
            </w:r>
            <w:r w:rsidRPr="00E91EEE">
              <w:rPr>
                <w:rFonts w:ascii="Tahoma" w:eastAsia="Tahoma" w:hAnsi="Tahoma"/>
                <w:lang w:val="en-IE" w:eastAsia="ko-KR"/>
              </w:rPr>
              <w:t xml:space="preserve"> </w:t>
            </w:r>
          </w:p>
        </w:tc>
        <w:tc>
          <w:tcPr>
            <w:tcW w:w="5245" w:type="dxa"/>
          </w:tcPr>
          <w:p w14:paraId="31CEDE04" w14:textId="77777777" w:rsidR="00E91EEE" w:rsidRPr="00E91EEE" w:rsidRDefault="00E91EEE" w:rsidP="00E91EEE">
            <w:pPr>
              <w:numPr>
                <w:ilvl w:val="0"/>
                <w:numId w:val="15"/>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Responsible for the development or implementation of the national action plan to address gaps identified regarding prevention, preparedness, and response capacities.</w:t>
            </w:r>
          </w:p>
        </w:tc>
        <w:tc>
          <w:tcPr>
            <w:tcW w:w="2693" w:type="dxa"/>
          </w:tcPr>
          <w:p w14:paraId="68280D60"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 xml:space="preserve">Ministry of Health </w:t>
            </w:r>
          </w:p>
          <w:p w14:paraId="6396187B" w14:textId="77777777" w:rsidR="00E91EEE" w:rsidRPr="00E91EEE" w:rsidRDefault="00E91EEE" w:rsidP="00E91EEE">
            <w:pPr>
              <w:spacing w:line="240" w:lineRule="auto"/>
              <w:cnfStyle w:val="000000000000" w:firstRow="0" w:lastRow="0" w:firstColumn="0" w:lastColumn="0" w:oddVBand="0" w:evenVBand="0" w:oddHBand="0" w:evenHBand="0" w:firstRowFirstColumn="0" w:firstRowLastColumn="0" w:lastRowFirstColumn="0" w:lastRowLastColumn="0"/>
              <w:rPr>
                <w:rFonts w:ascii="Tahoma" w:hAnsi="Tahoma"/>
                <w:lang w:val="en-IE" w:eastAsia="ko-KR"/>
              </w:rPr>
            </w:pPr>
            <w:r w:rsidRPr="00E91EEE">
              <w:rPr>
                <w:rFonts w:ascii="Tahoma" w:hAnsi="Tahoma"/>
                <w:lang w:val="en-IE" w:eastAsia="ko-KR"/>
              </w:rPr>
              <w:t>National Institute of Public Health/Public Health Agency</w:t>
            </w:r>
          </w:p>
        </w:tc>
      </w:tr>
    </w:tbl>
    <w:p w14:paraId="0918B3AA" w14:textId="77777777" w:rsidR="00E91EEE" w:rsidRDefault="00E91EEE"/>
    <w:sectPr w:rsidR="00E91EEE">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1EF4" w14:textId="77777777" w:rsidR="00E91EEE" w:rsidRDefault="00E91EEE" w:rsidP="00E91EEE">
      <w:pPr>
        <w:spacing w:after="0" w:line="240" w:lineRule="auto"/>
      </w:pPr>
      <w:r>
        <w:separator/>
      </w:r>
    </w:p>
  </w:endnote>
  <w:endnote w:type="continuationSeparator" w:id="0">
    <w:p w14:paraId="734A76A5" w14:textId="77777777" w:rsidR="00E91EEE" w:rsidRDefault="00E91EEE" w:rsidP="00E9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C02C" w14:textId="606CDA35" w:rsidR="00E91EEE" w:rsidRDefault="00E91EEE">
    <w:pPr>
      <w:pStyle w:val="Footer"/>
    </w:pPr>
    <w:r>
      <w:rPr>
        <w:noProof/>
      </w:rPr>
      <mc:AlternateContent>
        <mc:Choice Requires="wps">
          <w:drawing>
            <wp:anchor distT="0" distB="0" distL="0" distR="0" simplePos="0" relativeHeight="251659264" behindDoc="0" locked="0" layoutInCell="1" allowOverlap="1" wp14:anchorId="4AFC100D" wp14:editId="39ABD4AB">
              <wp:simplePos x="635" y="635"/>
              <wp:positionH relativeFrom="page">
                <wp:align>center</wp:align>
              </wp:positionH>
              <wp:positionV relativeFrom="page">
                <wp:align>bottom</wp:align>
              </wp:positionV>
              <wp:extent cx="1610360" cy="370205"/>
              <wp:effectExtent l="0" t="0" r="8890" b="0"/>
              <wp:wrapNone/>
              <wp:docPr id="313222962" name="Text Box 2" descr="Classified as ECDC NORM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0360" cy="370205"/>
                      </a:xfrm>
                      <a:prstGeom prst="rect">
                        <a:avLst/>
                      </a:prstGeom>
                      <a:noFill/>
                      <a:ln>
                        <a:noFill/>
                      </a:ln>
                    </wps:spPr>
                    <wps:txbx>
                      <w:txbxContent>
                        <w:p w14:paraId="2807305F" w14:textId="36D76FA6" w:rsidR="00E91EEE" w:rsidRPr="00E91EEE" w:rsidRDefault="00E91EEE" w:rsidP="00E91EEE">
                          <w:pPr>
                            <w:spacing w:after="0"/>
                            <w:rPr>
                              <w:rFonts w:ascii="Aptos" w:eastAsia="Aptos" w:hAnsi="Aptos" w:cs="Aptos"/>
                              <w:noProof/>
                              <w:color w:val="000000"/>
                              <w:sz w:val="20"/>
                              <w:szCs w:val="20"/>
                            </w:rPr>
                          </w:pPr>
                          <w:r w:rsidRPr="00E91EEE">
                            <w:rPr>
                              <w:rFonts w:ascii="Aptos" w:eastAsia="Aptos" w:hAnsi="Aptos" w:cs="Aptos"/>
                              <w:noProof/>
                              <w:color w:val="000000"/>
                              <w:sz w:val="20"/>
                              <w:szCs w:val="20"/>
                            </w:rPr>
                            <w:t>Classified as ECDC NORMAL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FC100D" id="_x0000_t202" coordsize="21600,21600" o:spt="202" path="m,l,21600r21600,l21600,xe">
              <v:stroke joinstyle="miter"/>
              <v:path gradientshapeok="t" o:connecttype="rect"/>
            </v:shapetype>
            <v:shape id="Text Box 2" o:spid="_x0000_s1026" type="#_x0000_t202" alt="Classified as ECDC NORMAL " style="position:absolute;margin-left:0;margin-top:0;width:126.8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" filled="f" stroked="f">
              <v:fill o:detectmouseclick="t"/>
              <v:textbox style="mso-fit-shape-to-text:t" inset="0,0,0,15pt">
                <w:txbxContent>
                  <w:p w14:paraId="2807305F" w14:textId="36D76FA6" w:rsidR="00E91EEE" w:rsidRPr="00E91EEE" w:rsidRDefault="00E91EEE" w:rsidP="00E91EEE">
                    <w:pPr>
                      <w:spacing w:after="0"/>
                      <w:rPr>
                        <w:rFonts w:ascii="Aptos" w:eastAsia="Aptos" w:hAnsi="Aptos" w:cs="Aptos"/>
                        <w:noProof/>
                        <w:color w:val="000000"/>
                        <w:sz w:val="20"/>
                        <w:szCs w:val="20"/>
                      </w:rPr>
                    </w:pPr>
                    <w:r w:rsidRPr="00E91EEE">
                      <w:rPr>
                        <w:rFonts w:ascii="Aptos" w:eastAsia="Aptos" w:hAnsi="Aptos" w:cs="Aptos"/>
                        <w:noProof/>
                        <w:color w:val="000000"/>
                        <w:sz w:val="20"/>
                        <w:szCs w:val="20"/>
                      </w:rPr>
                      <w:t>Classified as ECDC NORMAL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1B04" w14:textId="7D2A7C90" w:rsidR="00E91EEE" w:rsidRDefault="00E91EEE">
    <w:pPr>
      <w:pStyle w:val="Footer"/>
    </w:pPr>
    <w:r>
      <w:rPr>
        <w:noProof/>
      </w:rPr>
      <mc:AlternateContent>
        <mc:Choice Requires="wps">
          <w:drawing>
            <wp:anchor distT="0" distB="0" distL="0" distR="0" simplePos="0" relativeHeight="251660288" behindDoc="0" locked="0" layoutInCell="1" allowOverlap="1" wp14:anchorId="61F996D9" wp14:editId="373EE360">
              <wp:simplePos x="914400" y="10058400"/>
              <wp:positionH relativeFrom="page">
                <wp:align>center</wp:align>
              </wp:positionH>
              <wp:positionV relativeFrom="page">
                <wp:align>bottom</wp:align>
              </wp:positionV>
              <wp:extent cx="1610360" cy="370205"/>
              <wp:effectExtent l="0" t="0" r="8890" b="0"/>
              <wp:wrapNone/>
              <wp:docPr id="1696524014" name="Text Box 3" descr="Classified as ECDC NORM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0360" cy="370205"/>
                      </a:xfrm>
                      <a:prstGeom prst="rect">
                        <a:avLst/>
                      </a:prstGeom>
                      <a:noFill/>
                      <a:ln>
                        <a:noFill/>
                      </a:ln>
                    </wps:spPr>
                    <wps:txbx>
                      <w:txbxContent>
                        <w:p w14:paraId="7558E7CD" w14:textId="6EC19044" w:rsidR="00E91EEE" w:rsidRPr="00E91EEE" w:rsidRDefault="00E91EEE" w:rsidP="00E91EEE">
                          <w:pPr>
                            <w:spacing w:after="0"/>
                            <w:rPr>
                              <w:rFonts w:ascii="Aptos" w:eastAsia="Aptos" w:hAnsi="Aptos" w:cs="Aptos"/>
                              <w:noProof/>
                              <w:color w:val="000000"/>
                              <w:sz w:val="20"/>
                              <w:szCs w:val="20"/>
                            </w:rPr>
                          </w:pPr>
                          <w:r w:rsidRPr="00E91EEE">
                            <w:rPr>
                              <w:rFonts w:ascii="Aptos" w:eastAsia="Aptos" w:hAnsi="Aptos" w:cs="Aptos"/>
                              <w:noProof/>
                              <w:color w:val="000000"/>
                              <w:sz w:val="20"/>
                              <w:szCs w:val="20"/>
                            </w:rPr>
                            <w:t>Classified as ECDC NORMAL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F996D9" id="_x0000_t202" coordsize="21600,21600" o:spt="202" path="m,l,21600r21600,l21600,xe">
              <v:stroke joinstyle="miter"/>
              <v:path gradientshapeok="t" o:connecttype="rect"/>
            </v:shapetype>
            <v:shape id="Text Box 3" o:spid="_x0000_s1027" type="#_x0000_t202" alt="Classified as ECDC NORMAL " style="position:absolute;margin-left:0;margin-top:0;width:126.8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" filled="f" stroked="f">
              <v:fill o:detectmouseclick="t"/>
              <v:textbox style="mso-fit-shape-to-text:t" inset="0,0,0,15pt">
                <w:txbxContent>
                  <w:p w14:paraId="7558E7CD" w14:textId="6EC19044" w:rsidR="00E91EEE" w:rsidRPr="00E91EEE" w:rsidRDefault="00E91EEE" w:rsidP="00E91EEE">
                    <w:pPr>
                      <w:spacing w:after="0"/>
                      <w:rPr>
                        <w:rFonts w:ascii="Aptos" w:eastAsia="Aptos" w:hAnsi="Aptos" w:cs="Aptos"/>
                        <w:noProof/>
                        <w:color w:val="000000"/>
                        <w:sz w:val="20"/>
                        <w:szCs w:val="20"/>
                      </w:rPr>
                    </w:pPr>
                    <w:r w:rsidRPr="00E91EEE">
                      <w:rPr>
                        <w:rFonts w:ascii="Aptos" w:eastAsia="Aptos" w:hAnsi="Aptos" w:cs="Aptos"/>
                        <w:noProof/>
                        <w:color w:val="000000"/>
                        <w:sz w:val="20"/>
                        <w:szCs w:val="20"/>
                      </w:rPr>
                      <w:t>Classified as ECDC NORMAL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7E55" w14:textId="16409263" w:rsidR="00E91EEE" w:rsidRDefault="00E91EEE">
    <w:pPr>
      <w:pStyle w:val="Footer"/>
    </w:pPr>
    <w:r>
      <w:rPr>
        <w:noProof/>
      </w:rPr>
      <mc:AlternateContent>
        <mc:Choice Requires="wps">
          <w:drawing>
            <wp:anchor distT="0" distB="0" distL="0" distR="0" simplePos="0" relativeHeight="251658240" behindDoc="0" locked="0" layoutInCell="1" allowOverlap="1" wp14:anchorId="463C98AF" wp14:editId="35925D9D">
              <wp:simplePos x="635" y="635"/>
              <wp:positionH relativeFrom="page">
                <wp:align>center</wp:align>
              </wp:positionH>
              <wp:positionV relativeFrom="page">
                <wp:align>bottom</wp:align>
              </wp:positionV>
              <wp:extent cx="1610360" cy="370205"/>
              <wp:effectExtent l="0" t="0" r="8890" b="0"/>
              <wp:wrapNone/>
              <wp:docPr id="619983696" name="Text Box 1" descr="Classified as ECDC NORM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0360" cy="370205"/>
                      </a:xfrm>
                      <a:prstGeom prst="rect">
                        <a:avLst/>
                      </a:prstGeom>
                      <a:noFill/>
                      <a:ln>
                        <a:noFill/>
                      </a:ln>
                    </wps:spPr>
                    <wps:txbx>
                      <w:txbxContent>
                        <w:p w14:paraId="418D5300" w14:textId="65B608C8" w:rsidR="00E91EEE" w:rsidRPr="00E91EEE" w:rsidRDefault="00E91EEE" w:rsidP="00E91EEE">
                          <w:pPr>
                            <w:spacing w:after="0"/>
                            <w:rPr>
                              <w:rFonts w:ascii="Aptos" w:eastAsia="Aptos" w:hAnsi="Aptos" w:cs="Aptos"/>
                              <w:noProof/>
                              <w:color w:val="000000"/>
                              <w:sz w:val="20"/>
                              <w:szCs w:val="20"/>
                            </w:rPr>
                          </w:pPr>
                          <w:r w:rsidRPr="00E91EEE">
                            <w:rPr>
                              <w:rFonts w:ascii="Aptos" w:eastAsia="Aptos" w:hAnsi="Aptos" w:cs="Aptos"/>
                              <w:noProof/>
                              <w:color w:val="000000"/>
                              <w:sz w:val="20"/>
                              <w:szCs w:val="20"/>
                            </w:rPr>
                            <w:t>Classified as ECDC NORMAL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3C98AF" id="_x0000_t202" coordsize="21600,21600" o:spt="202" path="m,l,21600r21600,l21600,xe">
              <v:stroke joinstyle="miter"/>
              <v:path gradientshapeok="t" o:connecttype="rect"/>
            </v:shapetype>
            <v:shape id="Text Box 1" o:spid="_x0000_s1028" type="#_x0000_t202" alt="Classified as ECDC NORMAL " style="position:absolute;margin-left:0;margin-top:0;width:126.8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" filled="f" stroked="f">
              <v:fill o:detectmouseclick="t"/>
              <v:textbox style="mso-fit-shape-to-text:t" inset="0,0,0,15pt">
                <w:txbxContent>
                  <w:p w14:paraId="418D5300" w14:textId="65B608C8" w:rsidR="00E91EEE" w:rsidRPr="00E91EEE" w:rsidRDefault="00E91EEE" w:rsidP="00E91EEE">
                    <w:pPr>
                      <w:spacing w:after="0"/>
                      <w:rPr>
                        <w:rFonts w:ascii="Aptos" w:eastAsia="Aptos" w:hAnsi="Aptos" w:cs="Aptos"/>
                        <w:noProof/>
                        <w:color w:val="000000"/>
                        <w:sz w:val="20"/>
                        <w:szCs w:val="20"/>
                      </w:rPr>
                    </w:pPr>
                    <w:r w:rsidRPr="00E91EEE">
                      <w:rPr>
                        <w:rFonts w:ascii="Aptos" w:eastAsia="Aptos" w:hAnsi="Aptos" w:cs="Aptos"/>
                        <w:noProof/>
                        <w:color w:val="000000"/>
                        <w:sz w:val="20"/>
                        <w:szCs w:val="20"/>
                      </w:rPr>
                      <w:t>Classified as ECDC NORMAL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C0C25" w14:textId="77777777" w:rsidR="00E91EEE" w:rsidRDefault="00E91EEE" w:rsidP="00E91EEE">
      <w:pPr>
        <w:spacing w:after="0" w:line="240" w:lineRule="auto"/>
      </w:pPr>
      <w:r>
        <w:separator/>
      </w:r>
    </w:p>
  </w:footnote>
  <w:footnote w:type="continuationSeparator" w:id="0">
    <w:p w14:paraId="7BD5D003" w14:textId="77777777" w:rsidR="00E91EEE" w:rsidRDefault="00E91EEE" w:rsidP="00E91EEE">
      <w:pPr>
        <w:spacing w:after="0" w:line="240" w:lineRule="auto"/>
      </w:pPr>
      <w:r>
        <w:continuationSeparator/>
      </w:r>
    </w:p>
  </w:footnote>
  <w:footnote w:id="1">
    <w:p w14:paraId="032381D4" w14:textId="77777777" w:rsidR="00E91EEE" w:rsidRPr="0069015C" w:rsidRDefault="00E91EEE" w:rsidP="00E91EEE">
      <w:pPr>
        <w:pStyle w:val="EC-Footnote"/>
      </w:pPr>
      <w:r w:rsidRPr="0069015C">
        <w:rPr>
          <w:rStyle w:val="FootnoteReference"/>
        </w:rPr>
        <w:footnoteRef/>
      </w:r>
      <w:r w:rsidRPr="0069015C">
        <w:t xml:space="preserve">  OJ L, 2024/1232, 8.5.2024, ELI: </w:t>
      </w:r>
      <w:hyperlink r:id="rId1" w:history="1">
        <w:r w:rsidRPr="00E91EEE">
          <w:rPr>
            <w:rStyle w:val="Hyperlink"/>
            <w:color w:val="000000"/>
          </w:rPr>
          <w:t>http://data.europa.eu/eli/reg_del/2024/1232/oj</w:t>
        </w:r>
      </w:hyperlink>
      <w:r w:rsidRPr="0069015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26B0"/>
    <w:multiLevelType w:val="hybridMultilevel"/>
    <w:tmpl w:val="D7D22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147C2"/>
    <w:multiLevelType w:val="hybridMultilevel"/>
    <w:tmpl w:val="D0C0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3678A"/>
    <w:multiLevelType w:val="hybridMultilevel"/>
    <w:tmpl w:val="9944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7E01"/>
    <w:multiLevelType w:val="hybridMultilevel"/>
    <w:tmpl w:val="A698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15C74"/>
    <w:multiLevelType w:val="hybridMultilevel"/>
    <w:tmpl w:val="BDA0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64BAF"/>
    <w:multiLevelType w:val="hybridMultilevel"/>
    <w:tmpl w:val="5D60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D6760"/>
    <w:multiLevelType w:val="hybridMultilevel"/>
    <w:tmpl w:val="590C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3A13B2"/>
    <w:multiLevelType w:val="hybridMultilevel"/>
    <w:tmpl w:val="880252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6E3BD9"/>
    <w:multiLevelType w:val="hybridMultilevel"/>
    <w:tmpl w:val="5FC45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1046A2"/>
    <w:multiLevelType w:val="hybridMultilevel"/>
    <w:tmpl w:val="1812F370"/>
    <w:lvl w:ilvl="0" w:tplc="DA72FDA6">
      <w:start w:val="1"/>
      <w:numFmt w:val="decimal"/>
      <w:lvlText w:val="%1."/>
      <w:lvlJc w:val="left"/>
      <w:pPr>
        <w:ind w:left="360" w:hanging="360"/>
      </w:pPr>
      <w:rPr>
        <w:rFonts w:eastAsiaTheme="minorHAnsi" w:cstheme="minorBidi" w:hint="default"/>
        <w:strike w:val="0"/>
        <w:color w:val="auto"/>
        <w:sz w:val="16"/>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ED26EA5"/>
    <w:multiLevelType w:val="hybridMultilevel"/>
    <w:tmpl w:val="1038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166553"/>
    <w:multiLevelType w:val="hybridMultilevel"/>
    <w:tmpl w:val="DB78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D7713C"/>
    <w:multiLevelType w:val="hybridMultilevel"/>
    <w:tmpl w:val="DF02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A7B89"/>
    <w:multiLevelType w:val="hybridMultilevel"/>
    <w:tmpl w:val="909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E0B12"/>
    <w:multiLevelType w:val="hybridMultilevel"/>
    <w:tmpl w:val="912A8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4311050">
    <w:abstractNumId w:val="9"/>
  </w:num>
  <w:num w:numId="2" w16cid:durableId="70078845">
    <w:abstractNumId w:val="10"/>
  </w:num>
  <w:num w:numId="3" w16cid:durableId="2082214339">
    <w:abstractNumId w:val="12"/>
  </w:num>
  <w:num w:numId="4" w16cid:durableId="1497720098">
    <w:abstractNumId w:val="3"/>
  </w:num>
  <w:num w:numId="5" w16cid:durableId="1598906241">
    <w:abstractNumId w:val="2"/>
  </w:num>
  <w:num w:numId="6" w16cid:durableId="2034377629">
    <w:abstractNumId w:val="8"/>
  </w:num>
  <w:num w:numId="7" w16cid:durableId="523520501">
    <w:abstractNumId w:val="14"/>
  </w:num>
  <w:num w:numId="8" w16cid:durableId="211624215">
    <w:abstractNumId w:val="4"/>
  </w:num>
  <w:num w:numId="9" w16cid:durableId="303125932">
    <w:abstractNumId w:val="11"/>
  </w:num>
  <w:num w:numId="10" w16cid:durableId="1106464826">
    <w:abstractNumId w:val="13"/>
  </w:num>
  <w:num w:numId="11" w16cid:durableId="1263412737">
    <w:abstractNumId w:val="5"/>
  </w:num>
  <w:num w:numId="12" w16cid:durableId="1622373962">
    <w:abstractNumId w:val="7"/>
  </w:num>
  <w:num w:numId="13" w16cid:durableId="1800953629">
    <w:abstractNumId w:val="6"/>
  </w:num>
  <w:num w:numId="14" w16cid:durableId="1682392859">
    <w:abstractNumId w:val="0"/>
  </w:num>
  <w:num w:numId="15" w16cid:durableId="423769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E"/>
    <w:rsid w:val="00747BBC"/>
    <w:rsid w:val="00E91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EE98"/>
  <w15:chartTrackingRefBased/>
  <w15:docId w15:val="{9953592F-3304-4829-B3E2-C98BB983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E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E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E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E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E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E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EEE"/>
    <w:rPr>
      <w:rFonts w:eastAsiaTheme="majorEastAsia" w:cstheme="majorBidi"/>
      <w:color w:val="272727" w:themeColor="text1" w:themeTint="D8"/>
    </w:rPr>
  </w:style>
  <w:style w:type="paragraph" w:styleId="Title">
    <w:name w:val="Title"/>
    <w:basedOn w:val="Normal"/>
    <w:next w:val="Normal"/>
    <w:link w:val="TitleChar"/>
    <w:uiPriority w:val="10"/>
    <w:qFormat/>
    <w:rsid w:val="00E91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EEE"/>
    <w:pPr>
      <w:spacing w:before="160"/>
      <w:jc w:val="center"/>
    </w:pPr>
    <w:rPr>
      <w:i/>
      <w:iCs/>
      <w:color w:val="404040" w:themeColor="text1" w:themeTint="BF"/>
    </w:rPr>
  </w:style>
  <w:style w:type="character" w:customStyle="1" w:styleId="QuoteChar">
    <w:name w:val="Quote Char"/>
    <w:basedOn w:val="DefaultParagraphFont"/>
    <w:link w:val="Quote"/>
    <w:uiPriority w:val="29"/>
    <w:rsid w:val="00E91EEE"/>
    <w:rPr>
      <w:i/>
      <w:iCs/>
      <w:color w:val="404040" w:themeColor="text1" w:themeTint="BF"/>
    </w:rPr>
  </w:style>
  <w:style w:type="paragraph" w:styleId="ListParagraph">
    <w:name w:val="List Paragraph"/>
    <w:basedOn w:val="Normal"/>
    <w:uiPriority w:val="34"/>
    <w:qFormat/>
    <w:rsid w:val="00E91EEE"/>
    <w:pPr>
      <w:ind w:left="720"/>
      <w:contextualSpacing/>
    </w:pPr>
  </w:style>
  <w:style w:type="character" w:styleId="IntenseEmphasis">
    <w:name w:val="Intense Emphasis"/>
    <w:basedOn w:val="DefaultParagraphFont"/>
    <w:uiPriority w:val="21"/>
    <w:qFormat/>
    <w:rsid w:val="00E91EEE"/>
    <w:rPr>
      <w:i/>
      <w:iCs/>
      <w:color w:val="0F4761" w:themeColor="accent1" w:themeShade="BF"/>
    </w:rPr>
  </w:style>
  <w:style w:type="paragraph" w:styleId="IntenseQuote">
    <w:name w:val="Intense Quote"/>
    <w:basedOn w:val="Normal"/>
    <w:next w:val="Normal"/>
    <w:link w:val="IntenseQuoteChar"/>
    <w:uiPriority w:val="30"/>
    <w:qFormat/>
    <w:rsid w:val="00E91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EEE"/>
    <w:rPr>
      <w:i/>
      <w:iCs/>
      <w:color w:val="0F4761" w:themeColor="accent1" w:themeShade="BF"/>
    </w:rPr>
  </w:style>
  <w:style w:type="character" w:styleId="IntenseReference">
    <w:name w:val="Intense Reference"/>
    <w:basedOn w:val="DefaultParagraphFont"/>
    <w:uiPriority w:val="32"/>
    <w:qFormat/>
    <w:rsid w:val="00E91EEE"/>
    <w:rPr>
      <w:b/>
      <w:bCs/>
      <w:smallCaps/>
      <w:color w:val="0F4761" w:themeColor="accent1" w:themeShade="BF"/>
      <w:spacing w:val="5"/>
    </w:rPr>
  </w:style>
  <w:style w:type="table" w:customStyle="1" w:styleId="ECTable">
    <w:name w:val="EC Table"/>
    <w:basedOn w:val="TableNormal"/>
    <w:rsid w:val="00E91EEE"/>
    <w:pPr>
      <w:widowControl w:val="0"/>
      <w:kinsoku w:val="0"/>
      <w:overflowPunct w:val="0"/>
      <w:autoSpaceDE w:val="0"/>
      <w:autoSpaceDN w:val="0"/>
      <w:spacing w:after="0" w:line="228" w:lineRule="auto"/>
      <w:jc w:val="center"/>
    </w:pPr>
    <w:rPr>
      <w:rFonts w:ascii="Arial Narrow" w:eastAsia="Batang" w:hAnsi="Arial Narrow" w:cs="Tahoma"/>
      <w:color w:val="000000"/>
      <w:kern w:val="0"/>
      <w:sz w:val="16"/>
      <w:szCs w:val="16"/>
      <w:lang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Normal"/>
    <w:qFormat/>
    <w:rsid w:val="00E91EEE"/>
    <w:pPr>
      <w:widowControl w:val="0"/>
      <w:kinsoku w:val="0"/>
      <w:autoSpaceDE w:val="0"/>
      <w:autoSpaceDN w:val="0"/>
      <w:adjustRightInd w:val="0"/>
      <w:spacing w:after="60" w:line="240" w:lineRule="auto"/>
    </w:pPr>
    <w:rPr>
      <w:rFonts w:ascii="Tahoma" w:eastAsia="Arial Unicode MS" w:hAnsi="Tahoma" w:cs="Tahoma"/>
      <w:color w:val="000000"/>
      <w:kern w:val="22"/>
      <w:sz w:val="16"/>
      <w:szCs w:val="16"/>
      <w:lang w:eastAsia="ko-KR"/>
      <w14:ligatures w14:val="none"/>
    </w:rPr>
  </w:style>
  <w:style w:type="character" w:styleId="Hyperlink">
    <w:name w:val="Hyperlink"/>
    <w:basedOn w:val="DefaultParagraphFont"/>
    <w:uiPriority w:val="99"/>
    <w:rsid w:val="00E91EEE"/>
    <w:rPr>
      <w:rFonts w:ascii="Tahoma" w:hAnsi="Tahoma"/>
      <w:color w:val="69AE23"/>
      <w:sz w:val="18"/>
      <w:u w:val="single"/>
    </w:rPr>
  </w:style>
  <w:style w:type="character" w:styleId="FootnoteReference">
    <w:name w:val="footnote reference"/>
    <w:basedOn w:val="DefaultParagraphFont"/>
    <w:uiPriority w:val="99"/>
    <w:unhideWhenUsed/>
    <w:rsid w:val="00E91EEE"/>
    <w:rPr>
      <w:vertAlign w:val="superscript"/>
    </w:rPr>
  </w:style>
  <w:style w:type="paragraph" w:styleId="Footer">
    <w:name w:val="footer"/>
    <w:basedOn w:val="Normal"/>
    <w:link w:val="FooterChar"/>
    <w:uiPriority w:val="99"/>
    <w:unhideWhenUsed/>
    <w:rsid w:val="00E91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24/1232/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6aa37e-3a89-4bd8-9367-95b8219209ae}" enabled="1" method="Standard" siteId="{6ad73702-409c-4046-ae59-cc4bea334507}"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1484</Words>
  <Characters>8463</Characters>
  <Application>Microsoft Office Word</Application>
  <DocSecurity>0</DocSecurity>
  <Lines>70</Lines>
  <Paragraphs>19</Paragraphs>
  <ScaleCrop>false</ScaleCrop>
  <Company>ECDC</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Rumila Edward</dc:creator>
  <cp:keywords/>
  <dc:description/>
  <cp:lastModifiedBy>Rumila Edward</cp:lastModifiedBy>
  <cp:revision>1</cp:revision>
  <dcterms:created xsi:type="dcterms:W3CDTF">2026-02-12T13:50:00Z</dcterms:created>
  <dcterms:modified xsi:type="dcterms:W3CDTF">2026-02-12T13:52:00Z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24f43350,12ab6732,651ee6ee</vt:lpwstr>
  </property>
  <property fmtid="{D5CDD505-2E9C-101B-9397-08002B2CF9AE}" pid="3" name="ClassificationContentMarkingFooterFontProps">
    <vt:lpwstr>#000000,10,Aptos</vt:lpwstr>
  </property>
  <property fmtid="{D5CDD505-2E9C-101B-9397-08002B2CF9AE}" pid="4" name="ClassificationContentMarkingFooterText">
    <vt:lpwstr>Classified as ECDC NORMAL </vt:lpwstr>
  </property>
</Properties>
</file>